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Rust optimization:</w:t>
        <w:br/>
        <w:t>conclusions, tests and results</w:t>
      </w:r>
    </w:p>
    <w:p>
      <w:r>
        <w:t>Updated 30 October 2026. Distinct endpoints: building IronRDP with an already-built compiler, and producing Rust distributions. Includes profile-only studies, D: NVMe releases, upstream artifact/cache diagnosis and the completed x64 Rust-only ThinLTO pilot. The fresh 16-LP NVMe release passed; the 8/4-LP comparison remains pending.</w:t>
      </w:r>
    </w:p>
    <w:p>
      <w:pPr>
        <w:pStyle w:val="Heading1"/>
      </w:pPr>
      <w:r>
        <w:t>TL;DR</w:t>
      </w:r>
    </w:p>
    <w:p>
      <w:r>
        <w:t>Same-tools PGO. Repairing only the LLVM profile reduced IronRDP wall time by 13.73% on Rust 1.94.1 and 12.93% on 1.99.1, retaining clang-cl, Microsoft link.exe/lib.exe, official Rust-side profiles and existing LTO.</w:t>
      </w:r>
    </w:p>
    <w:tbl>
      <w:tblPr>
        <w:tblStyle w:val="LightShading-Accent1"/>
        <w:tblW w:type="auto" w:w="0"/>
        <w:tblLayout w:type="fixed"/>
        <w:tblLook w:firstColumn="1" w:firstRow="1" w:lastColumn="0" w:lastRow="0" w:noHBand="0" w:noVBand="1" w:val="04A0"/>
      </w:tblPr>
      <w:tblGrid>
        <w:gridCol w:w="2664"/>
        <w:gridCol w:w="2448"/>
        <w:gridCol w:w="2448"/>
        <w:gridCol w:w="2448"/>
      </w:tblGrid>
      <w:tr>
        <w:trPr>
          <w:tblHeader/>
          <w:cantSplit/>
        </w:trPr>
        <w:tc>
          <w:tcPr>
            <w:tcW w:type="dxa" w:w="2664"/>
          </w:tcPr>
          <w:p>
            <w:pPr>
              <w:spacing w:after="60"/>
            </w:pPr>
            <w:r>
              <w:rPr>
                <w:sz w:val="18"/>
              </w:rPr>
              <w:t>Same native tools</w:t>
            </w:r>
          </w:p>
        </w:tc>
        <w:tc>
          <w:tcPr>
            <w:tcW w:type="dxa" w:w="2448"/>
          </w:tcPr>
          <w:p>
            <w:pPr>
              <w:spacing w:after="60"/>
            </w:pPr>
            <w:r>
              <w:rPr>
                <w:sz w:val="18"/>
              </w:rPr>
              <w:t>x64 IronRDP</w:t>
            </w:r>
          </w:p>
        </w:tc>
        <w:tc>
          <w:tcPr>
            <w:tcW w:type="dxa" w:w="2448"/>
          </w:tcPr>
          <w:p>
            <w:pPr>
              <w:spacing w:after="60"/>
            </w:pPr>
            <w:r>
              <w:rPr>
                <w:sz w:val="18"/>
              </w:rPr>
              <w:t>Arm64 IronRDP</w:t>
            </w:r>
          </w:p>
        </w:tc>
        <w:tc>
          <w:tcPr>
            <w:tcW w:type="dxa" w:w="2448"/>
          </w:tcPr>
          <w:p>
            <w:pPr>
              <w:spacing w:after="60"/>
            </w:pPr>
            <w:r>
              <w:rPr>
                <w:sz w:val="18"/>
              </w:rPr>
              <w:t>Control / limitation</w:t>
            </w:r>
          </w:p>
        </w:tc>
      </w:tr>
      <w:tr>
        <w:trPr>
          <w:cantSplit/>
        </w:trPr>
        <w:tc>
          <w:tcPr>
            <w:tcW w:type="dxa" w:w="2664"/>
          </w:tcPr>
          <w:p>
            <w:pPr>
              <w:spacing w:after="60"/>
            </w:pPr>
            <w:r>
              <w:rPr>
                <w:sz w:val="18"/>
              </w:rPr>
              <w:t>LLVM profile only</w:t>
            </w:r>
          </w:p>
        </w:tc>
        <w:tc>
          <w:tcPr>
            <w:tcW w:type="dxa" w:w="2448"/>
          </w:tcPr>
          <w:p>
            <w:pPr>
              <w:spacing w:after="60"/>
            </w:pPr>
            <w:r>
              <w:rPr>
                <w:sz w:val="18"/>
              </w:rPr>
              <w:t>13.73% / 12.93%</w:t>
            </w:r>
          </w:p>
        </w:tc>
        <w:tc>
          <w:tcPr>
            <w:tcW w:type="dxa" w:w="2448"/>
          </w:tcPr>
          <w:p>
            <w:pPr>
              <w:spacing w:after="60"/>
            </w:pPr>
            <w:r>
              <w:rPr>
                <w:sz w:val="18"/>
              </w:rPr>
              <w:t>Not measured</w:t>
            </w:r>
          </w:p>
        </w:tc>
        <w:tc>
          <w:tcPr>
            <w:tcW w:type="dxa" w:w="2448"/>
          </w:tcPr>
          <w:p>
            <w:pPr>
              <w:spacing w:after="60"/>
            </w:pPr>
            <w:r>
              <w:rPr>
                <w:sz w:val="18"/>
              </w:rPr>
              <w:t>1.94.1 / 1.99.1 matched rebuilds</w:t>
            </w:r>
          </w:p>
        </w:tc>
      </w:tr>
      <w:tr>
        <w:trPr>
          <w:cantSplit/>
        </w:trPr>
        <w:tc>
          <w:tcPr>
            <w:tcW w:type="dxa" w:w="2664"/>
          </w:tcPr>
          <w:p>
            <w:pPr>
              <w:spacing w:after="60"/>
            </w:pPr>
            <w:r>
              <w:rPr>
                <w:sz w:val="18"/>
              </w:rPr>
              <w:t>Fresh PGO recipe</w:t>
            </w:r>
          </w:p>
        </w:tc>
        <w:tc>
          <w:tcPr>
            <w:tcW w:type="dxa" w:w="2448"/>
          </w:tcPr>
          <w:p>
            <w:pPr>
              <w:spacing w:after="60"/>
            </w:pPr>
            <w:r>
              <w:rPr>
                <w:sz w:val="18"/>
              </w:rPr>
              <w:t>24.62%</w:t>
            </w:r>
          </w:p>
        </w:tc>
        <w:tc>
          <w:tcPr>
            <w:tcW w:type="dxa" w:w="2448"/>
          </w:tcPr>
          <w:p>
            <w:pPr>
              <w:spacing w:after="60"/>
            </w:pPr>
            <w:r>
              <w:rPr>
                <w:sz w:val="18"/>
              </w:rPr>
              <w:t>24.44%; GB300 21.46%</w:t>
            </w:r>
          </w:p>
        </w:tc>
        <w:tc>
          <w:tcPr>
            <w:tcW w:type="dxa" w:w="2448"/>
          </w:tcPr>
          <w:p>
            <w:pPr>
              <w:spacing w:after="60"/>
            </w:pPr>
            <w:r>
              <w:rPr>
                <w:sz w:val="18"/>
              </w:rPr>
              <w:t>Against no PGO; one pilot per machine</w:t>
            </w:r>
          </w:p>
        </w:tc>
      </w:tr>
      <w:tr>
        <w:trPr>
          <w:cantSplit/>
        </w:trPr>
        <w:tc>
          <w:tcPr>
            <w:tcW w:type="dxa" w:w="2664"/>
          </w:tcPr>
          <w:p>
            <w:r>
              <w:t>Add Rust ThinLTO</w:t>
            </w:r>
          </w:p>
        </w:tc>
        <w:tc>
          <w:tcPr>
            <w:tcW w:type="dxa" w:w="2448"/>
          </w:tcPr>
          <w:p>
            <w:r>
              <w:t>0.05% slower wall</w:t>
            </w:r>
          </w:p>
        </w:tc>
        <w:tc>
          <w:tcPr>
            <w:tcW w:type="dxa" w:w="2448"/>
          </w:tcPr>
          <w:p>
            <w:r>
              <w:t>Not measured</w:t>
            </w:r>
          </w:p>
        </w:tc>
        <w:tc>
          <w:tcPr>
            <w:tcW w:type="dxa" w:w="2448"/>
          </w:tcPr>
          <w:p>
            <w:r>
              <w:t>x64 compiler-only pilot; CPU 0.36% lower</w:t>
            </w:r>
          </w:p>
        </w:tc>
      </w:tr>
    </w:tbl>
    <w:p>
      <w:r>
        <w:t>PGO is not LTO. Earlier same-tools fresh-PGO pilots saved 24.62% x64 / 24.44% ordinary Arm64 against no-PGO controls. The new isolated x64 Rust-only ThinLTO pilot found no meaningful wall gain: 812.586 -&gt; 812.961s (0.05% slower), CPU 0.36% lower. Arm64 remains unmeasured; the x64 pilot is not full-release qualification.</w:t>
      </w:r>
    </w:p>
    <w:p>
      <w:r>
        <w:t>Earlier broader bundles. Shipping-Rust comparisons saved 23.7% x64 / 16.0% Arm64. They changed native linking tools and both LTO modes. The matched 7.6% x64 ThinLTO result also used LLVM linking; none is a same-tools LTO estimate.</w:t>
      </w:r>
    </w:p>
    <w:p>
      <w:r>
        <w:t>Different denominators. Profile-only, shipping-binary and no-PGO comparisons must not be added or subtracted. Older shared-Cargo/std controls isolate compiler behavior; they are not a deployment requirement. Complete distributions qualified separately.</w:t>
      </w:r>
    </w:p>
    <w:p>
      <w:r>
        <w:t>Rust production on D: NVMe. At 16 LP (8 physical cores), the 25 October fresh-PGO release took 2h24m37s excluding tests, 2h33m44s including tests and 2h59m01s for the whole job. Rust 1.94.1/1.99.1 fixed-profile costs are listed separately.</w:t>
      </w:r>
    </w:p>
    <w:p>
      <w:r>
        <w:t>Cache exception. Custom releases did not enable a compiler-cache service: hit rate N/A, not a measured 0%. The actual upstream try-build reported 100% native C/C++ hits and delivered only a 0.21% IronRDP wall reduction. Cache-corrected performance recovery remains unproven.</w:t>
      </w:r>
    </w:p>
    <w:p>
      <w:r>
        <w:t>New measurements. The restored x64 D: NVMe runner is executing fresh 16 -&gt; 8 -&gt; 4-LP releases, with matched source/tools/configuration and full qualification. Arm64 scaling is separate evidence. No completed public cold-release reference or GB300 lower-core curve exists.</w:t>
      </w:r>
    </w:p>
    <w:p>
      <w:r>
        <w:t>Priority. Fix profile-aware native cache keys and demonstrate downstream recovery within the hosted budget. Reassess Rust-only ThinLTO after the null x64 pilot rather than assume a gain. Open PRs: Rust #164707, Rust #165138 and sccache #2962.</w:t>
      </w:r>
    </w:p>
    <w:p>
      <w:r>
        <w:br w:type="page"/>
      </w:r>
    </w:p>
    <w:p>
      <w:pPr>
        <w:pStyle w:val="Heading1"/>
      </w:pPr>
      <w:r>
        <w:t>1. Building IronRDP: original findings and later attribution</w:t>
      </w:r>
    </w:p>
    <w:p>
      <w:r>
        <w:t>Earlier studies used official Rust 1.94.1 and custom compilers from the same Rust/LLVM revisions. They measured the original five-command offline native sequence on standard four-LP runners: five independent VMs per OS, one excluded warmup and three measured rounds. Windows compiler order was counterbalanced; intervals resample whole VMs, preserving paired comparisons.</w:t>
      </w:r>
    </w:p>
    <w:tbl>
      <w:tblPr>
        <w:tblStyle w:val="LightShading-Accent1"/>
        <w:tblW w:type="auto" w:w="0"/>
        <w:tblLayout w:type="fixed"/>
        <w:tblLook w:firstColumn="1" w:firstRow="1" w:lastColumn="0" w:lastRow="0" w:noHBand="0" w:noVBand="1" w:val="04A0"/>
      </w:tblPr>
      <w:tblGrid>
        <w:gridCol w:w="2088"/>
        <w:gridCol w:w="2016"/>
        <w:gridCol w:w="2016"/>
        <w:gridCol w:w="1584"/>
        <w:gridCol w:w="2304"/>
      </w:tblGrid>
      <w:tr>
        <w:trPr>
          <w:tblHeader/>
          <w:cantSplit/>
        </w:trPr>
        <w:tc>
          <w:tcPr>
            <w:tcW w:type="dxa" w:w="2088"/>
          </w:tcPr>
          <w:p>
            <w:pPr>
              <w:spacing w:before="40" w:after="40"/>
            </w:pPr>
            <w:r>
              <w:rPr>
                <w:sz w:val="18"/>
              </w:rPr>
              <w:t>Platform</w:t>
            </w:r>
          </w:p>
        </w:tc>
        <w:tc>
          <w:tcPr>
            <w:tcW w:type="dxa" w:w="2016"/>
          </w:tcPr>
          <w:p>
            <w:pPr>
              <w:spacing w:before="40" w:after="40"/>
            </w:pPr>
            <w:r>
              <w:rPr>
                <w:sz w:val="18"/>
              </w:rPr>
              <w:t>Official Rust</w:t>
              <w:br/>
              <w:t>wall seconds</w:t>
            </w:r>
          </w:p>
        </w:tc>
        <w:tc>
          <w:tcPr>
            <w:tcW w:type="dxa" w:w="2016"/>
          </w:tcPr>
          <w:p>
            <w:pPr>
              <w:spacing w:before="40" w:after="40"/>
            </w:pPr>
            <w:r>
              <w:rPr>
                <w:sz w:val="18"/>
              </w:rPr>
              <w:t>Optimized</w:t>
              <w:br/>
              <w:t>wall seconds</w:t>
            </w:r>
          </w:p>
        </w:tc>
        <w:tc>
          <w:tcPr>
            <w:tcW w:type="dxa" w:w="1584"/>
          </w:tcPr>
          <w:p>
            <w:pPr>
              <w:spacing w:before="40" w:after="40"/>
            </w:pPr>
            <w:r>
              <w:rPr>
                <w:sz w:val="18"/>
              </w:rPr>
              <w:t>Reduction</w:t>
            </w:r>
          </w:p>
        </w:tc>
        <w:tc>
          <w:tcPr>
            <w:tcW w:type="dxa" w:w="2304"/>
          </w:tcPr>
          <w:p>
            <w:pPr>
              <w:spacing w:before="40" w:after="40"/>
            </w:pPr>
            <w:r>
              <w:rPr>
                <w:sz w:val="18"/>
              </w:rPr>
              <w:t>95% interval</w:t>
            </w:r>
          </w:p>
        </w:tc>
      </w:tr>
      <w:tr>
        <w:trPr>
          <w:cantSplit/>
        </w:trPr>
        <w:tc>
          <w:tcPr>
            <w:tcW w:type="dxa" w:w="2088"/>
          </w:tcPr>
          <w:p>
            <w:pPr>
              <w:spacing w:before="40" w:after="40"/>
            </w:pPr>
            <w:r>
              <w:rPr>
                <w:sz w:val="18"/>
              </w:rPr>
              <w:t>Windows x64</w:t>
            </w:r>
          </w:p>
        </w:tc>
        <w:tc>
          <w:tcPr>
            <w:tcW w:type="dxa" w:w="2016"/>
          </w:tcPr>
          <w:p>
            <w:pPr>
              <w:spacing w:before="40" w:after="40"/>
            </w:pPr>
            <w:r>
              <w:rPr>
                <w:sz w:val="18"/>
              </w:rPr>
              <w:t>957.41</w:t>
            </w:r>
          </w:p>
        </w:tc>
        <w:tc>
          <w:tcPr>
            <w:tcW w:type="dxa" w:w="2016"/>
          </w:tcPr>
          <w:p>
            <w:pPr>
              <w:spacing w:before="40" w:after="40"/>
            </w:pPr>
            <w:r>
              <w:rPr>
                <w:sz w:val="18"/>
              </w:rPr>
              <w:t>730.64</w:t>
            </w:r>
          </w:p>
        </w:tc>
        <w:tc>
          <w:tcPr>
            <w:tcW w:type="dxa" w:w="1584"/>
          </w:tcPr>
          <w:p>
            <w:pPr>
              <w:spacing w:before="40" w:after="40"/>
            </w:pPr>
            <w:r>
              <w:rPr>
                <w:sz w:val="18"/>
              </w:rPr>
              <w:t>23.7%</w:t>
            </w:r>
          </w:p>
        </w:tc>
        <w:tc>
          <w:tcPr>
            <w:tcW w:type="dxa" w:w="2304"/>
          </w:tcPr>
          <w:p>
            <w:pPr>
              <w:spacing w:before="40" w:after="40"/>
            </w:pPr>
            <w:r>
              <w:rPr>
                <w:sz w:val="18"/>
              </w:rPr>
              <w:t>21.7-25.3%</w:t>
            </w:r>
          </w:p>
        </w:tc>
      </w:tr>
      <w:tr>
        <w:trPr>
          <w:cantSplit/>
        </w:trPr>
        <w:tc>
          <w:tcPr>
            <w:tcW w:type="dxa" w:w="2088"/>
          </w:tcPr>
          <w:p>
            <w:pPr>
              <w:spacing w:before="40" w:after="40"/>
            </w:pPr>
            <w:r>
              <w:rPr>
                <w:sz w:val="18"/>
              </w:rPr>
              <w:t>Windows Arm64</w:t>
            </w:r>
          </w:p>
        </w:tc>
        <w:tc>
          <w:tcPr>
            <w:tcW w:type="dxa" w:w="2016"/>
          </w:tcPr>
          <w:p>
            <w:pPr>
              <w:spacing w:before="40" w:after="40"/>
            </w:pPr>
            <w:r>
              <w:rPr>
                <w:sz w:val="18"/>
              </w:rPr>
              <w:t>709.64</w:t>
            </w:r>
          </w:p>
        </w:tc>
        <w:tc>
          <w:tcPr>
            <w:tcW w:type="dxa" w:w="2016"/>
          </w:tcPr>
          <w:p>
            <w:pPr>
              <w:spacing w:before="40" w:after="40"/>
            </w:pPr>
            <w:r>
              <w:rPr>
                <w:sz w:val="18"/>
              </w:rPr>
              <w:t>595.99</w:t>
            </w:r>
          </w:p>
        </w:tc>
        <w:tc>
          <w:tcPr>
            <w:tcW w:type="dxa" w:w="1584"/>
          </w:tcPr>
          <w:p>
            <w:pPr>
              <w:spacing w:before="40" w:after="40"/>
            </w:pPr>
            <w:r>
              <w:rPr>
                <w:sz w:val="18"/>
              </w:rPr>
              <w:t>16.0%</w:t>
            </w:r>
          </w:p>
        </w:tc>
        <w:tc>
          <w:tcPr>
            <w:tcW w:type="dxa" w:w="2304"/>
          </w:tcPr>
          <w:p>
            <w:pPr>
              <w:spacing w:before="40" w:after="40"/>
            </w:pPr>
            <w:r>
              <w:rPr>
                <w:sz w:val="18"/>
              </w:rPr>
              <w:t>15.4-16.7%</w:t>
            </w:r>
          </w:p>
        </w:tc>
      </w:tr>
    </w:tbl>
    <w:p>
      <w:r>
        <w:t>Native CPU time fell by 24.6% on x64 and 16.0% on Arm64. Original correctness tests passed outside timing. These practical replacement effects include build/linker and optimization differences; they cannot be attributed to PGO alone.</w:t>
      </w:r>
    </w:p>
    <w:p>
      <w:pPr>
        <w:pStyle w:val="Heading2"/>
      </w:pPr>
      <w:r>
        <w:t>An earlier matched ThinLTO result does exist</w:t>
      </w:r>
    </w:p>
    <w:p>
      <w:r>
        <w:t>The earlier x64 PGO control took 791.12s; adding Rust and LLVM ThinLTO reduced this to 730.64s: 7.6% less wall time (95% interval 7.1-8.0%) and 7.3% less CPU. Both used identical profiles and LLVM linking tools. This isolates both ThinLTO modes together, not a Microsoft-linked or individual Rust/LLVM LTO effect.</w:t>
      </w:r>
    </w:p>
    <w:p>
      <w:pPr>
        <w:pStyle w:val="Heading2"/>
      </w:pPr>
      <w:r>
        <w:t>Was upstream PGO ineffective?</w:t>
      </w:r>
    </w:p>
    <w:tbl>
      <w:tblPr>
        <w:tblStyle w:val="LightShading-Accent1"/>
        <w:tblW w:type="auto" w:w="0"/>
        <w:tblLayout w:type="fixed"/>
        <w:tblLook w:firstColumn="1" w:firstRow="1" w:lastColumn="0" w:lastRow="0" w:noHBand="0" w:noVBand="1" w:val="04A0"/>
      </w:tblPr>
      <w:tblGrid>
        <w:gridCol w:w="2520"/>
        <w:gridCol w:w="7488"/>
      </w:tblGrid>
      <w:tr>
        <w:trPr>
          <w:tblHeader/>
          <w:cantSplit/>
        </w:trPr>
        <w:tc>
          <w:tcPr>
            <w:tcW w:type="dxa" w:w="2520"/>
          </w:tcPr>
          <w:p>
            <w:pPr>
              <w:spacing w:before="40" w:after="40"/>
            </w:pPr>
            <w:r>
              <w:rPr>
                <w:sz w:val="18"/>
              </w:rPr>
              <w:t>Finding</w:t>
            </w:r>
          </w:p>
        </w:tc>
        <w:tc>
          <w:tcPr>
            <w:tcW w:type="dxa" w:w="7488"/>
          </w:tcPr>
          <w:p>
            <w:pPr>
              <w:spacing w:before="40" w:after="40"/>
            </w:pPr>
            <w:r>
              <w:rPr>
                <w:sz w:val="18"/>
              </w:rPr>
              <w:t>What the evidence supports</w:t>
            </w:r>
          </w:p>
        </w:tc>
      </w:tr>
      <w:tr>
        <w:trPr>
          <w:cantSplit/>
        </w:trPr>
        <w:tc>
          <w:tcPr>
            <w:tcW w:type="dxa" w:w="2520"/>
          </w:tcPr>
          <w:p>
            <w:pPr>
              <w:spacing w:before="40" w:after="40"/>
            </w:pPr>
            <w:r>
              <w:rPr>
                <w:sz w:val="18"/>
              </w:rPr>
              <w:t>Windows Arm64 release configuration</w:t>
            </w:r>
          </w:p>
        </w:tc>
        <w:tc>
          <w:tcPr>
            <w:tcW w:type="dxa" w:w="7488"/>
          </w:tcPr>
          <w:p>
            <w:pPr>
              <w:spacing w:before="40" w:after="40"/>
            </w:pPr>
            <w:r>
              <w:rPr>
                <w:sz w:val="18"/>
              </w:rPr>
              <w:t>Neither rustc nor LLVM PGO was enabled in Rust 1.94.1: missing PGO, not ineffective PGO.</w:t>
            </w:r>
          </w:p>
        </w:tc>
      </w:tr>
      <w:tr>
        <w:trPr>
          <w:cantSplit/>
        </w:trPr>
        <w:tc>
          <w:tcPr>
            <w:tcW w:type="dxa" w:w="2520"/>
          </w:tcPr>
          <w:p>
            <w:pPr>
              <w:spacing w:before="40" w:after="40"/>
            </w:pPr>
            <w:r>
              <w:rPr>
                <w:sz w:val="18"/>
              </w:rPr>
              <w:t>Static-LLVM training defect</w:t>
            </w:r>
          </w:p>
        </w:tc>
        <w:tc>
          <w:tcPr>
            <w:tcW w:type="dxa" w:w="7488"/>
          </w:tcPr>
          <w:p>
            <w:pPr>
              <w:spacing w:before="40" w:after="40"/>
            </w:pPr>
            <w:r>
              <w:rPr>
                <w:sz w:val="18"/>
              </w:rPr>
              <w:t>Our initial Arm64 treatment retained a compiler not relinked against instrumented LLVM. Profiles recorded initialization, but not meaningful backend code generation.</w:t>
            </w:r>
          </w:p>
        </w:tc>
      </w:tr>
      <w:tr>
        <w:trPr>
          <w:cantSplit/>
        </w:trPr>
        <w:tc>
          <w:tcPr>
            <w:tcW w:type="dxa" w:w="2520"/>
          </w:tcPr>
          <w:p>
            <w:pPr>
              <w:spacing w:before="40" w:after="40"/>
            </w:pPr>
            <w:r>
              <w:rPr>
                <w:sz w:val="18"/>
              </w:rPr>
              <w:t>Verified repair</w:t>
            </w:r>
          </w:p>
        </w:tc>
        <w:tc>
          <w:tcPr>
            <w:tcW w:type="dxa" w:w="7488"/>
          </w:tcPr>
          <w:p>
            <w:pPr>
              <w:spacing w:before="40" w:after="40"/>
            </w:pPr>
            <w:r>
              <w:rPr>
                <w:sz w:val="18"/>
              </w:rPr>
              <w:t>Explicitly relinking the training compiler produced active AArch64TargetLowering and InstCombine counters. The invalid initial run/artifact was excluded.</w:t>
            </w:r>
          </w:p>
        </w:tc>
      </w:tr>
      <w:tr>
        <w:trPr>
          <w:cantSplit/>
        </w:trPr>
        <w:tc>
          <w:tcPr>
            <w:tcW w:type="dxa" w:w="2520"/>
          </w:tcPr>
          <w:p>
            <w:pPr>
              <w:spacing w:before="40" w:after="40"/>
            </w:pPr>
            <w:r>
              <w:rPr>
                <w:sz w:val="18"/>
              </w:rPr>
              <w:t>Official Windows x64</w:t>
            </w:r>
          </w:p>
        </w:tc>
        <w:tc>
          <w:tcPr>
            <w:tcW w:type="dxa" w:w="7488"/>
          </w:tcPr>
          <w:p>
            <w:r>
              <w:t>Both PGO stages were configured. Later official LLVM profile audits on 1.94.1 and 1.99.1 found absent queried backend coverage; profile-only repairs improved IronRDP. Separate rustc PGO was not shown ineffective.</w:t>
            </w:r>
          </w:p>
        </w:tc>
      </w:tr>
    </w:tbl>
    <w:p>
      <w:r>
        <w:t>Official LLVM profiles were subsequently audited on Rust 1.94.1 and 1.99.1: both lacked the queried X86TargetLowering and InstCombine coverage. Repaired profiles restored active counters. This is not a finding that separate rustc PGO or all upstream PGO was ineffective.</w:t>
      </w:r>
    </w:p>
    <w:p>
      <w:pPr>
        <w:pStyle w:val="Heading2"/>
      </w:pPr>
      <w:r>
        <w:t>Do not combine the denominators</w:t>
      </w:r>
    </w:p>
    <w:p>
      <w:r>
        <w:t>The isolated same-tools x64 comparisons measured IronRDP at 711.049 -&gt; 613.436s on 1.94.1 (13.73% wall / 14.02% CPU) and 631.608 -&gt; 549.949s on 1.99.1 (12.93% wall / 13.66% CPU). Each used three paired rounds on one host/build pair, not a population confidence interval or untouched shipping-package comparison.</w:t>
      </w:r>
    </w:p>
    <w:p>
      <w:r>
        <w:t>A separate five-VM fresh-artifact replay measured 18.0% less IronRDP wall versus shipping Rust (95% interval 15.0-20.8%) and 20.9% versus a rebuilt upstream recipe (18.1-23.4%). Two reverse-order full-release pairs cost 2.71% more production / 4.00% more whole-job time on average. Native build/linker differences remain; this is not isolated profile quality.</w:t>
      </w:r>
    </w:p>
    <w:p>
      <w:r>
        <w:br w:type="page"/>
      </w:r>
    </w:p>
    <w:p>
      <w:pPr>
        <w:pStyle w:val="Heading1"/>
      </w:pPr>
      <w:r>
        <w:t>2. Pilot design and measurement boundaries</w:t>
      </w:r>
    </w:p>
    <w:p>
      <w:r>
        <w:t>LP = logical processors, not physical cores. Machines and CPU allocations are not pooled. The completed pilot analysis accepts exactly one measured, non-warmup paired round per machine; the planned repeated hosted protocol (including warmups and multiple rounds) was not completed.</w:t>
      </w:r>
    </w:p>
    <w:tbl>
      <w:tblPr>
        <w:tblStyle w:val="LightShading-Accent1"/>
        <w:tblW w:type="auto" w:w="0"/>
        <w:tblLayout w:type="fixed"/>
        <w:tblLook w:firstColumn="1" w:firstRow="1" w:lastColumn="0" w:lastRow="0" w:noHBand="0" w:noVBand="1" w:val="04A0"/>
      </w:tblPr>
      <w:tblGrid>
        <w:gridCol w:w="2304"/>
        <w:gridCol w:w="2088"/>
        <w:gridCol w:w="2592"/>
        <w:gridCol w:w="3024"/>
      </w:tblGrid>
      <w:tr>
        <w:trPr>
          <w:tblHeader/>
          <w:cantSplit/>
        </w:trPr>
        <w:tc>
          <w:tcPr>
            <w:tcW w:type="dxa" w:w="2304"/>
          </w:tcPr>
          <w:p>
            <w:pPr>
              <w:spacing w:before="40" w:after="40"/>
            </w:pPr>
            <w:r>
              <w:rPr>
                <w:sz w:val="18"/>
              </w:rPr>
              <w:t>Recipe</w:t>
            </w:r>
          </w:p>
        </w:tc>
        <w:tc>
          <w:tcPr>
            <w:tcW w:type="dxa" w:w="2088"/>
          </w:tcPr>
          <w:p>
            <w:pPr>
              <w:spacing w:before="40" w:after="40"/>
            </w:pPr>
            <w:r>
              <w:rPr>
                <w:sz w:val="18"/>
              </w:rPr>
              <w:t>PGO</w:t>
            </w:r>
          </w:p>
        </w:tc>
        <w:tc>
          <w:tcPr>
            <w:tcW w:type="dxa" w:w="2592"/>
          </w:tcPr>
          <w:p>
            <w:pPr>
              <w:spacing w:before="40" w:after="40"/>
            </w:pPr>
            <w:r>
              <w:rPr>
                <w:sz w:val="18"/>
              </w:rPr>
              <w:t>Native linker / librarian</w:t>
            </w:r>
          </w:p>
        </w:tc>
        <w:tc>
          <w:tcPr>
            <w:tcW w:type="dxa" w:w="3024"/>
          </w:tcPr>
          <w:p>
            <w:pPr>
              <w:spacing w:before="40" w:after="40"/>
            </w:pPr>
            <w:r>
              <w:rPr>
                <w:sz w:val="18"/>
              </w:rPr>
              <w:t>LLVM / Rust cross-crate LTO</w:t>
            </w:r>
          </w:p>
        </w:tc>
      </w:tr>
      <w:tr>
        <w:trPr>
          <w:cantSplit/>
        </w:trPr>
        <w:tc>
          <w:tcPr>
            <w:tcW w:type="dxa" w:w="2304"/>
          </w:tcPr>
          <w:p>
            <w:pPr>
              <w:spacing w:before="40" w:after="40"/>
            </w:pPr>
            <w:r>
              <w:rPr>
                <w:sz w:val="18"/>
              </w:rPr>
              <w:t>No PGO control</w:t>
            </w:r>
          </w:p>
        </w:tc>
        <w:tc>
          <w:tcPr>
            <w:tcW w:type="dxa" w:w="2088"/>
          </w:tcPr>
          <w:p>
            <w:pPr>
              <w:spacing w:before="40" w:after="40"/>
            </w:pPr>
            <w:r>
              <w:rPr>
                <w:sz w:val="18"/>
              </w:rPr>
              <w:t>Off</w:t>
            </w:r>
          </w:p>
        </w:tc>
        <w:tc>
          <w:tcPr>
            <w:tcW w:type="dxa" w:w="2592"/>
          </w:tcPr>
          <w:p>
            <w:pPr>
              <w:spacing w:before="40" w:after="40"/>
            </w:pPr>
            <w:r>
              <w:rPr>
                <w:sz w:val="18"/>
              </w:rPr>
              <w:t>link.exe / lib.exe</w:t>
            </w:r>
          </w:p>
        </w:tc>
        <w:tc>
          <w:tcPr>
            <w:tcW w:type="dxa" w:w="3024"/>
          </w:tcPr>
          <w:p>
            <w:pPr>
              <w:spacing w:before="40" w:after="40"/>
            </w:pPr>
            <w:r>
              <w:rPr>
                <w:sz w:val="18"/>
              </w:rPr>
              <w:t>Off / off</w:t>
            </w:r>
          </w:p>
        </w:tc>
      </w:tr>
      <w:tr>
        <w:trPr>
          <w:cantSplit/>
        </w:trPr>
        <w:tc>
          <w:tcPr>
            <w:tcW w:type="dxa" w:w="2304"/>
          </w:tcPr>
          <w:p>
            <w:pPr>
              <w:spacing w:before="40" w:after="40"/>
            </w:pPr>
            <w:r>
              <w:rPr>
                <w:sz w:val="18"/>
              </w:rPr>
              <w:t>Microsoft-retained PGO</w:t>
            </w:r>
          </w:p>
        </w:tc>
        <w:tc>
          <w:tcPr>
            <w:tcW w:type="dxa" w:w="2088"/>
          </w:tcPr>
          <w:p>
            <w:pPr>
              <w:spacing w:before="40" w:after="40"/>
            </w:pPr>
            <w:r>
              <w:rPr>
                <w:sz w:val="18"/>
              </w:rPr>
              <w:t>Fresh full opt-dist</w:t>
            </w:r>
          </w:p>
        </w:tc>
        <w:tc>
          <w:tcPr>
            <w:tcW w:type="dxa" w:w="2592"/>
          </w:tcPr>
          <w:p>
            <w:pPr>
              <w:spacing w:before="40" w:after="40"/>
            </w:pPr>
            <w:r>
              <w:rPr>
                <w:sz w:val="18"/>
              </w:rPr>
              <w:t>link.exe / lib.exe</w:t>
            </w:r>
          </w:p>
        </w:tc>
        <w:tc>
          <w:tcPr>
            <w:tcW w:type="dxa" w:w="3024"/>
          </w:tcPr>
          <w:p>
            <w:pPr>
              <w:spacing w:before="40" w:after="40"/>
            </w:pPr>
            <w:r>
              <w:rPr>
                <w:sz w:val="18"/>
              </w:rPr>
              <w:t>Off / off</w:t>
            </w:r>
          </w:p>
        </w:tc>
      </w:tr>
      <w:tr>
        <w:trPr>
          <w:cantSplit/>
        </w:trPr>
        <w:tc>
          <w:tcPr>
            <w:tcW w:type="dxa" w:w="2304"/>
          </w:tcPr>
          <w:p>
            <w:pPr>
              <w:spacing w:before="40" w:after="40"/>
            </w:pPr>
            <w:r>
              <w:rPr>
                <w:sz w:val="18"/>
              </w:rPr>
              <w:t>Combined LLVM recipe</w:t>
            </w:r>
          </w:p>
        </w:tc>
        <w:tc>
          <w:tcPr>
            <w:tcW w:type="dxa" w:w="2088"/>
          </w:tcPr>
          <w:p>
            <w:pPr>
              <w:spacing w:before="40" w:after="40"/>
            </w:pPr>
            <w:r>
              <w:rPr>
                <w:sz w:val="18"/>
              </w:rPr>
              <w:t>Fresh full opt-dist</w:t>
            </w:r>
          </w:p>
        </w:tc>
        <w:tc>
          <w:tcPr>
            <w:tcW w:type="dxa" w:w="2592"/>
          </w:tcPr>
          <w:p>
            <w:pPr>
              <w:spacing w:before="40" w:after="40"/>
            </w:pPr>
            <w:r>
              <w:rPr>
                <w:sz w:val="18"/>
              </w:rPr>
              <w:t>lld-link / llvm-lib</w:t>
            </w:r>
          </w:p>
        </w:tc>
        <w:tc>
          <w:tcPr>
            <w:tcW w:type="dxa" w:w="3024"/>
          </w:tcPr>
          <w:p>
            <w:pPr>
              <w:spacing w:before="40" w:after="40"/>
            </w:pPr>
            <w:r>
              <w:rPr>
                <w:sz w:val="18"/>
              </w:rPr>
              <w:t>Thin / thin</w:t>
            </w:r>
          </w:p>
        </w:tc>
      </w:tr>
      <w:tr>
        <w:trPr>
          <w:cantSplit/>
        </w:trPr>
        <w:tc>
          <w:tcPr>
            <w:tcW w:type="dxa" w:w="2304"/>
          </w:tcPr>
          <w:p>
            <w:r>
              <w:t>Historical Arm64 scaling</w:t>
            </w:r>
          </w:p>
        </w:tc>
        <w:tc>
          <w:tcPr>
            <w:tcW w:type="dxa" w:w="2088"/>
          </w:tcPr>
          <w:p>
            <w:pPr>
              <w:spacing w:before="40" w:after="40"/>
            </w:pPr>
            <w:r>
              <w:rPr>
                <w:sz w:val="18"/>
              </w:rPr>
              <w:t>Fresh full opt-dist</w:t>
            </w:r>
          </w:p>
        </w:tc>
        <w:tc>
          <w:tcPr>
            <w:tcW w:type="dxa" w:w="2592"/>
          </w:tcPr>
          <w:p>
            <w:pPr>
              <w:spacing w:before="40" w:after="40"/>
            </w:pPr>
            <w:r>
              <w:rPr>
                <w:sz w:val="18"/>
              </w:rPr>
              <w:t>link.exe / lib.exe</w:t>
            </w:r>
          </w:p>
        </w:tc>
        <w:tc>
          <w:tcPr>
            <w:tcW w:type="dxa" w:w="3024"/>
          </w:tcPr>
          <w:p>
            <w:pPr>
              <w:spacing w:before="40" w:after="40"/>
            </w:pPr>
            <w:r>
              <w:rPr>
                <w:sz w:val="18"/>
              </w:rPr>
              <w:t>Off / thin</w:t>
            </w:r>
          </w:p>
        </w:tc>
      </w:tr>
    </w:tbl>
    <w:p>
      <w:r>
        <w:t>All recipes use clang-cl. Full distributions retain tools, docs, MSI, x64 Cranelift and Arm64 Arm64EC. Fresh profiles differ between the historical optimized recipes, so that comparison does not isolate LTO. New x64 NVMe scaling uses the current-PR fresh-PGO recipe without added cross-crate LTO.</w:t>
      </w:r>
    </w:p>
    <w:p>
      <w:pPr>
        <w:pStyle w:val="Heading2"/>
      </w:pPr>
      <w:r>
        <w:t>Timing boundaries</w:t>
      </w:r>
    </w:p>
    <w:tbl>
      <w:tblPr>
        <w:tblStyle w:val="LightShading-Accent1"/>
        <w:tblW w:type="auto" w:w="0"/>
        <w:tblLayout w:type="fixed"/>
        <w:tblLook w:firstColumn="1" w:firstRow="1" w:lastColumn="0" w:lastRow="0" w:noHBand="0" w:noVBand="1" w:val="04A0"/>
      </w:tblPr>
      <w:tblGrid>
        <w:gridCol w:w="2016"/>
        <w:gridCol w:w="3816"/>
        <w:gridCol w:w="4176"/>
      </w:tblGrid>
      <w:tr>
        <w:trPr>
          <w:tblHeader/>
          <w:cantSplit/>
        </w:trPr>
        <w:tc>
          <w:tcPr>
            <w:tcW w:type="dxa" w:w="2016"/>
          </w:tcPr>
          <w:p>
            <w:pPr>
              <w:spacing w:before="40" w:after="40"/>
            </w:pPr>
            <w:r>
              <w:rPr>
                <w:sz w:val="18"/>
              </w:rPr>
              <w:t>Measurement</w:t>
            </w:r>
          </w:p>
        </w:tc>
        <w:tc>
          <w:tcPr>
            <w:tcW w:type="dxa" w:w="3816"/>
          </w:tcPr>
          <w:p>
            <w:pPr>
              <w:spacing w:before="40" w:after="40"/>
            </w:pPr>
            <w:r>
              <w:rPr>
                <w:sz w:val="18"/>
              </w:rPr>
              <w:t>Included</w:t>
            </w:r>
          </w:p>
        </w:tc>
        <w:tc>
          <w:tcPr>
            <w:tcW w:type="dxa" w:w="4176"/>
          </w:tcPr>
          <w:p>
            <w:pPr>
              <w:spacing w:before="40" w:after="40"/>
            </w:pPr>
            <w:r>
              <w:rPr>
                <w:sz w:val="18"/>
              </w:rPr>
              <w:t>Excluded / caveat</w:t>
            </w:r>
          </w:p>
        </w:tc>
      </w:tr>
      <w:tr>
        <w:trPr>
          <w:cantSplit/>
        </w:trPr>
        <w:tc>
          <w:tcPr>
            <w:tcW w:type="dxa" w:w="2016"/>
          </w:tcPr>
          <w:p>
            <w:pPr>
              <w:spacing w:before="40" w:after="40"/>
            </w:pPr>
            <w:r>
              <w:rPr>
                <w:sz w:val="18"/>
              </w:rPr>
              <w:t>IronRDP compilation</w:t>
            </w:r>
          </w:p>
        </w:tc>
        <w:tc>
          <w:tcPr>
            <w:tcW w:type="dxa" w:w="3816"/>
          </w:tcPr>
          <w:p>
            <w:pPr>
              <w:spacing w:before="40" w:after="40"/>
            </w:pPr>
            <w:r>
              <w:rPr>
                <w:sz w:val="18"/>
              </w:rPr>
              <w:t>Wall time of five frozen, offline Cargo commands</w:t>
            </w:r>
          </w:p>
        </w:tc>
        <w:tc>
          <w:tcPr>
            <w:tcW w:type="dxa" w:w="4176"/>
          </w:tcPr>
          <w:p>
            <w:pPr>
              <w:spacing w:before="40" w:after="40"/>
            </w:pPr>
            <w:r>
              <w:rPr>
                <w:sz w:val="18"/>
              </w:rPr>
              <w:t>Setup, downloads, execution of correctness tests and uploads; not raw CPU time</w:t>
            </w:r>
          </w:p>
        </w:tc>
      </w:tr>
      <w:tr>
        <w:trPr>
          <w:cantSplit/>
        </w:trPr>
        <w:tc>
          <w:tcPr>
            <w:tcW w:type="dxa" w:w="2016"/>
          </w:tcPr>
          <w:p>
            <w:pPr>
              <w:spacing w:before="40" w:after="40"/>
            </w:pPr>
            <w:r>
              <w:rPr>
                <w:sz w:val="18"/>
              </w:rPr>
              <w:t>Rust production</w:t>
            </w:r>
          </w:p>
        </w:tc>
        <w:tc>
          <w:tcPr>
            <w:tcW w:type="dxa" w:w="3816"/>
          </w:tcPr>
          <w:p>
            <w:pPr>
              <w:spacing w:before="40" w:after="40"/>
            </w:pPr>
            <w:r>
              <w:rPr>
                <w:sz w:val="18"/>
              </w:rPr>
              <w:t>Helper; fresh training; profile merging; full dist</w:t>
            </w:r>
          </w:p>
        </w:tc>
        <w:tc>
          <w:tcPr>
            <w:tcW w:type="dxa" w:w="4176"/>
          </w:tcPr>
          <w:p>
            <w:pPr>
              <w:spacing w:before="40" w:after="40"/>
            </w:pPr>
            <w:r>
              <w:rPr>
                <w:sz w:val="18"/>
              </w:rPr>
              <w:t>Initial source/tool setup, post-build qualification and uploads. Logs include dependency downloads</w:t>
            </w:r>
          </w:p>
        </w:tc>
      </w:tr>
      <w:tr>
        <w:trPr>
          <w:cantSplit/>
        </w:trPr>
        <w:tc>
          <w:tcPr>
            <w:tcW w:type="dxa" w:w="2016"/>
          </w:tcPr>
          <w:p>
            <w:pPr>
              <w:spacing w:before="40" w:after="40"/>
            </w:pPr>
            <w:r>
              <w:rPr>
                <w:sz w:val="18"/>
              </w:rPr>
              <w:t>Whole release job</w:t>
            </w:r>
          </w:p>
        </w:tc>
        <w:tc>
          <w:tcPr>
            <w:tcW w:type="dxa" w:w="3816"/>
          </w:tcPr>
          <w:p>
            <w:pPr>
              <w:spacing w:before="40" w:after="40"/>
            </w:pPr>
            <w:r>
              <w:rPr>
                <w:sz w:val="18"/>
              </w:rPr>
              <w:t>Successful job start-to-finish; setup, qualification, uploads and applicable cleanup</w:t>
            </w:r>
          </w:p>
        </w:tc>
        <w:tc>
          <w:tcPr>
            <w:tcW w:type="dxa" w:w="4176"/>
          </w:tcPr>
          <w:p>
            <w:pPr>
              <w:spacing w:before="40" w:after="40"/>
            </w:pPr>
            <w:r>
              <w:rPr>
                <w:sz w:val="18"/>
              </w:rPr>
              <w:t>Queue delay, failed attempts and separate recovery jobs</w:t>
            </w:r>
          </w:p>
        </w:tc>
      </w:tr>
      <w:tr>
        <w:trPr>
          <w:cantSplit/>
        </w:trPr>
        <w:tc>
          <w:tcPr>
            <w:tcW w:type="dxa" w:w="2016"/>
          </w:tcPr>
          <w:p>
            <w:pPr>
              <w:spacing w:before="40" w:after="40"/>
            </w:pPr>
            <w:r>
              <w:rPr>
                <w:sz w:val="18"/>
              </w:rPr>
              <w:t>CPU occupancy</w:t>
            </w:r>
          </w:p>
        </w:tc>
        <w:tc>
          <w:tcPr>
            <w:tcW w:type="dxa" w:w="3816"/>
          </w:tcPr>
          <w:p>
            <w:pPr>
              <w:spacing w:before="40" w:after="40"/>
            </w:pPr>
            <w:r>
              <w:rPr>
                <w:sz w:val="18"/>
              </w:rPr>
              <w:t>Process-tree CPU-seconds / measured wall seconds</w:t>
            </w:r>
          </w:p>
        </w:tc>
        <w:tc>
          <w:tcPr>
            <w:tcW w:type="dxa" w:w="4176"/>
          </w:tcPr>
          <w:p>
            <w:pPr>
              <w:spacing w:before="40" w:after="40"/>
            </w:pPr>
            <w:r>
              <w:rPr>
                <w:sz w:val="18"/>
              </w:rPr>
              <w:t>Not whole-machine utilization; compare only like timing boundaries</w:t>
            </w:r>
          </w:p>
        </w:tc>
      </w:tr>
    </w:tbl>
    <w:p>
      <w:pPr>
        <w:pStyle w:val="Heading2"/>
      </w:pPr>
      <w:r>
        <w:t>Timed IronRDP commands</w:t>
      </w:r>
    </w:p>
    <w:p>
      <w:r>
        <w:t>Each timed IronRDP command uses --frozen with CARGO_NET_OFFLINE=true. Older matched sets share baseline Cargo/std as an experimental control, not an adoption recipe. The later upstream try-artifact check shares Cargo but retains each compiler's bundled standard library.</w:t>
      </w:r>
    </w:p>
    <w:p>
      <w:pPr>
        <w:spacing w:after="60"/>
      </w:pPr>
      <w:r>
        <w:rPr>
          <w:rFonts w:ascii="Consolas" w:hAnsi="Consolas"/>
          <w:sz w:val="16"/>
        </w:rPr>
        <w:t>cargo build -p xtask</w:t>
      </w:r>
    </w:p>
    <w:p>
      <w:pPr>
        <w:spacing w:after="60"/>
      </w:pPr>
      <w:r>
        <w:rPr>
          <w:rFonts w:ascii="Consolas" w:hAnsi="Consolas"/>
          <w:sz w:val="16"/>
        </w:rPr>
        <w:t>cargo test --workspace --no-run</w:t>
      </w:r>
    </w:p>
    <w:p>
      <w:pPr>
        <w:spacing w:after="60"/>
      </w:pPr>
      <w:r>
        <w:rPr>
          <w:rFonts w:ascii="Consolas" w:hAnsi="Consolas"/>
          <w:sz w:val="16"/>
        </w:rPr>
        <w:t>cargo test -p ironrdp-tls --test native_tls --features native-tls --no-run</w:t>
      </w:r>
    </w:p>
    <w:p>
      <w:pPr>
        <w:spacing w:after="60"/>
      </w:pPr>
      <w:r>
        <w:rPr>
          <w:rFonts w:ascii="Consolas" w:hAnsi="Consolas"/>
          <w:sz w:val="16"/>
        </w:rPr>
        <w:t>cargo test -p ironrdp-mstsgu --test http_auth --features native-tls --no-run</w:t>
      </w:r>
    </w:p>
    <w:p>
      <w:pPr>
        <w:spacing w:after="60"/>
      </w:pPr>
      <w:r>
        <w:rPr>
          <w:rFonts w:ascii="Consolas" w:hAnsi="Consolas"/>
          <w:sz w:val="16"/>
        </w:rPr>
        <w:t>cargo test -p ironrdp-mstsgu --test http_auth --features native-tls,smartcard --no-run</w:t>
      </w:r>
    </w:p>
    <w:p>
      <w:r>
        <w:t>Correctness runs the four test commands outside timing, serially and consistently. Distribution qualification checks manifests, profile counters, native tools, optimization flags and suites executed using extracted distribution compilers, including UI/codegen/incremental/rustdoc tests.</w:t>
      </w:r>
    </w:p>
    <w:p>
      <w:r>
        <w:br w:type="page"/>
      </w:r>
    </w:p>
    <w:p>
      <w:pPr>
        <w:pStyle w:val="Heading1"/>
      </w:pPr>
      <w:r>
        <w:t>3. Qualified full-release pilots: separate benefit and cost</w:t>
      </w:r>
    </w:p>
    <w:p>
      <w:r>
        <w:t>One accepted observation per machine/recipe, versus a same-machine no-PGO control. The cost table below retains ordinary Arm64 and GB300 production; later x64 D: NVMe costs appear in section 5. The x64 IronRDP endpoint remains valid: 737.35 -&gt; 555.78s with Microsoft PGO, or 526.00s with the broader LLVM recipe.</w:t>
      </w:r>
    </w:p>
    <w:tbl>
      <w:tblPr>
        <w:tblStyle w:val="LightShading-Accent1"/>
        <w:tblW w:type="auto" w:w="0"/>
        <w:tblLayout w:type="fixed"/>
        <w:tblLook w:firstColumn="1" w:firstRow="1" w:lastColumn="0" w:lastRow="0" w:noHBand="0" w:noVBand="1" w:val="04A0"/>
      </w:tblPr>
      <w:tblGrid>
        <w:gridCol w:w="1800"/>
        <w:gridCol w:w="2088"/>
        <w:gridCol w:w="1440"/>
        <w:gridCol w:w="1440"/>
        <w:gridCol w:w="1656"/>
        <w:gridCol w:w="1584"/>
      </w:tblGrid>
      <w:tr>
        <w:trPr>
          <w:tblHeader/>
          <w:cantSplit/>
        </w:trPr>
        <w:tc>
          <w:tcPr>
            <w:tcW w:type="dxa" w:w="1800"/>
          </w:tcPr>
          <w:p>
            <w:pPr>
              <w:spacing w:before="40" w:after="40"/>
            </w:pPr>
            <w:r>
              <w:rPr>
                <w:sz w:val="17"/>
              </w:rPr>
              <w:t>Allocation</w:t>
            </w:r>
          </w:p>
        </w:tc>
        <w:tc>
          <w:tcPr>
            <w:tcW w:type="dxa" w:w="2088"/>
          </w:tcPr>
          <w:p>
            <w:pPr>
              <w:spacing w:before="40" w:after="40"/>
            </w:pPr>
            <w:r>
              <w:rPr>
                <w:sz w:val="17"/>
              </w:rPr>
              <w:t>Recipe</w:t>
            </w:r>
          </w:p>
        </w:tc>
        <w:tc>
          <w:tcPr>
            <w:tcW w:type="dxa" w:w="1440"/>
          </w:tcPr>
          <w:p>
            <w:pPr>
              <w:spacing w:before="40" w:after="40"/>
            </w:pPr>
            <w:r>
              <w:rPr>
                <w:sz w:val="17"/>
              </w:rPr>
              <w:t>Production</w:t>
              <w:br/>
              <w:t>min</w:t>
            </w:r>
          </w:p>
        </w:tc>
        <w:tc>
          <w:tcPr>
            <w:tcW w:type="dxa" w:w="1440"/>
          </w:tcPr>
          <w:p>
            <w:pPr>
              <w:spacing w:before="40" w:after="40"/>
            </w:pPr>
            <w:r>
              <w:rPr>
                <w:sz w:val="17"/>
              </w:rPr>
              <w:t>Whole job</w:t>
              <w:br/>
              <w:t>min</w:t>
            </w:r>
          </w:p>
        </w:tc>
        <w:tc>
          <w:tcPr>
            <w:tcW w:type="dxa" w:w="1656"/>
          </w:tcPr>
          <w:p>
            <w:pPr>
              <w:spacing w:before="40" w:after="40"/>
            </w:pPr>
            <w:r>
              <w:rPr>
                <w:sz w:val="17"/>
              </w:rPr>
              <w:t>IronRDP</w:t>
              <w:br/>
              <w:t>seconds</w:t>
            </w:r>
          </w:p>
        </w:tc>
        <w:tc>
          <w:tcPr>
            <w:tcW w:type="dxa" w:w="1584"/>
          </w:tcPr>
          <w:p>
            <w:pPr>
              <w:spacing w:before="40" w:after="40"/>
            </w:pPr>
            <w:r>
              <w:rPr>
                <w:sz w:val="17"/>
              </w:rPr>
              <w:t>Saving</w:t>
            </w:r>
          </w:p>
        </w:tc>
      </w:tr>
      <w:tr>
        <w:trPr>
          <w:cantSplit/>
        </w:trPr>
        <w:tc>
          <w:tcPr>
            <w:tcW w:type="dxa" w:w="1800"/>
          </w:tcPr>
          <w:p>
            <w:pPr>
              <w:spacing w:before="40" w:after="40"/>
            </w:pPr>
            <w:r>
              <w:rPr>
                <w:sz w:val="17"/>
              </w:rPr>
              <w:t>Arm64 / 4 LP</w:t>
            </w:r>
          </w:p>
        </w:tc>
        <w:tc>
          <w:tcPr>
            <w:tcW w:type="dxa" w:w="2088"/>
          </w:tcPr>
          <w:p>
            <w:pPr>
              <w:spacing w:before="40" w:after="40"/>
            </w:pPr>
            <w:r>
              <w:rPr>
                <w:sz w:val="17"/>
              </w:rPr>
              <w:t>No PGO</w:t>
            </w:r>
          </w:p>
        </w:tc>
        <w:tc>
          <w:tcPr>
            <w:tcW w:type="dxa" w:w="1440"/>
          </w:tcPr>
          <w:p>
            <w:pPr>
              <w:spacing w:before="40" w:after="40"/>
            </w:pPr>
            <w:r>
              <w:rPr>
                <w:sz w:val="17"/>
              </w:rPr>
              <w:t>180.1</w:t>
            </w:r>
          </w:p>
        </w:tc>
        <w:tc>
          <w:tcPr>
            <w:tcW w:type="dxa" w:w="1440"/>
          </w:tcPr>
          <w:p>
            <w:pPr>
              <w:spacing w:before="40" w:after="40"/>
            </w:pPr>
            <w:r>
              <w:rPr>
                <w:sz w:val="17"/>
              </w:rPr>
              <w:t>277.9</w:t>
            </w:r>
          </w:p>
        </w:tc>
        <w:tc>
          <w:tcPr>
            <w:tcW w:type="dxa" w:w="1656"/>
          </w:tcPr>
          <w:p>
            <w:pPr>
              <w:spacing w:before="40" w:after="40"/>
            </w:pPr>
            <w:r>
              <w:rPr>
                <w:sz w:val="17"/>
              </w:rPr>
              <w:t>1,348.55</w:t>
            </w:r>
          </w:p>
        </w:tc>
        <w:tc>
          <w:tcPr>
            <w:tcW w:type="dxa" w:w="1584"/>
          </w:tcPr>
          <w:p>
            <w:pPr>
              <w:spacing w:before="40" w:after="40"/>
            </w:pPr>
            <w:r>
              <w:rPr>
                <w:sz w:val="17"/>
              </w:rPr>
              <w:t>0.0%</w:t>
            </w:r>
          </w:p>
        </w:tc>
      </w:tr>
      <w:tr>
        <w:trPr>
          <w:cantSplit/>
        </w:trPr>
        <w:tc>
          <w:tcPr>
            <w:tcW w:type="dxa" w:w="1800"/>
          </w:tcPr>
          <w:p>
            <w:pPr>
              <w:spacing w:before="40" w:after="40"/>
            </w:pPr>
            <w:r>
              <w:rPr>
                <w:sz w:val="17"/>
              </w:rPr>
              <w:t>Arm64 / 4 LP</w:t>
            </w:r>
          </w:p>
        </w:tc>
        <w:tc>
          <w:tcPr>
            <w:tcW w:type="dxa" w:w="2088"/>
          </w:tcPr>
          <w:p>
            <w:pPr>
              <w:spacing w:before="40" w:after="40"/>
            </w:pPr>
            <w:r>
              <w:rPr>
                <w:sz w:val="17"/>
              </w:rPr>
              <w:t>MS-linked PGO</w:t>
            </w:r>
          </w:p>
        </w:tc>
        <w:tc>
          <w:tcPr>
            <w:tcW w:type="dxa" w:w="1440"/>
          </w:tcPr>
          <w:p>
            <w:pPr>
              <w:spacing w:before="40" w:after="40"/>
            </w:pPr>
            <w:r>
              <w:rPr>
                <w:sz w:val="17"/>
              </w:rPr>
              <w:t>431.9</w:t>
            </w:r>
          </w:p>
        </w:tc>
        <w:tc>
          <w:tcPr>
            <w:tcW w:type="dxa" w:w="1440"/>
          </w:tcPr>
          <w:p>
            <w:pPr>
              <w:spacing w:before="40" w:after="40"/>
            </w:pPr>
            <w:r>
              <w:rPr>
                <w:sz w:val="17"/>
              </w:rPr>
              <w:t>528.5</w:t>
            </w:r>
          </w:p>
        </w:tc>
        <w:tc>
          <w:tcPr>
            <w:tcW w:type="dxa" w:w="1656"/>
          </w:tcPr>
          <w:p>
            <w:pPr>
              <w:spacing w:before="40" w:after="40"/>
            </w:pPr>
            <w:r>
              <w:rPr>
                <w:sz w:val="17"/>
              </w:rPr>
              <w:t>1,018.93</w:t>
            </w:r>
          </w:p>
        </w:tc>
        <w:tc>
          <w:tcPr>
            <w:tcW w:type="dxa" w:w="1584"/>
          </w:tcPr>
          <w:p>
            <w:pPr>
              <w:spacing w:before="40" w:after="40"/>
            </w:pPr>
            <w:r>
              <w:rPr>
                <w:sz w:val="17"/>
              </w:rPr>
              <w:t>24.4%</w:t>
            </w:r>
          </w:p>
        </w:tc>
      </w:tr>
      <w:tr>
        <w:trPr>
          <w:cantSplit/>
        </w:trPr>
        <w:tc>
          <w:tcPr>
            <w:tcW w:type="dxa" w:w="1800"/>
          </w:tcPr>
          <w:p>
            <w:pPr>
              <w:spacing w:before="40" w:after="40"/>
            </w:pPr>
            <w:r>
              <w:rPr>
                <w:sz w:val="17"/>
              </w:rPr>
              <w:t>Arm64 / 4 LP</w:t>
            </w:r>
          </w:p>
        </w:tc>
        <w:tc>
          <w:tcPr>
            <w:tcW w:type="dxa" w:w="2088"/>
          </w:tcPr>
          <w:p>
            <w:pPr>
              <w:spacing w:before="40" w:after="40"/>
            </w:pPr>
            <w:r>
              <w:rPr>
                <w:sz w:val="17"/>
              </w:rPr>
              <w:t>LLVM + PGO + LTO</w:t>
            </w:r>
          </w:p>
        </w:tc>
        <w:tc>
          <w:tcPr>
            <w:tcW w:type="dxa" w:w="1440"/>
          </w:tcPr>
          <w:p>
            <w:pPr>
              <w:spacing w:before="40" w:after="40"/>
            </w:pPr>
            <w:r>
              <w:rPr>
                <w:sz w:val="17"/>
              </w:rPr>
              <w:t>656.4</w:t>
            </w:r>
          </w:p>
        </w:tc>
        <w:tc>
          <w:tcPr>
            <w:tcW w:type="dxa" w:w="1440"/>
          </w:tcPr>
          <w:p>
            <w:pPr>
              <w:spacing w:before="40" w:after="40"/>
            </w:pPr>
            <w:r>
              <w:rPr>
                <w:sz w:val="17"/>
              </w:rPr>
              <w:t>760.0</w:t>
            </w:r>
          </w:p>
        </w:tc>
        <w:tc>
          <w:tcPr>
            <w:tcW w:type="dxa" w:w="1656"/>
          </w:tcPr>
          <w:p>
            <w:pPr>
              <w:spacing w:before="40" w:after="40"/>
            </w:pPr>
            <w:r>
              <w:rPr>
                <w:sz w:val="17"/>
              </w:rPr>
              <w:t>972.70</w:t>
            </w:r>
          </w:p>
        </w:tc>
        <w:tc>
          <w:tcPr>
            <w:tcW w:type="dxa" w:w="1584"/>
          </w:tcPr>
          <w:p>
            <w:pPr>
              <w:spacing w:before="40" w:after="40"/>
            </w:pPr>
            <w:r>
              <w:rPr>
                <w:sz w:val="17"/>
              </w:rPr>
              <w:t>27.9%</w:t>
            </w:r>
          </w:p>
        </w:tc>
      </w:tr>
      <w:tr>
        <w:trPr>
          <w:cantSplit/>
        </w:trPr>
        <w:tc>
          <w:tcPr>
            <w:tcW w:type="dxa" w:w="1800"/>
          </w:tcPr>
          <w:p>
            <w:pPr>
              <w:spacing w:before="40" w:after="40"/>
            </w:pPr>
            <w:r>
              <w:rPr>
                <w:sz w:val="17"/>
              </w:rPr>
              <w:t>GB300 Arm64 / 64 LP</w:t>
            </w:r>
          </w:p>
        </w:tc>
        <w:tc>
          <w:tcPr>
            <w:tcW w:type="dxa" w:w="2088"/>
          </w:tcPr>
          <w:p>
            <w:pPr>
              <w:spacing w:before="40" w:after="40"/>
            </w:pPr>
            <w:r>
              <w:rPr>
                <w:sz w:val="17"/>
              </w:rPr>
              <w:t>No PGO</w:t>
            </w:r>
          </w:p>
        </w:tc>
        <w:tc>
          <w:tcPr>
            <w:tcW w:type="dxa" w:w="1440"/>
          </w:tcPr>
          <w:p>
            <w:pPr>
              <w:spacing w:before="40" w:after="40"/>
            </w:pPr>
            <w:r>
              <w:rPr>
                <w:sz w:val="17"/>
              </w:rPr>
              <w:t>138.5</w:t>
            </w:r>
          </w:p>
        </w:tc>
        <w:tc>
          <w:tcPr>
            <w:tcW w:type="dxa" w:w="1440"/>
          </w:tcPr>
          <w:p>
            <w:pPr>
              <w:spacing w:before="40" w:after="40"/>
            </w:pPr>
            <w:r>
              <w:rPr>
                <w:sz w:val="17"/>
              </w:rPr>
              <w:t>168.1</w:t>
            </w:r>
          </w:p>
        </w:tc>
        <w:tc>
          <w:tcPr>
            <w:tcW w:type="dxa" w:w="1656"/>
          </w:tcPr>
          <w:p>
            <w:pPr>
              <w:spacing w:before="40" w:after="40"/>
            </w:pPr>
            <w:r>
              <w:rPr>
                <w:sz w:val="17"/>
              </w:rPr>
              <w:t>200.28</w:t>
            </w:r>
          </w:p>
        </w:tc>
        <w:tc>
          <w:tcPr>
            <w:tcW w:type="dxa" w:w="1584"/>
          </w:tcPr>
          <w:p>
            <w:pPr>
              <w:spacing w:before="40" w:after="40"/>
            </w:pPr>
            <w:r>
              <w:rPr>
                <w:sz w:val="17"/>
              </w:rPr>
              <w:t>0.0%</w:t>
            </w:r>
          </w:p>
        </w:tc>
      </w:tr>
      <w:tr>
        <w:trPr>
          <w:cantSplit/>
        </w:trPr>
        <w:tc>
          <w:tcPr>
            <w:tcW w:type="dxa" w:w="1800"/>
          </w:tcPr>
          <w:p>
            <w:pPr>
              <w:spacing w:before="40" w:after="40"/>
            </w:pPr>
            <w:r>
              <w:rPr>
                <w:sz w:val="17"/>
              </w:rPr>
              <w:t>GB300 Arm64 / 64 LP</w:t>
            </w:r>
          </w:p>
        </w:tc>
        <w:tc>
          <w:tcPr>
            <w:tcW w:type="dxa" w:w="2088"/>
          </w:tcPr>
          <w:p>
            <w:pPr>
              <w:spacing w:before="40" w:after="40"/>
            </w:pPr>
            <w:r>
              <w:rPr>
                <w:sz w:val="17"/>
              </w:rPr>
              <w:t>MS-linked PGO</w:t>
            </w:r>
          </w:p>
        </w:tc>
        <w:tc>
          <w:tcPr>
            <w:tcW w:type="dxa" w:w="1440"/>
          </w:tcPr>
          <w:p>
            <w:pPr>
              <w:spacing w:before="40" w:after="40"/>
            </w:pPr>
            <w:r>
              <w:rPr>
                <w:sz w:val="17"/>
              </w:rPr>
              <w:t>182.6</w:t>
            </w:r>
          </w:p>
        </w:tc>
        <w:tc>
          <w:tcPr>
            <w:tcW w:type="dxa" w:w="1440"/>
          </w:tcPr>
          <w:p>
            <w:pPr>
              <w:spacing w:before="40" w:after="40"/>
            </w:pPr>
            <w:r>
              <w:rPr>
                <w:sz w:val="17"/>
              </w:rPr>
              <w:t>215.2</w:t>
            </w:r>
          </w:p>
        </w:tc>
        <w:tc>
          <w:tcPr>
            <w:tcW w:type="dxa" w:w="1656"/>
          </w:tcPr>
          <w:p>
            <w:pPr>
              <w:spacing w:before="40" w:after="40"/>
            </w:pPr>
            <w:r>
              <w:rPr>
                <w:sz w:val="17"/>
              </w:rPr>
              <w:t>157.30</w:t>
            </w:r>
          </w:p>
        </w:tc>
        <w:tc>
          <w:tcPr>
            <w:tcW w:type="dxa" w:w="1584"/>
          </w:tcPr>
          <w:p>
            <w:pPr>
              <w:spacing w:before="40" w:after="40"/>
            </w:pPr>
            <w:r>
              <w:rPr>
                <w:sz w:val="17"/>
              </w:rPr>
              <w:t>21.5%</w:t>
            </w:r>
          </w:p>
        </w:tc>
      </w:tr>
      <w:tr>
        <w:trPr>
          <w:cantSplit/>
        </w:trPr>
        <w:tc>
          <w:tcPr>
            <w:tcW w:type="dxa" w:w="1800"/>
          </w:tcPr>
          <w:p>
            <w:pPr>
              <w:spacing w:before="40" w:after="40"/>
            </w:pPr>
            <w:r>
              <w:rPr>
                <w:sz w:val="17"/>
              </w:rPr>
              <w:t>GB300 Arm64 / 64 LP</w:t>
            </w:r>
          </w:p>
        </w:tc>
        <w:tc>
          <w:tcPr>
            <w:tcW w:type="dxa" w:w="2088"/>
          </w:tcPr>
          <w:p>
            <w:pPr>
              <w:spacing w:before="40" w:after="40"/>
            </w:pPr>
            <w:r>
              <w:rPr>
                <w:sz w:val="17"/>
              </w:rPr>
              <w:t>LLVM + PGO + LTO</w:t>
            </w:r>
          </w:p>
        </w:tc>
        <w:tc>
          <w:tcPr>
            <w:tcW w:type="dxa" w:w="1440"/>
          </w:tcPr>
          <w:p>
            <w:pPr>
              <w:spacing w:before="40" w:after="40"/>
            </w:pPr>
            <w:r>
              <w:rPr>
                <w:sz w:val="17"/>
              </w:rPr>
              <w:t>203.3</w:t>
            </w:r>
          </w:p>
        </w:tc>
        <w:tc>
          <w:tcPr>
            <w:tcW w:type="dxa" w:w="1440"/>
          </w:tcPr>
          <w:p>
            <w:pPr>
              <w:spacing w:before="40" w:after="40"/>
            </w:pPr>
            <w:r>
              <w:rPr>
                <w:sz w:val="17"/>
              </w:rPr>
              <w:t>236.2</w:t>
            </w:r>
          </w:p>
        </w:tc>
        <w:tc>
          <w:tcPr>
            <w:tcW w:type="dxa" w:w="1656"/>
          </w:tcPr>
          <w:p>
            <w:pPr>
              <w:spacing w:before="40" w:after="40"/>
            </w:pPr>
            <w:r>
              <w:rPr>
                <w:sz w:val="17"/>
              </w:rPr>
              <w:t>156.28</w:t>
            </w:r>
          </w:p>
        </w:tc>
        <w:tc>
          <w:tcPr>
            <w:tcW w:type="dxa" w:w="1584"/>
          </w:tcPr>
          <w:p>
            <w:pPr>
              <w:spacing w:before="40" w:after="40"/>
            </w:pPr>
            <w:r>
              <w:rPr>
                <w:sz w:val="17"/>
              </w:rPr>
              <w:t>22.0%</w:t>
            </w:r>
          </w:p>
        </w:tc>
      </w:tr>
    </w:tbl>
    <w:p>
      <w:pPr>
        <w:pStyle w:val="Heading2"/>
      </w:pPr>
      <w:r>
        <w:t>Native compilation components (seconds)</w:t>
      </w:r>
    </w:p>
    <w:p>
      <w:r>
        <w:t>XT = xtask bootstrap; WS = workspace test compilation; TLS = native-TLS test compilation; GW = gateway native-TLS; SC = gateway native-TLS + smartcard.</w:t>
      </w:r>
    </w:p>
    <w:tbl>
      <w:tblPr>
        <w:tblStyle w:val="LightShading-Accent1"/>
        <w:tblW w:type="auto" w:w="0"/>
        <w:tblLayout w:type="fixed"/>
        <w:tblLook w:firstColumn="1" w:firstRow="1" w:lastColumn="0" w:lastRow="0" w:noHBand="0" w:noVBand="1" w:val="04A0"/>
      </w:tblPr>
      <w:tblGrid>
        <w:gridCol w:w="2880"/>
        <w:gridCol w:w="1224"/>
        <w:gridCol w:w="1584"/>
        <w:gridCol w:w="1368"/>
        <w:gridCol w:w="1440"/>
        <w:gridCol w:w="1512"/>
      </w:tblGrid>
      <w:tr>
        <w:trPr>
          <w:tblHeader/>
          <w:cantSplit/>
        </w:trPr>
        <w:tc>
          <w:tcPr>
            <w:tcW w:type="dxa" w:w="2880"/>
          </w:tcPr>
          <w:p>
            <w:pPr>
              <w:spacing w:before="40" w:after="40"/>
            </w:pPr>
            <w:r>
              <w:rPr>
                <w:sz w:val="17"/>
              </w:rPr>
              <w:t>Allocation / recipe</w:t>
            </w:r>
          </w:p>
        </w:tc>
        <w:tc>
          <w:tcPr>
            <w:tcW w:type="dxa" w:w="1224"/>
          </w:tcPr>
          <w:p>
            <w:pPr>
              <w:spacing w:before="40" w:after="40"/>
            </w:pPr>
            <w:r>
              <w:rPr>
                <w:sz w:val="17"/>
              </w:rPr>
              <w:t>XT</w:t>
            </w:r>
          </w:p>
        </w:tc>
        <w:tc>
          <w:tcPr>
            <w:tcW w:type="dxa" w:w="1584"/>
          </w:tcPr>
          <w:p>
            <w:pPr>
              <w:spacing w:before="40" w:after="40"/>
            </w:pPr>
            <w:r>
              <w:rPr>
                <w:sz w:val="17"/>
              </w:rPr>
              <w:t>WS</w:t>
            </w:r>
          </w:p>
        </w:tc>
        <w:tc>
          <w:tcPr>
            <w:tcW w:type="dxa" w:w="1368"/>
          </w:tcPr>
          <w:p>
            <w:pPr>
              <w:spacing w:before="40" w:after="40"/>
            </w:pPr>
            <w:r>
              <w:rPr>
                <w:sz w:val="17"/>
              </w:rPr>
              <w:t>TLS</w:t>
            </w:r>
          </w:p>
        </w:tc>
        <w:tc>
          <w:tcPr>
            <w:tcW w:type="dxa" w:w="1440"/>
          </w:tcPr>
          <w:p>
            <w:pPr>
              <w:spacing w:before="40" w:after="40"/>
            </w:pPr>
            <w:r>
              <w:rPr>
                <w:sz w:val="17"/>
              </w:rPr>
              <w:t>GW</w:t>
            </w:r>
          </w:p>
        </w:tc>
        <w:tc>
          <w:tcPr>
            <w:tcW w:type="dxa" w:w="1512"/>
          </w:tcPr>
          <w:p>
            <w:pPr>
              <w:spacing w:before="40" w:after="40"/>
            </w:pPr>
            <w:r>
              <w:rPr>
                <w:sz w:val="17"/>
              </w:rPr>
              <w:t>SC</w:t>
            </w:r>
          </w:p>
        </w:tc>
      </w:tr>
      <w:tr>
        <w:trPr>
          <w:cantSplit/>
        </w:trPr>
        <w:tc>
          <w:tcPr>
            <w:tcW w:type="dxa" w:w="2880"/>
          </w:tcPr>
          <w:p>
            <w:pPr>
              <w:spacing w:before="40" w:after="40"/>
            </w:pPr>
            <w:r>
              <w:rPr>
                <w:sz w:val="17"/>
              </w:rPr>
              <w:t>x64 / 4 LP</w:t>
              <w:br/>
              <w:t>No PGO</w:t>
            </w:r>
          </w:p>
        </w:tc>
        <w:tc>
          <w:tcPr>
            <w:tcW w:type="dxa" w:w="1224"/>
          </w:tcPr>
          <w:p>
            <w:pPr>
              <w:spacing w:before="40" w:after="40"/>
            </w:pPr>
            <w:r>
              <w:rPr>
                <w:sz w:val="17"/>
              </w:rPr>
              <w:t>4.23</w:t>
            </w:r>
          </w:p>
        </w:tc>
        <w:tc>
          <w:tcPr>
            <w:tcW w:type="dxa" w:w="1584"/>
          </w:tcPr>
          <w:p>
            <w:pPr>
              <w:spacing w:before="40" w:after="40"/>
            </w:pPr>
            <w:r>
              <w:rPr>
                <w:sz w:val="17"/>
              </w:rPr>
              <w:t>582.44</w:t>
            </w:r>
          </w:p>
        </w:tc>
        <w:tc>
          <w:tcPr>
            <w:tcW w:type="dxa" w:w="1368"/>
          </w:tcPr>
          <w:p>
            <w:pPr>
              <w:spacing w:before="40" w:after="40"/>
            </w:pPr>
            <w:r>
              <w:rPr>
                <w:sz w:val="17"/>
              </w:rPr>
              <w:t>13.07</w:t>
            </w:r>
          </w:p>
        </w:tc>
        <w:tc>
          <w:tcPr>
            <w:tcW w:type="dxa" w:w="1440"/>
          </w:tcPr>
          <w:p>
            <w:pPr>
              <w:spacing w:before="40" w:after="40"/>
            </w:pPr>
            <w:r>
              <w:rPr>
                <w:sz w:val="17"/>
              </w:rPr>
              <w:t>70.01</w:t>
            </w:r>
          </w:p>
        </w:tc>
        <w:tc>
          <w:tcPr>
            <w:tcW w:type="dxa" w:w="1512"/>
          </w:tcPr>
          <w:p>
            <w:pPr>
              <w:spacing w:before="40" w:after="40"/>
            </w:pPr>
            <w:r>
              <w:rPr>
                <w:sz w:val="17"/>
              </w:rPr>
              <w:t>67.61</w:t>
            </w:r>
          </w:p>
        </w:tc>
      </w:tr>
      <w:tr>
        <w:trPr>
          <w:cantSplit/>
        </w:trPr>
        <w:tc>
          <w:tcPr>
            <w:tcW w:type="dxa" w:w="2880"/>
          </w:tcPr>
          <w:p>
            <w:pPr>
              <w:spacing w:before="40" w:after="40"/>
            </w:pPr>
            <w:r>
              <w:rPr>
                <w:sz w:val="17"/>
              </w:rPr>
              <w:t>x64 / 4 LP</w:t>
              <w:br/>
              <w:t>MS-linked PGO</w:t>
            </w:r>
          </w:p>
        </w:tc>
        <w:tc>
          <w:tcPr>
            <w:tcW w:type="dxa" w:w="1224"/>
          </w:tcPr>
          <w:p>
            <w:pPr>
              <w:spacing w:before="40" w:after="40"/>
            </w:pPr>
            <w:r>
              <w:rPr>
                <w:sz w:val="17"/>
              </w:rPr>
              <w:t>2.98</w:t>
            </w:r>
          </w:p>
        </w:tc>
        <w:tc>
          <w:tcPr>
            <w:tcW w:type="dxa" w:w="1584"/>
          </w:tcPr>
          <w:p>
            <w:pPr>
              <w:spacing w:before="40" w:after="40"/>
            </w:pPr>
            <w:r>
              <w:rPr>
                <w:sz w:val="17"/>
              </w:rPr>
              <w:t>429.76</w:t>
            </w:r>
          </w:p>
        </w:tc>
        <w:tc>
          <w:tcPr>
            <w:tcW w:type="dxa" w:w="1368"/>
          </w:tcPr>
          <w:p>
            <w:pPr>
              <w:spacing w:before="40" w:after="40"/>
            </w:pPr>
            <w:r>
              <w:rPr>
                <w:sz w:val="17"/>
              </w:rPr>
              <w:t>10.66</w:t>
            </w:r>
          </w:p>
        </w:tc>
        <w:tc>
          <w:tcPr>
            <w:tcW w:type="dxa" w:w="1440"/>
          </w:tcPr>
          <w:p>
            <w:pPr>
              <w:spacing w:before="40" w:after="40"/>
            </w:pPr>
            <w:r>
              <w:rPr>
                <w:sz w:val="17"/>
              </w:rPr>
              <w:t>56.99</w:t>
            </w:r>
          </w:p>
        </w:tc>
        <w:tc>
          <w:tcPr>
            <w:tcW w:type="dxa" w:w="1512"/>
          </w:tcPr>
          <w:p>
            <w:pPr>
              <w:spacing w:before="40" w:after="40"/>
            </w:pPr>
            <w:r>
              <w:rPr>
                <w:sz w:val="17"/>
              </w:rPr>
              <w:t>55.39</w:t>
            </w:r>
          </w:p>
        </w:tc>
      </w:tr>
      <w:tr>
        <w:trPr>
          <w:cantSplit/>
        </w:trPr>
        <w:tc>
          <w:tcPr>
            <w:tcW w:type="dxa" w:w="2880"/>
          </w:tcPr>
          <w:p>
            <w:pPr>
              <w:spacing w:before="40" w:after="40"/>
            </w:pPr>
            <w:r>
              <w:rPr>
                <w:sz w:val="17"/>
              </w:rPr>
              <w:t>x64 / 4 LP</w:t>
              <w:br/>
              <w:t>LLVM + PGO + LTO</w:t>
            </w:r>
          </w:p>
        </w:tc>
        <w:tc>
          <w:tcPr>
            <w:tcW w:type="dxa" w:w="1224"/>
          </w:tcPr>
          <w:p>
            <w:pPr>
              <w:spacing w:before="40" w:after="40"/>
            </w:pPr>
            <w:r>
              <w:rPr>
                <w:sz w:val="17"/>
              </w:rPr>
              <w:t>2.68</w:t>
            </w:r>
          </w:p>
        </w:tc>
        <w:tc>
          <w:tcPr>
            <w:tcW w:type="dxa" w:w="1584"/>
          </w:tcPr>
          <w:p>
            <w:pPr>
              <w:spacing w:before="40" w:after="40"/>
            </w:pPr>
            <w:r>
              <w:rPr>
                <w:sz w:val="17"/>
              </w:rPr>
              <w:t>402.29</w:t>
            </w:r>
          </w:p>
        </w:tc>
        <w:tc>
          <w:tcPr>
            <w:tcW w:type="dxa" w:w="1368"/>
          </w:tcPr>
          <w:p>
            <w:pPr>
              <w:spacing w:before="40" w:after="40"/>
            </w:pPr>
            <w:r>
              <w:rPr>
                <w:sz w:val="17"/>
              </w:rPr>
              <w:t>10.31</w:t>
            </w:r>
          </w:p>
        </w:tc>
        <w:tc>
          <w:tcPr>
            <w:tcW w:type="dxa" w:w="1440"/>
          </w:tcPr>
          <w:p>
            <w:pPr>
              <w:spacing w:before="40" w:after="40"/>
            </w:pPr>
            <w:r>
              <w:rPr>
                <w:sz w:val="17"/>
              </w:rPr>
              <w:t>56.18</w:t>
            </w:r>
          </w:p>
        </w:tc>
        <w:tc>
          <w:tcPr>
            <w:tcW w:type="dxa" w:w="1512"/>
          </w:tcPr>
          <w:p>
            <w:pPr>
              <w:spacing w:before="40" w:after="40"/>
            </w:pPr>
            <w:r>
              <w:rPr>
                <w:sz w:val="17"/>
              </w:rPr>
              <w:t>54.55</w:t>
            </w:r>
          </w:p>
        </w:tc>
      </w:tr>
      <w:tr>
        <w:trPr>
          <w:cantSplit/>
        </w:trPr>
        <w:tc>
          <w:tcPr>
            <w:tcW w:type="dxa" w:w="2880"/>
          </w:tcPr>
          <w:p>
            <w:pPr>
              <w:spacing w:before="40" w:after="40"/>
            </w:pPr>
            <w:r>
              <w:rPr>
                <w:sz w:val="17"/>
              </w:rPr>
              <w:t>Arm64 / 4 LP</w:t>
              <w:br/>
              <w:t>No PGO</w:t>
            </w:r>
          </w:p>
        </w:tc>
        <w:tc>
          <w:tcPr>
            <w:tcW w:type="dxa" w:w="1224"/>
          </w:tcPr>
          <w:p>
            <w:pPr>
              <w:spacing w:before="40" w:after="40"/>
            </w:pPr>
            <w:r>
              <w:rPr>
                <w:sz w:val="17"/>
              </w:rPr>
              <w:t>8.10</w:t>
            </w:r>
          </w:p>
        </w:tc>
        <w:tc>
          <w:tcPr>
            <w:tcW w:type="dxa" w:w="1584"/>
          </w:tcPr>
          <w:p>
            <w:pPr>
              <w:spacing w:before="40" w:after="40"/>
            </w:pPr>
            <w:r>
              <w:rPr>
                <w:sz w:val="17"/>
              </w:rPr>
              <w:t>1,026.38</w:t>
            </w:r>
          </w:p>
        </w:tc>
        <w:tc>
          <w:tcPr>
            <w:tcW w:type="dxa" w:w="1368"/>
          </w:tcPr>
          <w:p>
            <w:pPr>
              <w:spacing w:before="40" w:after="40"/>
            </w:pPr>
            <w:r>
              <w:rPr>
                <w:sz w:val="17"/>
              </w:rPr>
              <w:t>31.96</w:t>
            </w:r>
          </w:p>
        </w:tc>
        <w:tc>
          <w:tcPr>
            <w:tcW w:type="dxa" w:w="1440"/>
          </w:tcPr>
          <w:p>
            <w:pPr>
              <w:spacing w:before="40" w:after="40"/>
            </w:pPr>
            <w:r>
              <w:rPr>
                <w:sz w:val="17"/>
              </w:rPr>
              <w:t>143.70</w:t>
            </w:r>
          </w:p>
        </w:tc>
        <w:tc>
          <w:tcPr>
            <w:tcW w:type="dxa" w:w="1512"/>
          </w:tcPr>
          <w:p>
            <w:pPr>
              <w:spacing w:before="40" w:after="40"/>
            </w:pPr>
            <w:r>
              <w:rPr>
                <w:sz w:val="17"/>
              </w:rPr>
              <w:t>138.40</w:t>
            </w:r>
          </w:p>
        </w:tc>
      </w:tr>
      <w:tr>
        <w:trPr>
          <w:cantSplit/>
        </w:trPr>
        <w:tc>
          <w:tcPr>
            <w:tcW w:type="dxa" w:w="2880"/>
          </w:tcPr>
          <w:p>
            <w:pPr>
              <w:spacing w:before="40" w:after="40"/>
            </w:pPr>
            <w:r>
              <w:rPr>
                <w:sz w:val="17"/>
              </w:rPr>
              <w:t>Arm64 / 4 LP</w:t>
              <w:br/>
              <w:t>MS-linked PGO</w:t>
            </w:r>
          </w:p>
        </w:tc>
        <w:tc>
          <w:tcPr>
            <w:tcW w:type="dxa" w:w="1224"/>
          </w:tcPr>
          <w:p>
            <w:pPr>
              <w:spacing w:before="40" w:after="40"/>
            </w:pPr>
            <w:r>
              <w:rPr>
                <w:sz w:val="17"/>
              </w:rPr>
              <w:t>7.22</w:t>
            </w:r>
          </w:p>
        </w:tc>
        <w:tc>
          <w:tcPr>
            <w:tcW w:type="dxa" w:w="1584"/>
          </w:tcPr>
          <w:p>
            <w:pPr>
              <w:spacing w:before="40" w:after="40"/>
            </w:pPr>
            <w:r>
              <w:rPr>
                <w:sz w:val="17"/>
              </w:rPr>
              <w:t>780.23</w:t>
            </w:r>
          </w:p>
        </w:tc>
        <w:tc>
          <w:tcPr>
            <w:tcW w:type="dxa" w:w="1368"/>
          </w:tcPr>
          <w:p>
            <w:pPr>
              <w:spacing w:before="40" w:after="40"/>
            </w:pPr>
            <w:r>
              <w:rPr>
                <w:sz w:val="17"/>
              </w:rPr>
              <w:t>22.65</w:t>
            </w:r>
          </w:p>
        </w:tc>
        <w:tc>
          <w:tcPr>
            <w:tcW w:type="dxa" w:w="1440"/>
          </w:tcPr>
          <w:p>
            <w:pPr>
              <w:spacing w:before="40" w:after="40"/>
            </w:pPr>
            <w:r>
              <w:rPr>
                <w:sz w:val="17"/>
              </w:rPr>
              <w:t>104.14</w:t>
            </w:r>
          </w:p>
        </w:tc>
        <w:tc>
          <w:tcPr>
            <w:tcW w:type="dxa" w:w="1512"/>
          </w:tcPr>
          <w:p>
            <w:pPr>
              <w:spacing w:before="40" w:after="40"/>
            </w:pPr>
            <w:r>
              <w:rPr>
                <w:sz w:val="17"/>
              </w:rPr>
              <w:t>104.68</w:t>
            </w:r>
          </w:p>
        </w:tc>
      </w:tr>
      <w:tr>
        <w:trPr>
          <w:cantSplit/>
        </w:trPr>
        <w:tc>
          <w:tcPr>
            <w:tcW w:type="dxa" w:w="2880"/>
          </w:tcPr>
          <w:p>
            <w:pPr>
              <w:spacing w:before="40" w:after="40"/>
            </w:pPr>
            <w:r>
              <w:rPr>
                <w:sz w:val="17"/>
              </w:rPr>
              <w:t>Arm64 / 4 LP</w:t>
              <w:br/>
              <w:t>LLVM + PGO + LTO</w:t>
            </w:r>
          </w:p>
        </w:tc>
        <w:tc>
          <w:tcPr>
            <w:tcW w:type="dxa" w:w="1224"/>
          </w:tcPr>
          <w:p>
            <w:pPr>
              <w:spacing w:before="40" w:after="40"/>
            </w:pPr>
            <w:r>
              <w:rPr>
                <w:sz w:val="17"/>
              </w:rPr>
              <w:t>6.21</w:t>
            </w:r>
          </w:p>
        </w:tc>
        <w:tc>
          <w:tcPr>
            <w:tcW w:type="dxa" w:w="1584"/>
          </w:tcPr>
          <w:p>
            <w:pPr>
              <w:spacing w:before="40" w:after="40"/>
            </w:pPr>
            <w:r>
              <w:rPr>
                <w:sz w:val="17"/>
              </w:rPr>
              <w:t>750.66</w:t>
            </w:r>
          </w:p>
        </w:tc>
        <w:tc>
          <w:tcPr>
            <w:tcW w:type="dxa" w:w="1368"/>
          </w:tcPr>
          <w:p>
            <w:pPr>
              <w:spacing w:before="40" w:after="40"/>
            </w:pPr>
            <w:r>
              <w:rPr>
                <w:sz w:val="17"/>
              </w:rPr>
              <w:t>20.25</w:t>
            </w:r>
          </w:p>
        </w:tc>
        <w:tc>
          <w:tcPr>
            <w:tcW w:type="dxa" w:w="1440"/>
          </w:tcPr>
          <w:p>
            <w:pPr>
              <w:spacing w:before="40" w:after="40"/>
            </w:pPr>
            <w:r>
              <w:rPr>
                <w:sz w:val="17"/>
              </w:rPr>
              <w:t>98.32</w:t>
            </w:r>
          </w:p>
        </w:tc>
        <w:tc>
          <w:tcPr>
            <w:tcW w:type="dxa" w:w="1512"/>
          </w:tcPr>
          <w:p>
            <w:pPr>
              <w:spacing w:before="40" w:after="40"/>
            </w:pPr>
            <w:r>
              <w:rPr>
                <w:sz w:val="17"/>
              </w:rPr>
              <w:t>97.25</w:t>
            </w:r>
          </w:p>
        </w:tc>
      </w:tr>
      <w:tr>
        <w:trPr>
          <w:cantSplit/>
        </w:trPr>
        <w:tc>
          <w:tcPr>
            <w:tcW w:type="dxa" w:w="2880"/>
          </w:tcPr>
          <w:p>
            <w:pPr>
              <w:spacing w:before="40" w:after="40"/>
            </w:pPr>
            <w:r>
              <w:rPr>
                <w:sz w:val="17"/>
              </w:rPr>
              <w:t>GB300 / 64 LP</w:t>
              <w:br/>
              <w:t>No PGO</w:t>
            </w:r>
          </w:p>
        </w:tc>
        <w:tc>
          <w:tcPr>
            <w:tcW w:type="dxa" w:w="1224"/>
          </w:tcPr>
          <w:p>
            <w:pPr>
              <w:spacing w:before="40" w:after="40"/>
            </w:pPr>
            <w:r>
              <w:rPr>
                <w:sz w:val="17"/>
              </w:rPr>
              <w:t>3.45</w:t>
            </w:r>
          </w:p>
        </w:tc>
        <w:tc>
          <w:tcPr>
            <w:tcW w:type="dxa" w:w="1584"/>
          </w:tcPr>
          <w:p>
            <w:pPr>
              <w:spacing w:before="40" w:after="40"/>
            </w:pPr>
            <w:r>
              <w:rPr>
                <w:sz w:val="17"/>
              </w:rPr>
              <w:t>122.14</w:t>
            </w:r>
          </w:p>
        </w:tc>
        <w:tc>
          <w:tcPr>
            <w:tcW w:type="dxa" w:w="1368"/>
          </w:tcPr>
          <w:p>
            <w:pPr>
              <w:spacing w:before="40" w:after="40"/>
            </w:pPr>
            <w:r>
              <w:rPr>
                <w:sz w:val="17"/>
              </w:rPr>
              <w:t>13.12</w:t>
            </w:r>
          </w:p>
        </w:tc>
        <w:tc>
          <w:tcPr>
            <w:tcW w:type="dxa" w:w="1440"/>
          </w:tcPr>
          <w:p>
            <w:pPr>
              <w:spacing w:before="40" w:after="40"/>
            </w:pPr>
            <w:r>
              <w:rPr>
                <w:sz w:val="17"/>
              </w:rPr>
              <w:t>26.76</w:t>
            </w:r>
          </w:p>
        </w:tc>
        <w:tc>
          <w:tcPr>
            <w:tcW w:type="dxa" w:w="1512"/>
          </w:tcPr>
          <w:p>
            <w:pPr>
              <w:spacing w:before="40" w:after="40"/>
            </w:pPr>
            <w:r>
              <w:rPr>
                <w:sz w:val="17"/>
              </w:rPr>
              <w:t>34.81</w:t>
            </w:r>
          </w:p>
        </w:tc>
      </w:tr>
      <w:tr>
        <w:trPr>
          <w:cantSplit/>
        </w:trPr>
        <w:tc>
          <w:tcPr>
            <w:tcW w:type="dxa" w:w="2880"/>
          </w:tcPr>
          <w:p>
            <w:pPr>
              <w:spacing w:before="40" w:after="40"/>
            </w:pPr>
            <w:r>
              <w:rPr>
                <w:sz w:val="17"/>
              </w:rPr>
              <w:t>GB300 / 64 LP</w:t>
              <w:br/>
              <w:t>MS-linked PGO</w:t>
            </w:r>
          </w:p>
        </w:tc>
        <w:tc>
          <w:tcPr>
            <w:tcW w:type="dxa" w:w="1224"/>
          </w:tcPr>
          <w:p>
            <w:pPr>
              <w:spacing w:before="40" w:after="40"/>
            </w:pPr>
            <w:r>
              <w:rPr>
                <w:sz w:val="17"/>
              </w:rPr>
              <w:t>2.97</w:t>
            </w:r>
          </w:p>
        </w:tc>
        <w:tc>
          <w:tcPr>
            <w:tcW w:type="dxa" w:w="1584"/>
          </w:tcPr>
          <w:p>
            <w:pPr>
              <w:spacing w:before="40" w:after="40"/>
            </w:pPr>
            <w:r>
              <w:rPr>
                <w:sz w:val="17"/>
              </w:rPr>
              <w:t>96.02</w:t>
            </w:r>
          </w:p>
        </w:tc>
        <w:tc>
          <w:tcPr>
            <w:tcW w:type="dxa" w:w="1368"/>
          </w:tcPr>
          <w:p>
            <w:pPr>
              <w:spacing w:before="40" w:after="40"/>
            </w:pPr>
            <w:r>
              <w:rPr>
                <w:sz w:val="17"/>
              </w:rPr>
              <w:t>9.73</w:t>
            </w:r>
          </w:p>
        </w:tc>
        <w:tc>
          <w:tcPr>
            <w:tcW w:type="dxa" w:w="1440"/>
          </w:tcPr>
          <w:p>
            <w:pPr>
              <w:spacing w:before="40" w:after="40"/>
            </w:pPr>
            <w:r>
              <w:rPr>
                <w:sz w:val="17"/>
              </w:rPr>
              <w:t>21.34</w:t>
            </w:r>
          </w:p>
        </w:tc>
        <w:tc>
          <w:tcPr>
            <w:tcW w:type="dxa" w:w="1512"/>
          </w:tcPr>
          <w:p>
            <w:pPr>
              <w:spacing w:before="40" w:after="40"/>
            </w:pPr>
            <w:r>
              <w:rPr>
                <w:sz w:val="17"/>
              </w:rPr>
              <w:t>27.24</w:t>
            </w:r>
          </w:p>
        </w:tc>
      </w:tr>
      <w:tr>
        <w:trPr>
          <w:cantSplit/>
        </w:trPr>
        <w:tc>
          <w:tcPr>
            <w:tcW w:type="dxa" w:w="2880"/>
          </w:tcPr>
          <w:p>
            <w:pPr>
              <w:spacing w:before="40" w:after="40"/>
            </w:pPr>
            <w:r>
              <w:rPr>
                <w:sz w:val="17"/>
              </w:rPr>
              <w:t>GB300 / 64 LP</w:t>
              <w:br/>
              <w:t>LLVM + PGO + LTO</w:t>
            </w:r>
          </w:p>
        </w:tc>
        <w:tc>
          <w:tcPr>
            <w:tcW w:type="dxa" w:w="1224"/>
          </w:tcPr>
          <w:p>
            <w:pPr>
              <w:spacing w:before="40" w:after="40"/>
            </w:pPr>
            <w:r>
              <w:rPr>
                <w:sz w:val="17"/>
              </w:rPr>
              <w:t>2.94</w:t>
            </w:r>
          </w:p>
        </w:tc>
        <w:tc>
          <w:tcPr>
            <w:tcW w:type="dxa" w:w="1584"/>
          </w:tcPr>
          <w:p>
            <w:pPr>
              <w:spacing w:before="40" w:after="40"/>
            </w:pPr>
            <w:r>
              <w:rPr>
                <w:sz w:val="17"/>
              </w:rPr>
              <w:t>95.31</w:t>
            </w:r>
          </w:p>
        </w:tc>
        <w:tc>
          <w:tcPr>
            <w:tcW w:type="dxa" w:w="1368"/>
          </w:tcPr>
          <w:p>
            <w:pPr>
              <w:spacing w:before="40" w:after="40"/>
            </w:pPr>
            <w:r>
              <w:rPr>
                <w:sz w:val="17"/>
              </w:rPr>
              <w:t>9.68</w:t>
            </w:r>
          </w:p>
        </w:tc>
        <w:tc>
          <w:tcPr>
            <w:tcW w:type="dxa" w:w="1440"/>
          </w:tcPr>
          <w:p>
            <w:pPr>
              <w:spacing w:before="40" w:after="40"/>
            </w:pPr>
            <w:r>
              <w:rPr>
                <w:sz w:val="17"/>
              </w:rPr>
              <w:t>21.19</w:t>
            </w:r>
          </w:p>
        </w:tc>
        <w:tc>
          <w:tcPr>
            <w:tcW w:type="dxa" w:w="1512"/>
          </w:tcPr>
          <w:p>
            <w:pPr>
              <w:spacing w:before="40" w:after="40"/>
            </w:pPr>
            <w:r>
              <w:rPr>
                <w:sz w:val="17"/>
              </w:rPr>
              <w:t>27.16</w:t>
            </w:r>
          </w:p>
        </w:tc>
      </w:tr>
    </w:tbl>
    <w:p>
      <w:r>
        <w:t>On x64, workspace-test compilation accounts for 84.1% of the observed absolute saving from Microsoft-linked PGO. This identifies the dominant workload component, not a pure frontend/codegen/linking decomposition.</w:t>
      </w:r>
    </w:p>
    <w:p>
      <w:r>
        <w:br w:type="page"/>
      </w:r>
    </w:p>
    <w:p>
      <w:pPr>
        <w:pStyle w:val="Heading1"/>
      </w:pPr>
      <w:r>
        <w:t>4. Building Rust: packaging and Arm64 scaling</w:t>
      </w:r>
    </w:p>
    <w:p>
      <w:pPr>
        <w:pStyle w:val="Heading2"/>
      </w:pPr>
      <w:r>
        <w:t>GB300 pilot: exclusive production wall-time categories (minutes)</w:t>
      </w:r>
    </w:p>
    <w:tbl>
      <w:tblPr>
        <w:tblStyle w:val="LightShading-Accent1"/>
        <w:tblW w:type="auto" w:w="0"/>
        <w:tblLayout w:type="fixed"/>
        <w:tblLook w:firstColumn="1" w:firstRow="1" w:lastColumn="0" w:lastRow="0" w:noHBand="0" w:noVBand="1" w:val="04A0"/>
      </w:tblPr>
      <w:tblGrid>
        <w:gridCol w:w="3816"/>
        <w:gridCol w:w="1944"/>
        <w:gridCol w:w="2088"/>
        <w:gridCol w:w="2160"/>
      </w:tblGrid>
      <w:tr>
        <w:trPr>
          <w:tblHeader/>
          <w:cantSplit/>
        </w:trPr>
        <w:tc>
          <w:tcPr>
            <w:tcW w:type="dxa" w:w="3816"/>
          </w:tcPr>
          <w:p>
            <w:pPr>
              <w:spacing w:before="40" w:after="40"/>
            </w:pPr>
            <w:r>
              <w:rPr>
                <w:sz w:val="18"/>
              </w:rPr>
              <w:t>Category</w:t>
            </w:r>
          </w:p>
        </w:tc>
        <w:tc>
          <w:tcPr>
            <w:tcW w:type="dxa" w:w="1944"/>
          </w:tcPr>
          <w:p>
            <w:pPr>
              <w:spacing w:before="40" w:after="40"/>
            </w:pPr>
            <w:r>
              <w:rPr>
                <w:sz w:val="18"/>
              </w:rPr>
              <w:t>No PGO</w:t>
            </w:r>
          </w:p>
        </w:tc>
        <w:tc>
          <w:tcPr>
            <w:tcW w:type="dxa" w:w="2088"/>
          </w:tcPr>
          <w:p>
            <w:pPr>
              <w:spacing w:before="40" w:after="40"/>
            </w:pPr>
            <w:r>
              <w:rPr>
                <w:sz w:val="18"/>
              </w:rPr>
              <w:t>MS-linked PGO</w:t>
            </w:r>
          </w:p>
        </w:tc>
        <w:tc>
          <w:tcPr>
            <w:tcW w:type="dxa" w:w="2160"/>
          </w:tcPr>
          <w:p>
            <w:pPr>
              <w:spacing w:before="40" w:after="40"/>
            </w:pPr>
            <w:r>
              <w:rPr>
                <w:sz w:val="18"/>
              </w:rPr>
              <w:t>LLVM recipe</w:t>
            </w:r>
          </w:p>
        </w:tc>
      </w:tr>
      <w:tr>
        <w:trPr>
          <w:cantSplit/>
        </w:trPr>
        <w:tc>
          <w:tcPr>
            <w:tcW w:type="dxa" w:w="3816"/>
          </w:tcPr>
          <w:p>
            <w:pPr>
              <w:spacing w:before="40" w:after="40"/>
            </w:pPr>
            <w:r>
              <w:rPr>
                <w:sz w:val="18"/>
              </w:rPr>
              <w:t>Assembly / compression</w:t>
            </w:r>
          </w:p>
        </w:tc>
        <w:tc>
          <w:tcPr>
            <w:tcW w:type="dxa" w:w="1944"/>
          </w:tcPr>
          <w:p>
            <w:pPr>
              <w:spacing w:before="40" w:after="40"/>
            </w:pPr>
            <w:r>
              <w:rPr>
                <w:sz w:val="18"/>
              </w:rPr>
              <w:t>102.21</w:t>
            </w:r>
          </w:p>
        </w:tc>
        <w:tc>
          <w:tcPr>
            <w:tcW w:type="dxa" w:w="2088"/>
          </w:tcPr>
          <w:p>
            <w:pPr>
              <w:spacing w:before="40" w:after="40"/>
            </w:pPr>
            <w:r>
              <w:rPr>
                <w:sz w:val="18"/>
              </w:rPr>
              <w:t>102.91</w:t>
            </w:r>
          </w:p>
        </w:tc>
        <w:tc>
          <w:tcPr>
            <w:tcW w:type="dxa" w:w="2160"/>
          </w:tcPr>
          <w:p>
            <w:pPr>
              <w:spacing w:before="40" w:after="40"/>
            </w:pPr>
            <w:r>
              <w:rPr>
                <w:sz w:val="18"/>
              </w:rPr>
              <w:t>103.38</w:t>
            </w:r>
          </w:p>
        </w:tc>
      </w:tr>
      <w:tr>
        <w:trPr>
          <w:cantSplit/>
        </w:trPr>
        <w:tc>
          <w:tcPr>
            <w:tcW w:type="dxa" w:w="3816"/>
          </w:tcPr>
          <w:p>
            <w:pPr>
              <w:spacing w:before="40" w:after="40"/>
            </w:pPr>
            <w:r>
              <w:rPr>
                <w:sz w:val="18"/>
              </w:rPr>
              <w:t>Compiler / std / backends</w:t>
            </w:r>
          </w:p>
        </w:tc>
        <w:tc>
          <w:tcPr>
            <w:tcW w:type="dxa" w:w="1944"/>
          </w:tcPr>
          <w:p>
            <w:pPr>
              <w:spacing w:before="40" w:after="40"/>
            </w:pPr>
            <w:r>
              <w:rPr>
                <w:sz w:val="18"/>
              </w:rPr>
              <w:t>7.79</w:t>
            </w:r>
          </w:p>
        </w:tc>
        <w:tc>
          <w:tcPr>
            <w:tcW w:type="dxa" w:w="2088"/>
          </w:tcPr>
          <w:p>
            <w:pPr>
              <w:spacing w:before="40" w:after="40"/>
            </w:pPr>
            <w:r>
              <w:rPr>
                <w:sz w:val="18"/>
              </w:rPr>
              <w:t>13.14</w:t>
            </w:r>
          </w:p>
        </w:tc>
        <w:tc>
          <w:tcPr>
            <w:tcW w:type="dxa" w:w="2160"/>
          </w:tcPr>
          <w:p>
            <w:pPr>
              <w:spacing w:before="40" w:after="40"/>
            </w:pPr>
            <w:r>
              <w:rPr>
                <w:sz w:val="18"/>
              </w:rPr>
              <w:t>17.09</w:t>
            </w:r>
          </w:p>
        </w:tc>
      </w:tr>
      <w:tr>
        <w:trPr>
          <w:cantSplit/>
        </w:trPr>
        <w:tc>
          <w:tcPr>
            <w:tcW w:type="dxa" w:w="3816"/>
          </w:tcPr>
          <w:p>
            <w:pPr>
              <w:spacing w:before="40" w:after="40"/>
            </w:pPr>
            <w:r>
              <w:rPr>
                <w:sz w:val="18"/>
              </w:rPr>
              <w:t>LLVM / LLD</w:t>
            </w:r>
          </w:p>
        </w:tc>
        <w:tc>
          <w:tcPr>
            <w:tcW w:type="dxa" w:w="1944"/>
          </w:tcPr>
          <w:p>
            <w:pPr>
              <w:spacing w:before="40" w:after="40"/>
            </w:pPr>
            <w:r>
              <w:rPr>
                <w:sz w:val="18"/>
              </w:rPr>
              <w:t>4.23</w:t>
            </w:r>
          </w:p>
        </w:tc>
        <w:tc>
          <w:tcPr>
            <w:tcW w:type="dxa" w:w="2088"/>
          </w:tcPr>
          <w:p>
            <w:pPr>
              <w:spacing w:before="40" w:after="40"/>
            </w:pPr>
            <w:r>
              <w:rPr>
                <w:sz w:val="18"/>
              </w:rPr>
              <w:t>14.56</w:t>
            </w:r>
          </w:p>
        </w:tc>
        <w:tc>
          <w:tcPr>
            <w:tcW w:type="dxa" w:w="2160"/>
          </w:tcPr>
          <w:p>
            <w:pPr>
              <w:spacing w:before="40" w:after="40"/>
            </w:pPr>
            <w:r>
              <w:rPr>
                <w:sz w:val="18"/>
              </w:rPr>
              <w:t>21.88</w:t>
            </w:r>
          </w:p>
        </w:tc>
      </w:tr>
      <w:tr>
        <w:trPr>
          <w:cantSplit/>
        </w:trPr>
        <w:tc>
          <w:tcPr>
            <w:tcW w:type="dxa" w:w="3816"/>
          </w:tcPr>
          <w:p>
            <w:pPr>
              <w:spacing w:before="40" w:after="40"/>
            </w:pPr>
            <w:r>
              <w:rPr>
                <w:sz w:val="18"/>
              </w:rPr>
              <w:t>Tools</w:t>
            </w:r>
          </w:p>
        </w:tc>
        <w:tc>
          <w:tcPr>
            <w:tcW w:type="dxa" w:w="1944"/>
          </w:tcPr>
          <w:p>
            <w:pPr>
              <w:spacing w:before="40" w:after="40"/>
            </w:pPr>
            <w:r>
              <w:rPr>
                <w:sz w:val="18"/>
              </w:rPr>
              <w:t>13.00</w:t>
            </w:r>
          </w:p>
        </w:tc>
        <w:tc>
          <w:tcPr>
            <w:tcW w:type="dxa" w:w="2088"/>
          </w:tcPr>
          <w:p>
            <w:pPr>
              <w:spacing w:before="40" w:after="40"/>
            </w:pPr>
            <w:r>
              <w:rPr>
                <w:sz w:val="18"/>
              </w:rPr>
              <w:t>18.28</w:t>
            </w:r>
          </w:p>
        </w:tc>
        <w:tc>
          <w:tcPr>
            <w:tcW w:type="dxa" w:w="2160"/>
          </w:tcPr>
          <w:p>
            <w:pPr>
              <w:spacing w:before="40" w:after="40"/>
            </w:pPr>
            <w:r>
              <w:rPr>
                <w:sz w:val="18"/>
              </w:rPr>
              <w:t>21.59</w:t>
            </w:r>
          </w:p>
        </w:tc>
      </w:tr>
      <w:tr>
        <w:trPr>
          <w:cantSplit/>
        </w:trPr>
        <w:tc>
          <w:tcPr>
            <w:tcW w:type="dxa" w:w="3816"/>
          </w:tcPr>
          <w:p>
            <w:pPr>
              <w:spacing w:before="40" w:after="40"/>
            </w:pPr>
            <w:r>
              <w:rPr>
                <w:sz w:val="18"/>
              </w:rPr>
              <w:t>Documentation</w:t>
            </w:r>
          </w:p>
        </w:tc>
        <w:tc>
          <w:tcPr>
            <w:tcW w:type="dxa" w:w="1944"/>
          </w:tcPr>
          <w:p>
            <w:pPr>
              <w:spacing w:before="40" w:after="40"/>
            </w:pPr>
            <w:r>
              <w:rPr>
                <w:sz w:val="18"/>
              </w:rPr>
              <w:t>7.76</w:t>
            </w:r>
          </w:p>
        </w:tc>
        <w:tc>
          <w:tcPr>
            <w:tcW w:type="dxa" w:w="2088"/>
          </w:tcPr>
          <w:p>
            <w:pPr>
              <w:spacing w:before="40" w:after="40"/>
            </w:pPr>
            <w:r>
              <w:rPr>
                <w:sz w:val="18"/>
              </w:rPr>
              <w:t>7.48</w:t>
            </w:r>
          </w:p>
        </w:tc>
        <w:tc>
          <w:tcPr>
            <w:tcW w:type="dxa" w:w="2160"/>
          </w:tcPr>
          <w:p>
            <w:pPr>
              <w:spacing w:before="40" w:after="40"/>
            </w:pPr>
            <w:r>
              <w:rPr>
                <w:sz w:val="18"/>
              </w:rPr>
              <w:t>10.51</w:t>
            </w:r>
          </w:p>
        </w:tc>
      </w:tr>
      <w:tr>
        <w:trPr>
          <w:cantSplit/>
        </w:trPr>
        <w:tc>
          <w:tcPr>
            <w:tcW w:type="dxa" w:w="3816"/>
          </w:tcPr>
          <w:p>
            <w:pPr>
              <w:spacing w:before="40" w:after="40"/>
            </w:pPr>
            <w:r>
              <w:rPr>
                <w:sz w:val="18"/>
              </w:rPr>
              <w:t>Other / bootstrap unattributed</w:t>
            </w:r>
          </w:p>
        </w:tc>
        <w:tc>
          <w:tcPr>
            <w:tcW w:type="dxa" w:w="1944"/>
          </w:tcPr>
          <w:p>
            <w:pPr>
              <w:spacing w:before="40" w:after="40"/>
            </w:pPr>
            <w:r>
              <w:rPr>
                <w:sz w:val="18"/>
              </w:rPr>
              <w:t>2.40</w:t>
            </w:r>
          </w:p>
        </w:tc>
        <w:tc>
          <w:tcPr>
            <w:tcW w:type="dxa" w:w="2088"/>
          </w:tcPr>
          <w:p>
            <w:pPr>
              <w:spacing w:before="40" w:after="40"/>
            </w:pPr>
            <w:r>
              <w:rPr>
                <w:sz w:val="18"/>
              </w:rPr>
              <w:t>2.07</w:t>
            </w:r>
          </w:p>
        </w:tc>
        <w:tc>
          <w:tcPr>
            <w:tcW w:type="dxa" w:w="2160"/>
          </w:tcPr>
          <w:p>
            <w:pPr>
              <w:spacing w:before="40" w:after="40"/>
            </w:pPr>
            <w:r>
              <w:rPr>
                <w:sz w:val="18"/>
              </w:rPr>
              <w:t>2.13</w:t>
            </w:r>
          </w:p>
        </w:tc>
      </w:tr>
      <w:tr>
        <w:trPr>
          <w:cantSplit/>
        </w:trPr>
        <w:tc>
          <w:tcPr>
            <w:tcW w:type="dxa" w:w="3816"/>
          </w:tcPr>
          <w:p>
            <w:pPr>
              <w:spacing w:before="40" w:after="40"/>
            </w:pPr>
            <w:r>
              <w:rPr>
                <w:sz w:val="18"/>
              </w:rPr>
              <w:t>Outside bootstrap</w:t>
            </w:r>
          </w:p>
        </w:tc>
        <w:tc>
          <w:tcPr>
            <w:tcW w:type="dxa" w:w="1944"/>
          </w:tcPr>
          <w:p>
            <w:pPr>
              <w:spacing w:before="40" w:after="40"/>
            </w:pPr>
            <w:r>
              <w:rPr>
                <w:sz w:val="18"/>
              </w:rPr>
              <w:t>1.09</w:t>
            </w:r>
          </w:p>
        </w:tc>
        <w:tc>
          <w:tcPr>
            <w:tcW w:type="dxa" w:w="2088"/>
          </w:tcPr>
          <w:p>
            <w:pPr>
              <w:spacing w:before="40" w:after="40"/>
            </w:pPr>
            <w:r>
              <w:rPr>
                <w:sz w:val="18"/>
              </w:rPr>
              <w:t>24.16</w:t>
            </w:r>
          </w:p>
        </w:tc>
        <w:tc>
          <w:tcPr>
            <w:tcW w:type="dxa" w:w="2160"/>
          </w:tcPr>
          <w:p>
            <w:pPr>
              <w:spacing w:before="40" w:after="40"/>
            </w:pPr>
            <w:r>
              <w:rPr>
                <w:sz w:val="18"/>
              </w:rPr>
              <w:t>26.71</w:t>
            </w:r>
          </w:p>
        </w:tc>
      </w:tr>
    </w:tbl>
    <w:p>
      <w:r>
        <w:t>Categories reconcile to production. They include linking and waiting, not just CPU execution. Outside-bootstrap time includes training workloads, profile processing and orchestration. PGO did not materially reduce the dominant assembly/compression cost.</w:t>
      </w:r>
    </w:p>
    <w:p>
      <w:pPr>
        <w:pStyle w:val="Heading2"/>
      </w:pPr>
      <w:r>
        <w:t>Arm64: Microsoft-linked PGO + Rust ThinLTO</w:t>
      </w:r>
    </w:p>
    <w:tbl>
      <w:tblPr>
        <w:tblStyle w:val="LightShading-Accent1"/>
        <w:tblW w:type="auto" w:w="0"/>
        <w:tblLayout w:type="fixed"/>
        <w:tblLook w:firstColumn="1" w:firstRow="1" w:lastColumn="0" w:lastRow="0" w:noHBand="0" w:noVBand="1" w:val="04A0"/>
      </w:tblPr>
      <w:tblGrid>
        <w:gridCol w:w="2160"/>
        <w:gridCol w:w="864"/>
        <w:gridCol w:w="2304"/>
        <w:gridCol w:w="2376"/>
        <w:gridCol w:w="2304"/>
      </w:tblGrid>
      <w:tr>
        <w:trPr>
          <w:tblHeader/>
          <w:cantSplit/>
        </w:trPr>
        <w:tc>
          <w:tcPr>
            <w:tcW w:type="dxa" w:w="2160"/>
          </w:tcPr>
          <w:p>
            <w:pPr>
              <w:spacing w:before="40" w:after="40"/>
            </w:pPr>
            <w:r>
              <w:rPr>
                <w:sz w:val="18"/>
              </w:rPr>
              <w:t>Machine</w:t>
            </w:r>
          </w:p>
        </w:tc>
        <w:tc>
          <w:tcPr>
            <w:tcW w:type="dxa" w:w="864"/>
          </w:tcPr>
          <w:p>
            <w:pPr>
              <w:spacing w:before="40" w:after="40"/>
            </w:pPr>
            <w:r>
              <w:rPr>
                <w:sz w:val="18"/>
              </w:rPr>
              <w:t>LP</w:t>
            </w:r>
          </w:p>
        </w:tc>
        <w:tc>
          <w:tcPr>
            <w:tcW w:type="dxa" w:w="2304"/>
          </w:tcPr>
          <w:p>
            <w:pPr>
              <w:spacing w:before="40" w:after="40"/>
            </w:pPr>
            <w:r>
              <w:rPr>
                <w:sz w:val="18"/>
              </w:rPr>
              <w:t>Production min</w:t>
            </w:r>
          </w:p>
        </w:tc>
        <w:tc>
          <w:tcPr>
            <w:tcW w:type="dxa" w:w="2376"/>
          </w:tcPr>
          <w:p>
            <w:pPr>
              <w:spacing w:before="40" w:after="40"/>
            </w:pPr>
            <w:r>
              <w:rPr>
                <w:sz w:val="18"/>
              </w:rPr>
              <w:t>Qualification min</w:t>
            </w:r>
          </w:p>
        </w:tc>
        <w:tc>
          <w:tcPr>
            <w:tcW w:type="dxa" w:w="2304"/>
          </w:tcPr>
          <w:p>
            <w:pPr>
              <w:spacing w:before="40" w:after="40"/>
            </w:pPr>
            <w:r>
              <w:rPr>
                <w:sz w:val="18"/>
              </w:rPr>
              <w:t>Whole job min</w:t>
            </w:r>
          </w:p>
        </w:tc>
      </w:tr>
      <w:tr>
        <w:trPr>
          <w:cantSplit/>
        </w:trPr>
        <w:tc>
          <w:tcPr>
            <w:tcW w:type="dxa" w:w="2160"/>
          </w:tcPr>
          <w:p>
            <w:pPr>
              <w:spacing w:before="40" w:after="40"/>
            </w:pPr>
            <w:r>
              <w:rPr>
                <w:sz w:val="18"/>
              </w:rPr>
              <w:t>Arm64</w:t>
            </w:r>
          </w:p>
        </w:tc>
        <w:tc>
          <w:tcPr>
            <w:tcW w:type="dxa" w:w="864"/>
          </w:tcPr>
          <w:p>
            <w:pPr>
              <w:spacing w:before="40" w:after="40"/>
            </w:pPr>
            <w:r>
              <w:rPr>
                <w:sz w:val="18"/>
              </w:rPr>
              <w:t>4</w:t>
            </w:r>
          </w:p>
        </w:tc>
        <w:tc>
          <w:tcPr>
            <w:tcW w:type="dxa" w:w="2304"/>
          </w:tcPr>
          <w:p>
            <w:pPr>
              <w:spacing w:before="40" w:after="40"/>
            </w:pPr>
            <w:r>
              <w:rPr>
                <w:sz w:val="18"/>
              </w:rPr>
              <w:t>507.79</w:t>
            </w:r>
          </w:p>
        </w:tc>
        <w:tc>
          <w:tcPr>
            <w:tcW w:type="dxa" w:w="2376"/>
          </w:tcPr>
          <w:p>
            <w:pPr>
              <w:spacing w:before="40" w:after="40"/>
            </w:pPr>
            <w:r>
              <w:rPr>
                <w:sz w:val="18"/>
              </w:rPr>
              <w:t>69.14</w:t>
            </w:r>
          </w:p>
        </w:tc>
        <w:tc>
          <w:tcPr>
            <w:tcW w:type="dxa" w:w="2304"/>
          </w:tcPr>
          <w:p>
            <w:pPr>
              <w:spacing w:before="40" w:after="40"/>
            </w:pPr>
            <w:r>
              <w:rPr>
                <w:sz w:val="18"/>
              </w:rPr>
              <w:t>606.70</w:t>
            </w:r>
          </w:p>
        </w:tc>
      </w:tr>
      <w:tr>
        <w:trPr>
          <w:cantSplit/>
        </w:trPr>
        <w:tc>
          <w:tcPr>
            <w:tcW w:type="dxa" w:w="2160"/>
          </w:tcPr>
          <w:p>
            <w:pPr>
              <w:spacing w:before="40" w:after="40"/>
            </w:pPr>
            <w:r>
              <w:rPr>
                <w:sz w:val="18"/>
              </w:rPr>
              <w:t>Arm64</w:t>
            </w:r>
          </w:p>
        </w:tc>
        <w:tc>
          <w:tcPr>
            <w:tcW w:type="dxa" w:w="864"/>
          </w:tcPr>
          <w:p>
            <w:pPr>
              <w:spacing w:before="40" w:after="40"/>
            </w:pPr>
            <w:r>
              <w:rPr>
                <w:sz w:val="18"/>
              </w:rPr>
              <w:t>8</w:t>
            </w:r>
          </w:p>
        </w:tc>
        <w:tc>
          <w:tcPr>
            <w:tcW w:type="dxa" w:w="2304"/>
          </w:tcPr>
          <w:p>
            <w:pPr>
              <w:spacing w:before="40" w:after="40"/>
            </w:pPr>
            <w:r>
              <w:rPr>
                <w:sz w:val="18"/>
              </w:rPr>
              <w:t>137.13</w:t>
            </w:r>
          </w:p>
        </w:tc>
        <w:tc>
          <w:tcPr>
            <w:tcW w:type="dxa" w:w="2376"/>
          </w:tcPr>
          <w:p>
            <w:pPr>
              <w:spacing w:before="40" w:after="40"/>
            </w:pPr>
            <w:r>
              <w:rPr>
                <w:sz w:val="18"/>
              </w:rPr>
              <w:t>54.60</w:t>
            </w:r>
          </w:p>
        </w:tc>
        <w:tc>
          <w:tcPr>
            <w:tcW w:type="dxa" w:w="2304"/>
          </w:tcPr>
          <w:p>
            <w:pPr>
              <w:spacing w:before="40" w:after="40"/>
            </w:pPr>
            <w:r>
              <w:rPr>
                <w:sz w:val="18"/>
              </w:rPr>
              <w:t>217.70</w:t>
            </w:r>
          </w:p>
        </w:tc>
      </w:tr>
      <w:tr>
        <w:trPr>
          <w:cantSplit/>
        </w:trPr>
        <w:tc>
          <w:tcPr>
            <w:tcW w:type="dxa" w:w="2160"/>
          </w:tcPr>
          <w:p>
            <w:pPr>
              <w:spacing w:before="40" w:after="40"/>
            </w:pPr>
            <w:r>
              <w:rPr>
                <w:sz w:val="18"/>
              </w:rPr>
              <w:t>Arm64</w:t>
            </w:r>
          </w:p>
        </w:tc>
        <w:tc>
          <w:tcPr>
            <w:tcW w:type="dxa" w:w="864"/>
          </w:tcPr>
          <w:p>
            <w:pPr>
              <w:spacing w:before="40" w:after="40"/>
            </w:pPr>
            <w:r>
              <w:rPr>
                <w:sz w:val="18"/>
              </w:rPr>
              <w:t>16</w:t>
            </w:r>
          </w:p>
        </w:tc>
        <w:tc>
          <w:tcPr>
            <w:tcW w:type="dxa" w:w="2304"/>
          </w:tcPr>
          <w:p>
            <w:pPr>
              <w:spacing w:before="40" w:after="40"/>
            </w:pPr>
            <w:r>
              <w:rPr>
                <w:sz w:val="18"/>
              </w:rPr>
              <w:t>112.03</w:t>
            </w:r>
          </w:p>
        </w:tc>
        <w:tc>
          <w:tcPr>
            <w:tcW w:type="dxa" w:w="2376"/>
          </w:tcPr>
          <w:p>
            <w:pPr>
              <w:spacing w:before="40" w:after="40"/>
            </w:pPr>
            <w:r>
              <w:rPr>
                <w:sz w:val="18"/>
              </w:rPr>
              <w:t>53.48</w:t>
            </w:r>
          </w:p>
        </w:tc>
        <w:tc>
          <w:tcPr>
            <w:tcW w:type="dxa" w:w="2304"/>
          </w:tcPr>
          <w:p>
            <w:pPr>
              <w:spacing w:before="40" w:after="40"/>
            </w:pPr>
            <w:r>
              <w:rPr>
                <w:sz w:val="18"/>
              </w:rPr>
              <w:t>188.90</w:t>
            </w:r>
          </w:p>
        </w:tc>
      </w:tr>
    </w:tbl>
    <w:p>
      <w:r>
        <w:t>Ordinary Arm64 4 -&gt; 8 -&gt; 16 LP observations suggest substantial improvement, but the superlinear 4-to-16 ratio (4.53x) is not a validated scaling law: single observations, fixed order and environmental variation. These are not x64 NVMe results.</w:t>
      </w:r>
    </w:p>
    <w:p>
      <w:r>
        <w:t>No downstream IronRDP gain was measured for this Rust-ThinLTO scaling recipe. Compiler-cache service: not enabled; hit rate N/A, not measured 0%. Fresh initial objects still permit normal within-pipeline reuse. GB300 32/16/4-LP scaling remains incomplete.</w:t>
      </w:r>
    </w:p>
    <w:p>
      <w:r>
        <w:br w:type="page"/>
      </w:r>
    </w:p>
    <w:p>
      <w:pPr>
        <w:pStyle w:val="Heading1"/>
      </w:pPr>
      <w:r>
        <w:t>5. Building Rust: x64 D: NVMe production costs</w:t>
      </w:r>
    </w:p>
    <w:p>
      <w:r>
        <w:t>MARCPE-TEST01-X64: Intel i9-11900, 8 physical cores / 16 logical processors, about 32 GiB RAM. These releases use D: ReFS on the 2-TB SK hynix NVMe SSD, with correctness scratch on C: NTFS. This is not an isolated filesystem comparison.</w:t>
      </w:r>
    </w:p>
    <w:p>
      <w:r>
        <w:t>Every row retains clang-cl and Microsoft link.exe/lib.exe, without added cross-crate ThinLTO. Fixed-profile builds exclude training; the current-PR full-PGO build includes fresh training. Do not equate these scopes.</w:t>
      </w:r>
    </w:p>
    <w:p>
      <w:pPr>
        <w:pStyle w:val="Heading2"/>
      </w:pPr>
      <w:r>
        <w:t>Accepted D: NVMe release wall times, all at 16 LP</w:t>
      </w:r>
    </w:p>
    <w:tbl>
      <w:tblPr>
        <w:tblStyle w:val="LightShading-Accent1"/>
        <w:tblW w:type="auto" w:w="0"/>
        <w:tblLayout w:type="fixed"/>
        <w:tblLook w:firstColumn="1" w:firstRow="1" w:lastColumn="0" w:lastRow="0" w:noHBand="0" w:noVBand="1" w:val="04A0"/>
      </w:tblPr>
      <w:tblGrid>
        <w:gridCol w:w="3816"/>
        <w:gridCol w:w="1512"/>
        <w:gridCol w:w="1512"/>
        <w:gridCol w:w="1512"/>
        <w:gridCol w:w="1656"/>
      </w:tblGrid>
      <w:tr>
        <w:trPr>
          <w:tblHeader/>
          <w:cantSplit/>
        </w:trPr>
        <w:tc>
          <w:tcPr>
            <w:tcW w:type="dxa" w:w="3816"/>
          </w:tcPr>
          <w:p>
            <w:pPr>
              <w:spacing w:after="60"/>
            </w:pPr>
            <w:r>
              <w:rPr>
                <w:sz w:val="17"/>
              </w:rPr>
              <w:t>Rust / profile</w:t>
            </w:r>
          </w:p>
        </w:tc>
        <w:tc>
          <w:tcPr>
            <w:tcW w:type="dxa" w:w="1512"/>
          </w:tcPr>
          <w:p>
            <w:pPr>
              <w:spacing w:after="60"/>
            </w:pPr>
            <w:r>
              <w:rPr>
                <w:sz w:val="17"/>
              </w:rPr>
              <w:t>Scope</w:t>
            </w:r>
          </w:p>
        </w:tc>
        <w:tc>
          <w:tcPr>
            <w:tcW w:type="dxa" w:w="1512"/>
          </w:tcPr>
          <w:p>
            <w:pPr>
              <w:spacing w:after="60"/>
            </w:pPr>
            <w:r>
              <w:rPr>
                <w:sz w:val="17"/>
              </w:rPr>
              <w:t>Production</w:t>
            </w:r>
          </w:p>
        </w:tc>
        <w:tc>
          <w:tcPr>
            <w:tcW w:type="dxa" w:w="1512"/>
          </w:tcPr>
          <w:p>
            <w:pPr>
              <w:spacing w:after="60"/>
            </w:pPr>
            <w:r>
              <w:rPr>
                <w:sz w:val="17"/>
              </w:rPr>
              <w:t>Qualify*</w:t>
            </w:r>
          </w:p>
        </w:tc>
        <w:tc>
          <w:tcPr>
            <w:tcW w:type="dxa" w:w="1656"/>
          </w:tcPr>
          <w:p>
            <w:pPr>
              <w:spacing w:after="60"/>
            </w:pPr>
            <w:r>
              <w:rPr>
                <w:sz w:val="17"/>
              </w:rPr>
              <w:t>Whole job</w:t>
            </w:r>
          </w:p>
        </w:tc>
      </w:tr>
      <w:tr>
        <w:trPr>
          <w:cantSplit/>
        </w:trPr>
        <w:tc>
          <w:tcPr>
            <w:tcW w:type="dxa" w:w="3816"/>
          </w:tcPr>
          <w:p>
            <w:pPr>
              <w:spacing w:after="60"/>
            </w:pPr>
            <w:r>
              <w:rPr>
                <w:sz w:val="17"/>
              </w:rPr>
              <w:t>1.94.1 official</w:t>
            </w:r>
          </w:p>
        </w:tc>
        <w:tc>
          <w:tcPr>
            <w:tcW w:type="dxa" w:w="1512"/>
          </w:tcPr>
          <w:p>
            <w:pPr>
              <w:spacing w:after="60"/>
            </w:pPr>
            <w:r>
              <w:rPr>
                <w:sz w:val="17"/>
              </w:rPr>
              <w:t>Fixed profile</w:t>
            </w:r>
          </w:p>
        </w:tc>
        <w:tc>
          <w:tcPr>
            <w:tcW w:type="dxa" w:w="1512"/>
          </w:tcPr>
          <w:p>
            <w:pPr>
              <w:spacing w:after="60"/>
            </w:pPr>
            <w:r>
              <w:rPr>
                <w:sz w:val="17"/>
              </w:rPr>
              <w:t>1h15m06s</w:t>
            </w:r>
          </w:p>
        </w:tc>
        <w:tc>
          <w:tcPr>
            <w:tcW w:type="dxa" w:w="1512"/>
          </w:tcPr>
          <w:p>
            <w:pPr>
              <w:spacing w:after="60"/>
            </w:pPr>
            <w:r>
              <w:rPr>
                <w:sz w:val="17"/>
              </w:rPr>
              <w:t>10m31s</w:t>
            </w:r>
          </w:p>
        </w:tc>
        <w:tc>
          <w:tcPr>
            <w:tcW w:type="dxa" w:w="1656"/>
          </w:tcPr>
          <w:p>
            <w:pPr>
              <w:spacing w:after="60"/>
            </w:pPr>
            <w:r>
              <w:rPr>
                <w:sz w:val="17"/>
              </w:rPr>
              <w:t>Split recovery</w:t>
            </w:r>
          </w:p>
        </w:tc>
      </w:tr>
      <w:tr>
        <w:trPr>
          <w:cantSplit/>
        </w:trPr>
        <w:tc>
          <w:tcPr>
            <w:tcW w:type="dxa" w:w="3816"/>
          </w:tcPr>
          <w:p>
            <w:pPr>
              <w:spacing w:after="60"/>
            </w:pPr>
            <w:r>
              <w:rPr>
                <w:sz w:val="17"/>
              </w:rPr>
              <w:t>1.94.1 repaired</w:t>
            </w:r>
          </w:p>
        </w:tc>
        <w:tc>
          <w:tcPr>
            <w:tcW w:type="dxa" w:w="1512"/>
          </w:tcPr>
          <w:p>
            <w:pPr>
              <w:spacing w:after="60"/>
            </w:pPr>
            <w:r>
              <w:rPr>
                <w:sz w:val="17"/>
              </w:rPr>
              <w:t>Fixed profile</w:t>
            </w:r>
          </w:p>
        </w:tc>
        <w:tc>
          <w:tcPr>
            <w:tcW w:type="dxa" w:w="1512"/>
          </w:tcPr>
          <w:p>
            <w:pPr>
              <w:spacing w:after="60"/>
            </w:pPr>
            <w:r>
              <w:rPr>
                <w:sz w:val="17"/>
              </w:rPr>
              <w:t>1h12m17s</w:t>
            </w:r>
          </w:p>
        </w:tc>
        <w:tc>
          <w:tcPr>
            <w:tcW w:type="dxa" w:w="1512"/>
          </w:tcPr>
          <w:p>
            <w:pPr>
              <w:spacing w:after="60"/>
            </w:pPr>
            <w:r>
              <w:rPr>
                <w:sz w:val="17"/>
              </w:rPr>
              <w:t>9m42s</w:t>
            </w:r>
          </w:p>
        </w:tc>
        <w:tc>
          <w:tcPr>
            <w:tcW w:type="dxa" w:w="1656"/>
          </w:tcPr>
          <w:p>
            <w:pPr>
              <w:spacing w:after="60"/>
            </w:pPr>
            <w:r>
              <w:rPr>
                <w:sz w:val="17"/>
              </w:rPr>
              <w:t>Not comparable</w:t>
            </w:r>
          </w:p>
        </w:tc>
      </w:tr>
      <w:tr>
        <w:trPr>
          <w:cantSplit/>
        </w:trPr>
        <w:tc>
          <w:tcPr>
            <w:tcW w:type="dxa" w:w="3816"/>
          </w:tcPr>
          <w:p>
            <w:pPr>
              <w:spacing w:after="60"/>
            </w:pPr>
            <w:r>
              <w:rPr>
                <w:sz w:val="17"/>
              </w:rPr>
              <w:t>1.99.1 official</w:t>
            </w:r>
          </w:p>
        </w:tc>
        <w:tc>
          <w:tcPr>
            <w:tcW w:type="dxa" w:w="1512"/>
          </w:tcPr>
          <w:p>
            <w:pPr>
              <w:spacing w:after="60"/>
            </w:pPr>
            <w:r>
              <w:rPr>
                <w:sz w:val="17"/>
              </w:rPr>
              <w:t>Fixed profile</w:t>
            </w:r>
          </w:p>
        </w:tc>
        <w:tc>
          <w:tcPr>
            <w:tcW w:type="dxa" w:w="1512"/>
          </w:tcPr>
          <w:p>
            <w:pPr>
              <w:spacing w:after="60"/>
            </w:pPr>
            <w:r>
              <w:rPr>
                <w:sz w:val="17"/>
              </w:rPr>
              <w:t>1h12m17s</w:t>
            </w:r>
          </w:p>
        </w:tc>
        <w:tc>
          <w:tcPr>
            <w:tcW w:type="dxa" w:w="1512"/>
          </w:tcPr>
          <w:p>
            <w:pPr>
              <w:spacing w:after="60"/>
            </w:pPr>
            <w:r>
              <w:rPr>
                <w:sz w:val="17"/>
              </w:rPr>
              <w:t>9m44s</w:t>
            </w:r>
          </w:p>
        </w:tc>
        <w:tc>
          <w:tcPr>
            <w:tcW w:type="dxa" w:w="1656"/>
          </w:tcPr>
          <w:p>
            <w:pPr>
              <w:spacing w:after="60"/>
            </w:pPr>
            <w:r>
              <w:rPr>
                <w:sz w:val="17"/>
              </w:rPr>
              <w:t>1h52m42s</w:t>
            </w:r>
          </w:p>
        </w:tc>
      </w:tr>
      <w:tr>
        <w:trPr>
          <w:cantSplit/>
        </w:trPr>
        <w:tc>
          <w:tcPr>
            <w:tcW w:type="dxa" w:w="3816"/>
          </w:tcPr>
          <w:p>
            <w:pPr>
              <w:spacing w:after="60"/>
            </w:pPr>
            <w:r>
              <w:rPr>
                <w:sz w:val="17"/>
              </w:rPr>
              <w:t>1.99.1 repaired</w:t>
            </w:r>
          </w:p>
        </w:tc>
        <w:tc>
          <w:tcPr>
            <w:tcW w:type="dxa" w:w="1512"/>
          </w:tcPr>
          <w:p>
            <w:pPr>
              <w:spacing w:after="60"/>
            </w:pPr>
            <w:r>
              <w:rPr>
                <w:sz w:val="17"/>
              </w:rPr>
              <w:t>Fixed profile</w:t>
            </w:r>
          </w:p>
        </w:tc>
        <w:tc>
          <w:tcPr>
            <w:tcW w:type="dxa" w:w="1512"/>
          </w:tcPr>
          <w:p>
            <w:pPr>
              <w:spacing w:after="60"/>
            </w:pPr>
            <w:r>
              <w:rPr>
                <w:sz w:val="17"/>
              </w:rPr>
              <w:t>1h10m19s</w:t>
            </w:r>
          </w:p>
        </w:tc>
        <w:tc>
          <w:tcPr>
            <w:tcW w:type="dxa" w:w="1512"/>
          </w:tcPr>
          <w:p>
            <w:pPr>
              <w:spacing w:after="60"/>
            </w:pPr>
            <w:r>
              <w:rPr>
                <w:sz w:val="17"/>
              </w:rPr>
              <w:t>9m41s</w:t>
            </w:r>
          </w:p>
        </w:tc>
        <w:tc>
          <w:tcPr>
            <w:tcW w:type="dxa" w:w="1656"/>
          </w:tcPr>
          <w:p>
            <w:pPr>
              <w:spacing w:after="60"/>
            </w:pPr>
            <w:r>
              <w:rPr>
                <w:sz w:val="17"/>
              </w:rPr>
              <w:t>1h53m20s</w:t>
            </w:r>
          </w:p>
        </w:tc>
      </w:tr>
      <w:tr>
        <w:trPr>
          <w:cantSplit/>
        </w:trPr>
        <w:tc>
          <w:tcPr>
            <w:tcW w:type="dxa" w:w="3816"/>
          </w:tcPr>
          <w:p>
            <w:pPr>
              <w:spacing w:after="60"/>
            </w:pPr>
            <w:r>
              <w:rPr>
                <w:sz w:val="17"/>
              </w:rPr>
              <w:t>Current PR</w:t>
            </w:r>
          </w:p>
        </w:tc>
        <w:tc>
          <w:tcPr>
            <w:tcW w:type="dxa" w:w="1512"/>
          </w:tcPr>
          <w:p>
            <w:pPr>
              <w:spacing w:after="60"/>
            </w:pPr>
            <w:r>
              <w:rPr>
                <w:sz w:val="17"/>
              </w:rPr>
              <w:t>Fresh PGO</w:t>
            </w:r>
          </w:p>
        </w:tc>
        <w:tc>
          <w:tcPr>
            <w:tcW w:type="dxa" w:w="1512"/>
          </w:tcPr>
          <w:p>
            <w:pPr>
              <w:spacing w:after="60"/>
            </w:pPr>
            <w:r>
              <w:rPr>
                <w:sz w:val="17"/>
              </w:rPr>
              <w:t>2h24m37s</w:t>
            </w:r>
          </w:p>
        </w:tc>
        <w:tc>
          <w:tcPr>
            <w:tcW w:type="dxa" w:w="1512"/>
          </w:tcPr>
          <w:p>
            <w:pPr>
              <w:spacing w:after="60"/>
            </w:pPr>
            <w:r>
              <w:rPr>
                <w:sz w:val="17"/>
              </w:rPr>
              <w:t>9m07s</w:t>
            </w:r>
          </w:p>
        </w:tc>
        <w:tc>
          <w:tcPr>
            <w:tcW w:type="dxa" w:w="1656"/>
          </w:tcPr>
          <w:p>
            <w:pPr>
              <w:spacing w:after="60"/>
            </w:pPr>
            <w:r>
              <w:rPr>
                <w:sz w:val="17"/>
              </w:rPr>
              <w:t>2h59m01s</w:t>
            </w:r>
          </w:p>
        </w:tc>
      </w:tr>
    </w:tbl>
    <w:p>
      <w:r>
        <w:t>Rust 1.94.1 fixed-profile production: 4506.154s official versus 4337.160s repaired. Its control qualification was recovered separately: there is no matched uninterrupted whole-job comparison. Qualification entries include helper/orchestration. Rust 1.99.1 separate training took 1h20m33s; its whole training job took 1h34m52s.</w:t>
      </w:r>
    </w:p>
    <w:p>
      <w:r>
        <w:t>Compiler-cache service was not enabled in these custom releases. Configurations show direct clang-cl and no native cache launcher; inherited wrappers are excluded. Report hit rate N/A, not observed 0%. CMakeCache.txt is configuration, not an object cache; supplied fixed profiles are inputs, not cached objects. Normal staged Cargo/bootstrap and OS caching remain.</w:t>
      </w:r>
    </w:p>
    <w:p>
      <w:pPr>
        <w:pStyle w:val="Heading2"/>
      </w:pPr>
      <w:r>
        <w:t>Incomplete runs are not full-release results</w:t>
      </w:r>
    </w:p>
    <w:tbl>
      <w:tblPr>
        <w:tblStyle w:val="LightShading-Accent1"/>
        <w:tblW w:type="auto" w:w="0"/>
        <w:tblLayout w:type="fixed"/>
        <w:tblLook w:firstColumn="1" w:firstRow="1" w:lastColumn="0" w:lastRow="0" w:noHBand="0" w:noVBand="1" w:val="04A0"/>
      </w:tblPr>
      <w:tblGrid>
        <w:gridCol w:w="1800"/>
        <w:gridCol w:w="8208"/>
      </w:tblGrid>
      <w:tr>
        <w:trPr>
          <w:tblHeader/>
          <w:cantSplit/>
        </w:trPr>
        <w:tc>
          <w:tcPr>
            <w:tcW w:type="dxa" w:w="1800"/>
          </w:tcPr>
          <w:p>
            <w:pPr>
              <w:spacing w:before="40" w:after="40"/>
            </w:pPr>
            <w:r>
              <w:rPr>
                <w:sz w:val="18"/>
              </w:rPr>
              <w:t>Run</w:t>
            </w:r>
          </w:p>
        </w:tc>
        <w:tc>
          <w:tcPr>
            <w:tcW w:type="dxa" w:w="8208"/>
          </w:tcPr>
          <w:p>
            <w:pPr>
              <w:spacing w:before="40" w:after="40"/>
            </w:pPr>
            <w:r>
              <w:rPr>
                <w:sz w:val="18"/>
              </w:rPr>
              <w:t>Observed outcome</w:t>
            </w:r>
          </w:p>
        </w:tc>
      </w:tr>
      <w:tr>
        <w:trPr>
          <w:cantSplit/>
        </w:trPr>
        <w:tc>
          <w:tcPr>
            <w:tcW w:type="dxa" w:w="1800"/>
          </w:tcPr>
          <w:p>
            <w:pPr>
              <w:spacing w:before="40" w:after="40"/>
            </w:pPr>
            <w:r>
              <w:rPr>
                <w:sz w:val="18"/>
              </w:rPr>
              <w:t>39110448524</w:t>
            </w:r>
          </w:p>
        </w:tc>
        <w:tc>
          <w:tcPr>
            <w:tcW w:type="dxa" w:w="8208"/>
          </w:tcPr>
          <w:p>
            <w:pPr>
              <w:spacing w:before="40" w:after="40"/>
            </w:pPr>
            <w:r>
              <w:rPr>
                <w:sz w:val="18"/>
              </w:rPr>
              <w:t>Public AMD EPYC 7763; 4 LP, 16 GiB. Deadline during final build; production censored at 5h44m18s.</w:t>
            </w:r>
          </w:p>
        </w:tc>
      </w:tr>
      <w:tr>
        <w:trPr>
          <w:cantSplit/>
        </w:trPr>
        <w:tc>
          <w:tcPr>
            <w:tcW w:type="dxa" w:w="1800"/>
          </w:tcPr>
          <w:p>
            <w:pPr>
              <w:spacing w:before="40" w:after="40"/>
            </w:pPr>
            <w:r>
              <w:rPr>
                <w:sz w:val="18"/>
              </w:rPr>
              <w:t>39135351977</w:t>
            </w:r>
          </w:p>
        </w:tc>
        <w:tc>
          <w:tcPr>
            <w:tcW w:type="dxa" w:w="8208"/>
          </w:tcPr>
          <w:p>
            <w:pPr>
              <w:spacing w:before="40" w:after="40"/>
            </w:pPr>
            <w:r>
              <w:rPr>
                <w:sz w:val="18"/>
              </w:rPr>
              <w:t>Fresh training completed in 4h39m37s; 20-minute archive step timed out; final job skipped.</w:t>
            </w:r>
          </w:p>
        </w:tc>
      </w:tr>
      <w:tr>
        <w:trPr>
          <w:cantSplit/>
        </w:trPr>
        <w:tc>
          <w:tcPr>
            <w:tcW w:type="dxa" w:w="1800"/>
          </w:tcPr>
          <w:p>
            <w:pPr>
              <w:spacing w:before="40" w:after="40"/>
            </w:pPr>
            <w:r>
              <w:rPr>
                <w:sz w:val="18"/>
              </w:rPr>
              <w:t>39218601376</w:t>
            </w:r>
          </w:p>
        </w:tc>
        <w:tc>
          <w:tcPr>
            <w:tcW w:type="dxa" w:w="8208"/>
          </w:tcPr>
          <w:p>
            <w:pPr>
              <w:spacing w:before="40" w:after="40"/>
            </w:pPr>
            <w:r>
              <w:rPr>
                <w:sz w:val="18"/>
              </w:rPr>
              <w:t>Replacement uncompressed-handoff attempt cancelled at user's request on 19 October.</w:t>
            </w:r>
          </w:p>
        </w:tc>
      </w:tr>
      <w:tr>
        <w:trPr>
          <w:cantSplit/>
        </w:trPr>
        <w:tc>
          <w:tcPr>
            <w:tcW w:type="dxa" w:w="1800"/>
          </w:tcPr>
          <w:p>
            <w:pPr>
              <w:spacing w:before="40" w:after="40"/>
            </w:pPr>
            <w:r>
              <w:rPr>
                <w:sz w:val="18"/>
              </w:rPr>
              <w:t>39218601311</w:t>
            </w:r>
          </w:p>
        </w:tc>
        <w:tc>
          <w:tcPr>
            <w:tcW w:type="dxa" w:w="8208"/>
          </w:tcPr>
          <w:p>
            <w:pPr>
              <w:spacing w:before="40" w:after="40"/>
            </w:pPr>
            <w:r>
              <w:rPr>
                <w:sz w:val="18"/>
              </w:rPr>
              <w:t>GB300 diagnostic disconnected during receipt upload, before probes. No new scaling result.</w:t>
            </w:r>
          </w:p>
        </w:tc>
      </w:tr>
    </w:tbl>
    <w:p>
      <w:r>
        <w:t>The public four-LP reference used AMD EPYC 7763 / 16 GiB, not Intel. Its 5h44m18s interval is unfinished. Later continuations did not qualify a complete release. These failures are not successful totals, forecasts or new NVMe observations.</w:t>
      </w:r>
    </w:p>
    <w:p>
      <w:r>
        <w:br w:type="page"/>
      </w:r>
    </w:p>
    <w:p>
      <w:pPr>
        <w:pStyle w:val="Heading1"/>
      </w:pPr>
      <w:r>
        <w:t>6. Building Rust: fresh release phases and new scaling</w:t>
      </w:r>
    </w:p>
    <w:p>
      <w:r>
        <w:t>25 October: the current PR plus the exact bootstrap dry-run prerequisite qualified a complete fresh-PGO release. The lookup fix eliminated the reproduced bootstrap panic; 271 bootstrap tests and the helper build passed before the full run.</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6480"/>
          </w:tcPr>
          <w:p>
            <w:pPr>
              <w:spacing w:after="60"/>
            </w:pPr>
            <w:r>
              <w:rPr>
                <w:b/>
                <w:sz w:val="18"/>
              </w:rPr>
              <w:t>Component / explicitly labelled total</w:t>
            </w:r>
          </w:p>
        </w:tc>
        <w:tc>
          <w:tcPr>
            <w:tcW w:type="dxa" w:w="1656"/>
          </w:tcPr>
          <w:p>
            <w:pPr>
              <w:spacing w:after="60"/>
            </w:pPr>
            <w:r>
              <w:rPr>
                <w:b/>
                <w:sz w:val="18"/>
              </w:rPr>
              <w:t>Seconds</w:t>
            </w:r>
          </w:p>
        </w:tc>
        <w:tc>
          <w:tcPr>
            <w:tcW w:type="dxa" w:w="1656"/>
          </w:tcPr>
          <w:p>
            <w:pPr>
              <w:spacing w:after="60"/>
            </w:pPr>
            <w:r>
              <w:rPr>
                <w:b/>
                <w:sz w:val="18"/>
              </w:rPr>
              <w:t>Minutes</w:t>
            </w:r>
          </w:p>
        </w:tc>
      </w:tr>
      <w:tr>
        <w:trPr>
          <w:cantSplit/>
        </w:trPr>
        <w:tc>
          <w:tcPr>
            <w:tcW w:type="dxa" w:w="6480"/>
          </w:tcPr>
          <w:p>
            <w:pPr>
              <w:spacing w:after="60"/>
            </w:pPr>
            <w:r>
              <w:rPr>
                <w:b w:val="0"/>
                <w:sz w:val="18"/>
              </w:rPr>
              <w:t>Rust-side PGO (builds + profile collection)</w:t>
            </w:r>
          </w:p>
        </w:tc>
        <w:tc>
          <w:tcPr>
            <w:tcW w:type="dxa" w:w="1656"/>
          </w:tcPr>
          <w:p>
            <w:pPr>
              <w:spacing w:after="60"/>
            </w:pPr>
            <w:r>
              <w:rPr>
                <w:b w:val="0"/>
                <w:sz w:val="18"/>
              </w:rPr>
              <w:t>4066.980</w:t>
            </w:r>
          </w:p>
        </w:tc>
        <w:tc>
          <w:tcPr>
            <w:tcW w:type="dxa" w:w="1656"/>
          </w:tcPr>
          <w:p>
            <w:pPr>
              <w:spacing w:after="60"/>
            </w:pPr>
            <w:r>
              <w:rPr>
                <w:b w:val="0"/>
                <w:sz w:val="18"/>
              </w:rPr>
              <w:t>67.78</w:t>
            </w:r>
          </w:p>
        </w:tc>
      </w:tr>
      <w:tr>
        <w:trPr>
          <w:cantSplit/>
        </w:trPr>
        <w:tc>
          <w:tcPr>
            <w:tcW w:type="dxa" w:w="6480"/>
          </w:tcPr>
          <w:p>
            <w:pPr>
              <w:spacing w:after="60"/>
            </w:pPr>
            <w:r>
              <w:rPr>
                <w:b w:val="0"/>
                <w:sz w:val="18"/>
              </w:rPr>
              <w:t>LLVM PGO (instrumented compiler + collection)</w:t>
            </w:r>
          </w:p>
        </w:tc>
        <w:tc>
          <w:tcPr>
            <w:tcW w:type="dxa" w:w="1656"/>
          </w:tcPr>
          <w:p>
            <w:pPr>
              <w:spacing w:after="60"/>
            </w:pPr>
            <w:r>
              <w:rPr>
                <w:b w:val="0"/>
                <w:sz w:val="18"/>
              </w:rPr>
              <w:t>1435.190</w:t>
            </w:r>
          </w:p>
        </w:tc>
        <w:tc>
          <w:tcPr>
            <w:tcW w:type="dxa" w:w="1656"/>
          </w:tcPr>
          <w:p>
            <w:pPr>
              <w:spacing w:after="60"/>
            </w:pPr>
            <w:r>
              <w:rPr>
                <w:b w:val="0"/>
                <w:sz w:val="18"/>
              </w:rPr>
              <w:t>23.92</w:t>
            </w:r>
          </w:p>
        </w:tc>
      </w:tr>
      <w:tr>
        <w:trPr>
          <w:cantSplit/>
        </w:trPr>
        <w:tc>
          <w:tcPr>
            <w:tcW w:type="dxa" w:w="6480"/>
          </w:tcPr>
          <w:p>
            <w:pPr>
              <w:spacing w:after="60"/>
            </w:pPr>
            <w:r>
              <w:rPr>
                <w:b w:val="0"/>
                <w:sz w:val="18"/>
              </w:rPr>
              <w:t>Final distribution (compilation + packaging)</w:t>
            </w:r>
          </w:p>
        </w:tc>
        <w:tc>
          <w:tcPr>
            <w:tcW w:type="dxa" w:w="1656"/>
          </w:tcPr>
          <w:p>
            <w:pPr>
              <w:spacing w:after="60"/>
            </w:pPr>
            <w:r>
              <w:rPr>
                <w:b w:val="0"/>
                <w:sz w:val="18"/>
              </w:rPr>
              <w:t>2959.670</w:t>
            </w:r>
          </w:p>
        </w:tc>
        <w:tc>
          <w:tcPr>
            <w:tcW w:type="dxa" w:w="1656"/>
          </w:tcPr>
          <w:p>
            <w:pPr>
              <w:spacing w:after="60"/>
            </w:pPr>
            <w:r>
              <w:rPr>
                <w:b w:val="0"/>
                <w:sz w:val="18"/>
              </w:rPr>
              <w:t>49.33</w:t>
            </w:r>
          </w:p>
        </w:tc>
      </w:tr>
      <w:tr>
        <w:trPr>
          <w:cantSplit/>
        </w:trPr>
        <w:tc>
          <w:tcPr>
            <w:tcW w:type="dxa" w:w="6480"/>
          </w:tcPr>
          <w:p>
            <w:pPr>
              <w:spacing w:after="60"/>
            </w:pPr>
            <w:r>
              <w:rPr>
                <w:b w:val="0"/>
                <w:sz w:val="18"/>
              </w:rPr>
              <w:t>Extracted-distribution tests</w:t>
            </w:r>
          </w:p>
        </w:tc>
        <w:tc>
          <w:tcPr>
            <w:tcW w:type="dxa" w:w="1656"/>
          </w:tcPr>
          <w:p>
            <w:pPr>
              <w:spacing w:after="60"/>
            </w:pPr>
            <w:r>
              <w:rPr>
                <w:b w:val="0"/>
                <w:sz w:val="18"/>
              </w:rPr>
              <w:t>546.800</w:t>
            </w:r>
          </w:p>
        </w:tc>
        <w:tc>
          <w:tcPr>
            <w:tcW w:type="dxa" w:w="1656"/>
          </w:tcPr>
          <w:p>
            <w:pPr>
              <w:spacing w:after="60"/>
            </w:pPr>
            <w:r>
              <w:rPr>
                <w:b w:val="0"/>
                <w:sz w:val="18"/>
              </w:rPr>
              <w:t>9.11</w:t>
            </w:r>
          </w:p>
        </w:tc>
      </w:tr>
      <w:tr>
        <w:trPr>
          <w:cantSplit/>
        </w:trPr>
        <w:tc>
          <w:tcPr>
            <w:tcW w:type="dxa" w:w="6480"/>
          </w:tcPr>
          <w:p>
            <w:pPr>
              <w:spacing w:after="60"/>
            </w:pPr>
            <w:r>
              <w:rPr>
                <w:b w:val="0"/>
                <w:sz w:val="18"/>
              </w:rPr>
              <w:t>Helper / other measured orchestration</w:t>
            </w:r>
          </w:p>
        </w:tc>
        <w:tc>
          <w:tcPr>
            <w:tcW w:type="dxa" w:w="1656"/>
          </w:tcPr>
          <w:p>
            <w:pPr>
              <w:spacing w:after="60"/>
            </w:pPr>
            <w:r>
              <w:rPr>
                <w:b w:val="0"/>
                <w:sz w:val="18"/>
              </w:rPr>
              <w:t>215.157</w:t>
            </w:r>
          </w:p>
        </w:tc>
        <w:tc>
          <w:tcPr>
            <w:tcW w:type="dxa" w:w="1656"/>
          </w:tcPr>
          <w:p>
            <w:pPr>
              <w:spacing w:after="60"/>
            </w:pPr>
            <w:r>
              <w:rPr>
                <w:b w:val="0"/>
                <w:sz w:val="18"/>
              </w:rPr>
              <w:t>3.59</w:t>
            </w:r>
          </w:p>
        </w:tc>
      </w:tr>
      <w:tr>
        <w:trPr>
          <w:cantSplit/>
        </w:trPr>
        <w:tc>
          <w:tcPr>
            <w:tcW w:type="dxa" w:w="6480"/>
          </w:tcPr>
          <w:p>
            <w:pPr>
              <w:spacing w:after="60"/>
            </w:pPr>
            <w:r>
              <w:rPr>
                <w:b w:val="0"/>
                <w:sz w:val="18"/>
              </w:rPr>
              <w:t>Production plus tests</w:t>
            </w:r>
          </w:p>
        </w:tc>
        <w:tc>
          <w:tcPr>
            <w:tcW w:type="dxa" w:w="1656"/>
          </w:tcPr>
          <w:p>
            <w:pPr>
              <w:spacing w:after="60"/>
            </w:pPr>
            <w:r>
              <w:rPr>
                <w:b w:val="0"/>
                <w:sz w:val="18"/>
              </w:rPr>
              <w:t>9223.797</w:t>
            </w:r>
          </w:p>
        </w:tc>
        <w:tc>
          <w:tcPr>
            <w:tcW w:type="dxa" w:w="1656"/>
          </w:tcPr>
          <w:p>
            <w:pPr>
              <w:spacing w:after="60"/>
            </w:pPr>
            <w:r>
              <w:rPr>
                <w:b w:val="0"/>
                <w:sz w:val="18"/>
              </w:rPr>
              <w:t>153.73</w:t>
            </w:r>
          </w:p>
        </w:tc>
      </w:tr>
      <w:tr>
        <w:trPr>
          <w:cantSplit/>
        </w:trPr>
        <w:tc>
          <w:tcPr>
            <w:tcW w:type="dxa" w:w="6480"/>
          </w:tcPr>
          <w:p>
            <w:pPr>
              <w:spacing w:after="60"/>
            </w:pPr>
            <w:r>
              <w:rPr>
                <w:b w:val="0"/>
                <w:sz w:val="18"/>
              </w:rPr>
              <w:t>Setup / uploads / remaining job overhead</w:t>
            </w:r>
          </w:p>
        </w:tc>
        <w:tc>
          <w:tcPr>
            <w:tcW w:type="dxa" w:w="1656"/>
          </w:tcPr>
          <w:p>
            <w:pPr>
              <w:spacing w:after="60"/>
            </w:pPr>
            <w:r>
              <w:rPr>
                <w:b w:val="0"/>
                <w:sz w:val="18"/>
              </w:rPr>
              <w:t>1517.203</w:t>
            </w:r>
          </w:p>
        </w:tc>
        <w:tc>
          <w:tcPr>
            <w:tcW w:type="dxa" w:w="1656"/>
          </w:tcPr>
          <w:p>
            <w:pPr>
              <w:spacing w:after="60"/>
            </w:pPr>
            <w:r>
              <w:rPr>
                <w:b w:val="0"/>
                <w:sz w:val="18"/>
              </w:rPr>
              <w:t>25.29</w:t>
            </w:r>
          </w:p>
        </w:tc>
      </w:tr>
      <w:tr>
        <w:trPr>
          <w:cantSplit/>
        </w:trPr>
        <w:tc>
          <w:tcPr>
            <w:tcW w:type="dxa" w:w="6480"/>
          </w:tcPr>
          <w:p>
            <w:pPr>
              <w:spacing w:after="60"/>
            </w:pPr>
            <w:r>
              <w:rPr>
                <w:b w:val="0"/>
                <w:sz w:val="18"/>
              </w:rPr>
              <w:t>Whole release job</w:t>
            </w:r>
          </w:p>
        </w:tc>
        <w:tc>
          <w:tcPr>
            <w:tcW w:type="dxa" w:w="1656"/>
          </w:tcPr>
          <w:p>
            <w:pPr>
              <w:spacing w:after="60"/>
            </w:pPr>
            <w:r>
              <w:rPr>
                <w:b w:val="0"/>
                <w:sz w:val="18"/>
              </w:rPr>
              <w:t>10741.000</w:t>
            </w:r>
          </w:p>
        </w:tc>
        <w:tc>
          <w:tcPr>
            <w:tcW w:type="dxa" w:w="1656"/>
          </w:tcPr>
          <w:p>
            <w:pPr>
              <w:spacing w:after="60"/>
            </w:pPr>
            <w:r>
              <w:rPr>
                <w:b w:val="0"/>
                <w:sz w:val="18"/>
              </w:rPr>
              <w:t>179.02</w:t>
            </w:r>
          </w:p>
        </w:tc>
      </w:tr>
    </w:tbl>
    <w:p>
      <w:r>
        <w:t>These are stage wall times, not raw compilation CPU. Production excluding tests is 8676.997s (2h24m37s). All 25,648 tests passed; 739 ignored, 541 filtered, zero failed. Twenty distribution files were retained. This does not measure a cache-corrected hosted job.</w:t>
      </w:r>
    </w:p>
    <w:p>
      <w:hyperlink r:id="rId22">
        <w:r>
          <w:rPr>
            <w:color w:val="007F8B"/>
          </w:rPr>
          <w:t>Qualified full release: run 40170434889</w:t>
        </w:r>
      </w:hyperlink>
    </w:p>
    <w:p>
      <w:pPr>
        <w:pStyle w:val="Heading2"/>
      </w:pPr>
      <w:r>
        <w:t>New x64 D: NVMe study: in progress, not results</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2016"/>
          </w:tcPr>
          <w:p>
            <w:pPr>
              <w:spacing w:after="60"/>
            </w:pPr>
            <w:r>
              <w:rPr>
                <w:b/>
                <w:sz w:val="18"/>
              </w:rPr>
              <w:t>LP allocation / order</w:t>
            </w:r>
          </w:p>
        </w:tc>
        <w:tc>
          <w:tcPr>
            <w:tcW w:type="dxa" w:w="3888"/>
          </w:tcPr>
          <w:p>
            <w:pPr>
              <w:spacing w:after="60"/>
            </w:pPr>
            <w:r>
              <w:rPr>
                <w:b/>
                <w:sz w:val="18"/>
              </w:rPr>
              <w:t>Status at this update</w:t>
            </w:r>
          </w:p>
        </w:tc>
        <w:tc>
          <w:tcPr>
            <w:tcW w:type="dxa" w:w="3888"/>
          </w:tcPr>
          <w:p>
            <w:pPr>
              <w:spacing w:after="60"/>
            </w:pPr>
            <w:r>
              <w:rPr>
                <w:b/>
                <w:sz w:val="18"/>
              </w:rPr>
              <w:t>Measurement boundary</w:t>
            </w:r>
          </w:p>
        </w:tc>
      </w:tr>
      <w:tr>
        <w:trPr>
          <w:cantSplit/>
        </w:trPr>
        <w:tc>
          <w:tcPr>
            <w:tcW w:type="dxa" w:w="2016"/>
          </w:tcPr>
          <w:p>
            <w:pPr>
              <w:spacing w:after="60"/>
            </w:pPr>
            <w:r>
              <w:rPr>
                <w:b w:val="0"/>
                <w:sz w:val="18"/>
              </w:rPr>
              <w:t>16 (first)</w:t>
            </w:r>
          </w:p>
        </w:tc>
        <w:tc>
          <w:tcPr>
            <w:tcW w:type="dxa" w:w="3888"/>
          </w:tcPr>
          <w:p>
            <w:r>
              <w:t>Qualified; whole job 3h02m41s</w:t>
            </w:r>
          </w:p>
        </w:tc>
        <w:tc>
          <w:tcPr>
            <w:tcW w:type="dxa" w:w="3888"/>
          </w:tcPr>
          <w:p>
            <w:pPr>
              <w:spacing w:after="60"/>
            </w:pPr>
            <w:r>
              <w:rPr>
                <w:b w:val="0"/>
                <w:sz w:val="18"/>
              </w:rPr>
              <w:t>Fresh complete PGO release</w:t>
            </w:r>
          </w:p>
        </w:tc>
      </w:tr>
      <w:tr>
        <w:trPr>
          <w:cantSplit/>
        </w:trPr>
        <w:tc>
          <w:tcPr>
            <w:tcW w:type="dxa" w:w="2016"/>
          </w:tcPr>
          <w:p>
            <w:pPr>
              <w:spacing w:after="60"/>
            </w:pPr>
            <w:r>
              <w:rPr>
                <w:b w:val="0"/>
                <w:sz w:val="18"/>
              </w:rPr>
              <w:t>8 (second)</w:t>
            </w:r>
          </w:p>
        </w:tc>
        <w:tc>
          <w:tcPr>
            <w:tcW w:type="dxa" w:w="3888"/>
          </w:tcPr>
          <w:p>
            <w:r>
              <w:t>Build/qualification running</w:t>
            </w:r>
          </w:p>
        </w:tc>
        <w:tc>
          <w:tcPr>
            <w:tcW w:type="dxa" w:w="3888"/>
          </w:tcPr>
          <w:p>
            <w:pPr>
              <w:spacing w:after="60"/>
            </w:pPr>
            <w:r>
              <w:rPr>
                <w:b w:val="0"/>
                <w:sz w:val="18"/>
              </w:rPr>
              <w:t>Same source/tools/configuration</w:t>
            </w:r>
          </w:p>
        </w:tc>
      </w:tr>
      <w:tr>
        <w:trPr>
          <w:cantSplit/>
        </w:trPr>
        <w:tc>
          <w:tcPr>
            <w:tcW w:type="dxa" w:w="2016"/>
          </w:tcPr>
          <w:p>
            <w:pPr>
              <w:spacing w:after="60"/>
            </w:pPr>
            <w:r>
              <w:rPr>
                <w:b w:val="0"/>
                <w:sz w:val="18"/>
              </w:rPr>
              <w:t>4 (third)</w:t>
            </w:r>
          </w:p>
        </w:tc>
        <w:tc>
          <w:tcPr>
            <w:tcW w:type="dxa" w:w="3888"/>
          </w:tcPr>
          <w:p>
            <w:pPr>
              <w:spacing w:after="60"/>
            </w:pPr>
            <w:r>
              <w:rPr>
                <w:b w:val="0"/>
                <w:sz w:val="18"/>
              </w:rPr>
              <w:t>Pending successful 8-LP cell</w:t>
            </w:r>
          </w:p>
        </w:tc>
        <w:tc>
          <w:tcPr>
            <w:tcW w:type="dxa" w:w="3888"/>
          </w:tcPr>
          <w:p>
            <w:pPr>
              <w:spacing w:after="60"/>
            </w:pPr>
            <w:r>
              <w:rPr>
                <w:b w:val="0"/>
                <w:sz w:val="18"/>
              </w:rPr>
              <w:t>Same runner / fresh initial objects</w:t>
            </w:r>
          </w:p>
        </w:tc>
      </w:tr>
    </w:tbl>
    <w:p>
      <w:r>
        <w:t>Run 41054163612 uses 16 -&gt; 8 -&gt; 4 logical processors, not physical cores. The host has eight physical cores; actual topology and inherited affinity are recorded. Each cell generates new profiles; fixed order and one observation per allocation are descriptive, not a stable scaling law. No compiler-cache service is enabled (hit rate N/A).</w:t>
      </w:r>
    </w:p>
    <w:p>
      <w:r>
        <w:t>The study measures Rust production and qualification, not IronRDP performance or incremental LTO. Lower-worker cells must match the new reference's source, tools, normalized configuration, hardware and power scheme. Setup/transfers and whole-job time remain separate.</w:t>
      </w:r>
    </w:p>
    <w:p>
      <w:hyperlink r:id="rId23">
        <w:r>
          <w:rPr>
            <w:color w:val="007F8B"/>
          </w:rPr>
          <w:t>Live scaling run</w:t>
        </w:r>
      </w:hyperlink>
    </w:p>
    <w:p>
      <w:hyperlink r:id="rId24">
        <w:r>
          <w:rPr>
            <w:color w:val="007F8B"/>
          </w:rPr>
          <w:t>Recorded scaling protocol</w:t>
        </w:r>
      </w:hyperlink>
    </w:p>
    <w:p>
      <w:r>
        <w:br w:type="page"/>
      </w:r>
    </w:p>
    <w:p>
      <w:pPr>
        <w:pStyle w:val="Heading1"/>
      </w:pPr>
      <w:r>
        <w:t>7. Upstream artifact: restored training, missing benefit</w:t>
      </w:r>
    </w:p>
    <w:p>
      <w:r>
        <w:t>IronRDP consumer check, 26 October. Rust 1.101.0-nightly try 51dae83933ec0602516d385a07cea7c692d15261 versus exact parent dc44e7f2c436b6041742e138b9c2176f093196d5. Two cold five-command blocks per compiler; same host, four-CPU affinity, parent Cargo and each compiler's own standard library. No excluded warmup or statistical qualification.</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4608"/>
          </w:tcPr>
          <w:p>
            <w:pPr>
              <w:spacing w:after="60"/>
            </w:pPr>
            <w:r>
              <w:rPr>
                <w:b/>
                <w:sz w:val="18"/>
              </w:rPr>
              <w:t>Toolchain</w:t>
            </w:r>
          </w:p>
        </w:tc>
        <w:tc>
          <w:tcPr>
            <w:tcW w:type="dxa" w:w="2592"/>
          </w:tcPr>
          <w:p>
            <w:pPr>
              <w:spacing w:after="60"/>
            </w:pPr>
            <w:r>
              <w:rPr>
                <w:b/>
                <w:sz w:val="18"/>
              </w:rPr>
              <w:t>IronRDP wall (s)</w:t>
            </w:r>
          </w:p>
        </w:tc>
        <w:tc>
          <w:tcPr>
            <w:tcW w:type="dxa" w:w="2592"/>
          </w:tcPr>
          <w:p>
            <w:pPr>
              <w:spacing w:after="60"/>
            </w:pPr>
            <w:r>
              <w:rPr>
                <w:b/>
                <w:sz w:val="18"/>
              </w:rPr>
              <w:t>Descendant CPU (s)</w:t>
            </w:r>
          </w:p>
        </w:tc>
      </w:tr>
      <w:tr>
        <w:trPr>
          <w:cantSplit/>
        </w:trPr>
        <w:tc>
          <w:tcPr>
            <w:tcW w:type="dxa" w:w="4608"/>
          </w:tcPr>
          <w:p>
            <w:pPr>
              <w:spacing w:after="60"/>
            </w:pPr>
            <w:r>
              <w:rPr>
                <w:b w:val="0"/>
                <w:sz w:val="18"/>
              </w:rPr>
              <w:t>Exact parent</w:t>
            </w:r>
          </w:p>
        </w:tc>
        <w:tc>
          <w:tcPr>
            <w:tcW w:type="dxa" w:w="2592"/>
          </w:tcPr>
          <w:p>
            <w:pPr>
              <w:spacing w:after="60"/>
            </w:pPr>
            <w:r>
              <w:rPr>
                <w:b w:val="0"/>
                <w:sz w:val="18"/>
              </w:rPr>
              <w:t>630.066</w:t>
            </w:r>
          </w:p>
        </w:tc>
        <w:tc>
          <w:tcPr>
            <w:tcW w:type="dxa" w:w="2592"/>
          </w:tcPr>
          <w:p>
            <w:pPr>
              <w:spacing w:after="60"/>
            </w:pPr>
            <w:r>
              <w:rPr>
                <w:b w:val="0"/>
                <w:sz w:val="18"/>
              </w:rPr>
              <w:t>2443.008</w:t>
            </w:r>
          </w:p>
        </w:tc>
      </w:tr>
      <w:tr>
        <w:trPr>
          <w:cantSplit/>
        </w:trPr>
        <w:tc>
          <w:tcPr>
            <w:tcW w:type="dxa" w:w="4608"/>
          </w:tcPr>
          <w:p>
            <w:pPr>
              <w:spacing w:after="60"/>
            </w:pPr>
            <w:r>
              <w:rPr>
                <w:b w:val="0"/>
                <w:sz w:val="18"/>
              </w:rPr>
              <w:t>Upstream try artifact</w:t>
            </w:r>
          </w:p>
        </w:tc>
        <w:tc>
          <w:tcPr>
            <w:tcW w:type="dxa" w:w="2592"/>
          </w:tcPr>
          <w:p>
            <w:pPr>
              <w:spacing w:after="60"/>
            </w:pPr>
            <w:r>
              <w:rPr>
                <w:b w:val="0"/>
                <w:sz w:val="18"/>
              </w:rPr>
              <w:t>628.713</w:t>
            </w:r>
          </w:p>
        </w:tc>
        <w:tc>
          <w:tcPr>
            <w:tcW w:type="dxa" w:w="2592"/>
          </w:tcPr>
          <w:p>
            <w:pPr>
              <w:spacing w:after="60"/>
            </w:pPr>
            <w:r>
              <w:rPr>
                <w:b w:val="0"/>
                <w:sz w:val="18"/>
              </w:rPr>
              <w:t>2439.039</w:t>
            </w:r>
          </w:p>
        </w:tc>
      </w:tr>
      <w:tr>
        <w:trPr>
          <w:cantSplit/>
        </w:trPr>
        <w:tc>
          <w:tcPr>
            <w:tcW w:type="dxa" w:w="4608"/>
          </w:tcPr>
          <w:p>
            <w:pPr>
              <w:spacing w:after="60"/>
            </w:pPr>
            <w:r>
              <w:rPr>
                <w:b w:val="0"/>
                <w:sz w:val="18"/>
              </w:rPr>
              <w:t>Reduction</w:t>
            </w:r>
          </w:p>
        </w:tc>
        <w:tc>
          <w:tcPr>
            <w:tcW w:type="dxa" w:w="2592"/>
          </w:tcPr>
          <w:p>
            <w:pPr>
              <w:spacing w:after="60"/>
            </w:pPr>
            <w:r>
              <w:rPr>
                <w:b w:val="0"/>
                <w:sz w:val="18"/>
              </w:rPr>
              <w:t>0.21%</w:t>
            </w:r>
          </w:p>
        </w:tc>
        <w:tc>
          <w:tcPr>
            <w:tcW w:type="dxa" w:w="2592"/>
          </w:tcPr>
          <w:p>
            <w:pPr>
              <w:spacing w:after="60"/>
            </w:pPr>
            <w:r>
              <w:rPr>
                <w:b w:val="0"/>
                <w:sz w:val="18"/>
              </w:rPr>
              <w:t>0.16%</w:t>
            </w:r>
          </w:p>
        </w:tc>
      </w:tr>
    </w:tbl>
    <w:p>
      <w:r>
        <w:t>The expected approximately 13% gain was not reproduced. One parent block failed on a registry source read (Windows os error 87); only that block was repeated after identity checks. Three original successful blocks and the failure remain preserved; the final set has 20 successful measured commands.</w:t>
      </w:r>
    </w:p>
    <w:p>
      <w:pPr>
        <w:pStyle w:val="Heading2"/>
      </w:pPr>
      <w:r>
        <w:t>Cache diagnosis: native LLVM compilation, before linking</w:t>
      </w:r>
    </w:p>
    <w:p>
      <w:r>
        <w:t>The actual try profile restored X86TargetLowering to 273 functions / 176 active and InstCombine to 980 / 631; both parent groups were 0 / 0. Yet the producer log at 25 October 19:10:06 UTC shows 212 C and 10,341 C++ cache hits: 100.00% each. All 88 misses were Rust. These are whole-job aggregate counters, not final-stage-only object provenance.</w:t>
      </w:r>
    </w:p>
    <w:p>
      <w:r>
        <w:t>Pinned sccache 0.10.0 does not hash profile contents for the bare -fprofile-instr-use=&lt;path&gt; emitted by LLVM CMake. A local reproduction used the exact CI sccache binary and actual parent/try profiles: replacing the valid profile at the same path produced one stale hit. A profile-hash buster, -clang: wrapping and SCCACHE_EXTRAFILES each invalidated reuse. Local Clang was 23.1.4; upstream used 22.1.8.</w:t>
      </w:r>
    </w:p>
    <w:p>
      <w:r>
        <w:t>Likely chain: new profile -&gt; stale LLVM objects -&gt; newly linked rustc without the expected gain. PGO acts during compilation here; Microsoft linking cannot redo bypassed optimization. The key defect is reproduced, but historical object provenance and cache-corrected end-to-end recovery are not proven.</w:t>
      </w:r>
    </w:p>
    <w:p>
      <w:pPr>
        <w:pStyle w:val="Heading2"/>
      </w:pPr>
      <w:r>
        <w:t>Mitigation and the six-hour limit</w:t>
      </w:r>
    </w:p>
    <w:p>
      <w:r>
        <w:t>Scope SCCACHE_EXTRAFILES to the final Windows LLVM profile-use build, preserving existing entries and earlier caches. Do not globally purge or assume future profiles will yield warm hits. The cached producer took 2h19m30s on windows-2025-8core-32gb; corrected cold-stage cost remains unmeasured. Qualify a complete release and IronRDP recovery; use a larger approved runner or verified job split if needed. YAML alone cannot raise GitHub-hosted jobs beyond six hours.</w:t>
      </w:r>
    </w:p>
    <w:p>
      <w:hyperlink r:id="rId25">
        <w:r>
          <w:rPr>
            <w:color w:val="007F8B"/>
          </w:rPr>
          <w:t>Producer cache log</w:t>
        </w:r>
      </w:hyperlink>
    </w:p>
    <w:p>
      <w:hyperlink r:id="rId26">
        <w:r>
          <w:rPr>
            <w:color w:val="007F8B"/>
          </w:rPr>
          <w:t>Successful artifact-check continuation</w:t>
        </w:r>
      </w:hyperlink>
    </w:p>
    <w:p>
      <w:hyperlink r:id="rId27">
        <w:r>
          <w:rPr>
            <w:color w:val="007F8B"/>
          </w:rPr>
          <w:t>Rust #164707: training repair</w:t>
        </w:r>
      </w:hyperlink>
    </w:p>
    <w:p>
      <w:hyperlink r:id="rId28">
        <w:r>
          <w:rPr>
            <w:color w:val="007F8B"/>
          </w:rPr>
          <w:t>Rust #165138: cache workaround</w:t>
        </w:r>
      </w:hyperlink>
    </w:p>
    <w:p>
      <w:hyperlink r:id="rId29">
        <w:r>
          <w:rPr>
            <w:color w:val="007F8B"/>
          </w:rPr>
          <w:t>sccache #2962: clang-cl profile hashing</w:t>
        </w:r>
      </w:hyperlink>
    </w:p>
    <w:p>
      <w:r>
        <w:br w:type="page"/>
      </w:r>
    </w:p>
    <w:p>
      <w:pPr>
        <w:pStyle w:val="Heading1"/>
      </w:pPr>
      <w:r>
        <w:t>8. Incremental x64 Rust-only ThinLTO: no wall gain</w:t>
      </w:r>
    </w:p>
    <w:p>
      <w:r>
        <w:t>Completed 30 October, 17:17 UTC. Measured endpoint: the five-command offline IronRDP compilation workload, using an already-built compiler. This is not Rust production time or application runtime.</w:t>
      </w:r>
    </w:p>
    <w:tbl>
      <w:tblPr>
        <w:tblStyle w:val="LightShading-Accent1"/>
        <w:tblW w:type="auto" w:w="0"/>
        <w:tblLayout w:type="fixed"/>
        <w:tblLook w:firstColumn="1" w:firstRow="1" w:lastColumn="0" w:lastRow="0" w:noHBand="0" w:noVBand="1" w:val="04A0"/>
      </w:tblPr>
      <w:tblGrid>
        <w:gridCol w:w="3346"/>
        <w:gridCol w:w="3346"/>
        <w:gridCol w:w="3346"/>
      </w:tblGrid>
      <w:tr>
        <w:trPr>
          <w:cantSplit/>
          <w:tblHeader/>
        </w:trPr>
        <w:tc>
          <w:tcPr>
            <w:tcW w:type="dxa" w:w="4608"/>
          </w:tcPr>
          <w:p>
            <w:r>
              <w:t>Three rounds, mean per block</w:t>
            </w:r>
          </w:p>
        </w:tc>
        <w:tc>
          <w:tcPr>
            <w:tcW w:type="dxa" w:w="2592"/>
          </w:tcPr>
          <w:p>
            <w:r>
              <w:t>Repaired PGO</w:t>
            </w:r>
          </w:p>
        </w:tc>
        <w:tc>
          <w:tcPr>
            <w:tcW w:type="dxa" w:w="2592"/>
          </w:tcPr>
          <w:p>
            <w:r>
              <w:t>+ Rust-only ThinLTO</w:t>
            </w:r>
          </w:p>
        </w:tc>
      </w:tr>
      <w:tr>
        <w:trPr>
          <w:cantSplit/>
        </w:trPr>
        <w:tc>
          <w:tcPr>
            <w:tcW w:type="dxa" w:w="4608"/>
          </w:tcPr>
          <w:p>
            <w:r>
              <w:t>IronRDP wall seconds</w:t>
            </w:r>
          </w:p>
        </w:tc>
        <w:tc>
          <w:tcPr>
            <w:tcW w:type="dxa" w:w="2592"/>
          </w:tcPr>
          <w:p>
            <w:r>
              <w:t>812.586</w:t>
            </w:r>
          </w:p>
        </w:tc>
        <w:tc>
          <w:tcPr>
            <w:tcW w:type="dxa" w:w="2592"/>
          </w:tcPr>
          <w:p>
            <w:r>
              <w:t>812.961 (0.05% slower)</w:t>
            </w:r>
          </w:p>
        </w:tc>
      </w:tr>
      <w:tr>
        <w:trPr>
          <w:cantSplit/>
        </w:trPr>
        <w:tc>
          <w:tcPr>
            <w:tcW w:type="dxa" w:w="4608"/>
          </w:tcPr>
          <w:p>
            <w:r>
              <w:t>Descendant CPU seconds</w:t>
            </w:r>
          </w:p>
        </w:tc>
        <w:tc>
          <w:tcPr>
            <w:tcW w:type="dxa" w:w="2592"/>
          </w:tcPr>
          <w:p>
            <w:r>
              <w:t>3141.375</w:t>
            </w:r>
          </w:p>
        </w:tc>
        <w:tc>
          <w:tcPr>
            <w:tcW w:type="dxa" w:w="2592"/>
          </w:tcPr>
          <w:p>
            <w:r>
              <w:t>3130.063 (0.36% less)</w:t>
            </w:r>
          </w:p>
        </w:tc>
      </w:tr>
      <w:tr>
        <w:trPr>
          <w:cantSplit/>
        </w:trPr>
        <w:tc>
          <w:tcPr>
            <w:tcW w:type="dxa" w:w="4608"/>
          </w:tcPr>
          <w:p>
            <w:r>
              <w:t>Paired wall reductions</w:t>
            </w:r>
          </w:p>
        </w:tc>
        <w:tc>
          <w:tcPr>
            <w:tcW w:type="dxa" w:w="2592"/>
          </w:tcPr>
          <w:p>
            <w:r>
              <w:t>0.69%, 0.05%, -0.88%</w:t>
            </w:r>
          </w:p>
        </w:tc>
        <w:tc>
          <w:tcPr>
            <w:tcW w:type="dxa" w:w="2592"/>
          </w:tcPr>
          <w:p>
            <w:r>
              <w:t>No meaningful wall gain</w:t>
            </w:r>
          </w:p>
        </w:tc>
      </w:tr>
    </w:tbl>
    <w:p>
      <w:r>
        <w:t>Reduction uses 100 * (1 - sum(treatment) / sum(baseline)); negative means slower. The mixed sub-percent wall results establish neither a useful improvement nor a statistically demonstrated regression. One build pair, one hosted consumer VM and three measured rounds: no population confidence interval.</w:t>
      </w:r>
    </w:p>
    <w:p>
      <w:pPr>
        <w:pStyle w:val="Heading2"/>
      </w:pPr>
      <w:r>
        <w:t>Matched intervention</w:t>
      </w:r>
    </w:p>
    <w:p>
      <w:r>
        <w:t>Same Rust 4da678aa plus the exact common dry-run prerequisite, frozen repaired rustc/LLVM profiles from qualified run 40170434889, Clang 20.1.3 and matching Microsoft link.exe/lib.exe and SDK/native inputs. Only rust.lto changes from thin-local to thin. LLVM native ThinLTO stays off; Rust codegen units stay at one. No compiler-cache service (hit rate N/A), no new runtime/stack/DLL/MIR patch.</w:t>
      </w:r>
    </w:p>
    <w:p>
      <w:r>
        <w:t>Each compiler keeps its own standard library and shares identical stage0 Cargo. All 43 rlib/import-library files match; the std DLL differs only in 24 bytes of linker timestamps/debug identifiers, with identical remaining runtime bytes. Each original PDB binds to its own DLL. No transplantation or binary modification.</w:t>
      </w:r>
    </w:p>
    <w:p>
      <w:pPr>
        <w:pStyle w:val="Heading2"/>
      </w:pPr>
      <w:r>
        <w:t>Measurement and qualification</w:t>
      </w:r>
    </w:p>
    <w:p>
      <w:r>
        <w:t>Four-LP affinity; fresh targets per block; one warmup per arm then three measured rounds in alternating order. Setup, downloads, uploads and correctness are excluded. Both arms passed 3,604 workspace tests plus 1 TLS, 10 gateway and 13 smartcard tests; zero failed and six workspace tests ignored. Thirty successful measured commands remain after excluding warmups.</w:t>
      </w:r>
    </w:p>
    <w:p>
      <w:r>
        <w:t>These are compiler/sysroot packages, not complete Rust distributions. No rustdoc/doctests or full upstream extracted-distribution suite was qualified. Native correctness uses --tests to honor pinned manifest test flags. The older 7.6% result added both ThinLTO modes and LLVM linking, so it is a different intervention.</w:t>
      </w:r>
    </w:p>
    <w:p>
      <w:pPr>
        <w:pStyle w:val="Heading2"/>
      </w:pPr>
      <w:r>
        <w:t>Recovery and evidence</w:t>
      </w:r>
    </w:p>
    <w:p>
      <w:r>
        <w:t>Producer 41058649059 built both compilers. Consumer-only retries corrected an overly strict debug-metadata identity check, a missing correctness-only PUBLIC variable and forced manifest-disabled browser tests. Frozen packages, profiles, source and timed commands were unchanged; failures remain preserved. Successful consumer: 41076640207, harness be5fa875. Independent verification rehashed packages, checked identities/correctness and recomputed raw wall/CPU receipts.</w:t>
      </w:r>
    </w:p>
    <w:p>
      <w:hyperlink r:id="rId35">
        <w:r>
          <w:t>Full incremental ThinLTO report, limitations and persistent raw evidence</w:t>
        </w:r>
      </w:hyperlink>
    </w:p>
    <w:p>
      <w:r>
        <w:br w:type="page"/>
      </w:r>
    </w:p>
    <w:p>
      <w:pPr>
        <w:pStyle w:val="Heading1"/>
      </w:pPr>
      <w:r>
        <w:t>9. Conclusions, limits and evidence</w:t>
      </w:r>
    </w:p>
    <w:p>
      <w:pPr>
        <w:pStyle w:val="Heading2"/>
      </w:pPr>
      <w:r>
        <w:t>Priorities and acceptance criteria</w:t>
      </w:r>
    </w:p>
    <w:tbl>
      <w:tblPr>
        <w:tblStyle w:val="LightShading-Accent1"/>
        <w:tblW w:type="auto" w:w="0"/>
        <w:tblLayout w:type="fixed"/>
        <w:tblLook w:firstColumn="1" w:firstRow="1" w:lastColumn="0" w:lastRow="0" w:noHBand="0" w:noVBand="1" w:val="04A0"/>
      </w:tblPr>
      <w:tblGrid>
        <w:gridCol w:w="792"/>
        <w:gridCol w:w="3240"/>
        <w:gridCol w:w="5976"/>
      </w:tblGrid>
      <w:tr>
        <w:trPr>
          <w:tblHeader/>
          <w:cantSplit/>
        </w:trPr>
        <w:tc>
          <w:tcPr>
            <w:tcW w:type="dxa" w:w="792"/>
          </w:tcPr>
          <w:p>
            <w:pPr>
              <w:spacing w:after="60"/>
            </w:pPr>
            <w:r>
              <w:rPr>
                <w:sz w:val="18"/>
              </w:rPr>
              <w:t>Priority</w:t>
            </w:r>
          </w:p>
        </w:tc>
        <w:tc>
          <w:tcPr>
            <w:tcW w:type="dxa" w:w="3240"/>
          </w:tcPr>
          <w:p>
            <w:pPr>
              <w:spacing w:after="60"/>
            </w:pPr>
            <w:r>
              <w:rPr>
                <w:sz w:val="18"/>
              </w:rPr>
              <w:t>Action</w:t>
            </w:r>
          </w:p>
        </w:tc>
        <w:tc>
          <w:tcPr>
            <w:tcW w:type="dxa" w:w="5976"/>
          </w:tcPr>
          <w:p>
            <w:pPr>
              <w:spacing w:after="60"/>
            </w:pPr>
            <w:r>
              <w:rPr>
                <w:sz w:val="18"/>
              </w:rPr>
              <w:t>Acceptance criterion</w:t>
            </w:r>
          </w:p>
        </w:tc>
      </w:tr>
      <w:tr>
        <w:trPr>
          <w:cantSplit/>
        </w:trPr>
        <w:tc>
          <w:tcPr>
            <w:tcW w:type="dxa" w:w="792"/>
          </w:tcPr>
          <w:p>
            <w:pPr>
              <w:spacing w:after="60"/>
            </w:pPr>
            <w:r>
              <w:rPr>
                <w:sz w:val="18"/>
              </w:rPr>
              <w:t>1</w:t>
            </w:r>
          </w:p>
        </w:tc>
        <w:tc>
          <w:tcPr>
            <w:tcW w:type="dxa" w:w="3240"/>
          </w:tcPr>
          <w:p>
            <w:pPr>
              <w:spacing w:after="60"/>
            </w:pPr>
            <w:r>
              <w:rPr>
                <w:sz w:val="18"/>
              </w:rPr>
              <w:t>Make native cache keys profile-aware</w:t>
            </w:r>
          </w:p>
        </w:tc>
        <w:tc>
          <w:tcPr>
            <w:tcW w:type="dxa" w:w="5976"/>
          </w:tcPr>
          <w:p>
            <w:pPr>
              <w:spacing w:after="60"/>
            </w:pPr>
            <w:r>
              <w:rPr>
                <w:sz w:val="18"/>
              </w:rPr>
              <w:t>Complete release + IronRDP recovery within hosted budget; not proven by a high hit rate alone</w:t>
            </w:r>
          </w:p>
        </w:tc>
      </w:tr>
      <w:tr>
        <w:trPr>
          <w:cantSplit/>
        </w:trPr>
        <w:tc>
          <w:tcPr>
            <w:tcW w:type="dxa" w:w="792"/>
          </w:tcPr>
          <w:p>
            <w:pPr>
              <w:spacing w:after="60"/>
            </w:pPr>
            <w:r>
              <w:rPr>
                <w:sz w:val="18"/>
              </w:rPr>
              <w:t>2</w:t>
            </w:r>
          </w:p>
        </w:tc>
        <w:tc>
          <w:tcPr>
            <w:tcW w:type="dxa" w:w="3240"/>
          </w:tcPr>
          <w:p>
            <w:pPr>
              <w:spacing w:after="60"/>
            </w:pPr>
            <w:r>
              <w:rPr>
                <w:sz w:val="18"/>
              </w:rPr>
              <w:t>Deliver effective PGO with Microsoft tools</w:t>
            </w:r>
          </w:p>
        </w:tc>
        <w:tc>
          <w:tcPr>
            <w:tcW w:type="dxa" w:w="5976"/>
          </w:tcPr>
          <w:p>
            <w:pPr>
              <w:spacing w:after="60"/>
            </w:pPr>
            <w:r>
              <w:rPr>
                <w:sz w:val="18"/>
              </w:rPr>
              <w:t>Use isolated x64 evidence and labelled Arm64 no-PGO pilots; ship complete toolchains</w:t>
            </w:r>
          </w:p>
        </w:tc>
      </w:tr>
      <w:tr>
        <w:trPr>
          <w:cantSplit/>
        </w:trPr>
        <w:tc>
          <w:tcPr>
            <w:tcW w:type="dxa" w:w="792"/>
          </w:tcPr>
          <w:p>
            <w:pPr>
              <w:spacing w:after="60"/>
            </w:pPr>
            <w:r>
              <w:rPr>
                <w:sz w:val="18"/>
              </w:rPr>
              <w:t>3</w:t>
            </w:r>
          </w:p>
        </w:tc>
        <w:tc>
          <w:tcPr>
            <w:tcW w:type="dxa" w:w="3240"/>
          </w:tcPr>
          <w:p>
            <w:pPr>
              <w:spacing w:after="60"/>
            </w:pPr>
            <w:r>
              <w:rPr>
                <w:sz w:val="18"/>
              </w:rPr>
              <w:t>Complete running x64 NVMe 16/8/4-LP study</w:t>
            </w:r>
          </w:p>
        </w:tc>
        <w:tc>
          <w:tcPr>
            <w:tcW w:type="dxa" w:w="5976"/>
          </w:tcPr>
          <w:p>
            <w:pPr>
              <w:spacing w:after="60"/>
            </w:pPr>
            <w:r>
              <w:rPr>
                <w:sz w:val="18"/>
              </w:rPr>
              <w:t>Matched identities, phase/CPU/whole-job times and full qualification; single-pass limits</w:t>
            </w:r>
          </w:p>
        </w:tc>
      </w:tr>
      <w:tr>
        <w:trPr>
          <w:cantSplit/>
        </w:trPr>
        <w:tc>
          <w:tcPr>
            <w:tcW w:type="dxa" w:w="792"/>
          </w:tcPr>
          <w:p>
            <w:pPr>
              <w:spacing w:after="60"/>
            </w:pPr>
            <w:r>
              <w:rPr>
                <w:sz w:val="18"/>
              </w:rPr>
              <w:t>4</w:t>
            </w:r>
          </w:p>
        </w:tc>
        <w:tc>
          <w:tcPr>
            <w:tcW w:type="dxa" w:w="3240"/>
          </w:tcPr>
          <w:p>
            <w:r>
              <w:t>Reassess Rust-only ThinLTO</w:t>
            </w:r>
          </w:p>
        </w:tc>
        <w:tc>
          <w:tcPr>
            <w:tcW w:type="dxa" w:w="5976"/>
          </w:tcPr>
          <w:p>
            <w:r>
              <w:t>Null x64 pilot; require repeatable benefit and full release qualification. Arm64 effect unmeasured.</w:t>
            </w:r>
          </w:p>
        </w:tc>
      </w:tr>
      <w:tr>
        <w:trPr>
          <w:cantSplit/>
        </w:trPr>
        <w:tc>
          <w:tcPr>
            <w:tcW w:type="dxa" w:w="792"/>
          </w:tcPr>
          <w:p>
            <w:pPr>
              <w:spacing w:after="60"/>
            </w:pPr>
            <w:r>
              <w:rPr>
                <w:sz w:val="18"/>
              </w:rPr>
              <w:t>5</w:t>
            </w:r>
          </w:p>
        </w:tc>
        <w:tc>
          <w:tcPr>
            <w:tcW w:type="dxa" w:w="3240"/>
          </w:tcPr>
          <w:p>
            <w:pPr>
              <w:spacing w:after="60"/>
            </w:pPr>
            <w:r>
              <w:rPr>
                <w:sz w:val="18"/>
              </w:rPr>
              <w:t>Optimize packaging / hosted production</w:t>
            </w:r>
          </w:p>
        </w:tc>
        <w:tc>
          <w:tcPr>
            <w:tcW w:type="dxa" w:w="5976"/>
          </w:tcPr>
          <w:p>
            <w:pPr>
              <w:spacing w:after="60"/>
            </w:pPr>
            <w:r>
              <w:rPr>
                <w:sz w:val="18"/>
              </w:rPr>
              <w:t>Preserve tools/docs/MSI and correctness; qualify larger runner or verified job split</w:t>
            </w:r>
          </w:p>
        </w:tc>
      </w:tr>
    </w:tbl>
    <w:p>
      <w:r>
        <w:t>Not established: universal OS/architecture or application-runtime gains; a useful incremental same-tools Rust-ThinLTO gain; stable x64 scaling; a completed cold, cache-corrected hosted release; or recovered official performance. The new NVMe matrix remains incomplete.</w:t>
      </w:r>
    </w:p>
    <w:p>
      <w:pPr>
        <w:pStyle w:val="Heading2"/>
      </w:pPr>
      <w:r>
        <w:t>Earlier motivating experiment (separate evidence)</w:t>
      </w:r>
    </w:p>
    <w:p>
      <w:r>
        <w:t>Three independent standard-hosted jobs per OS/architecture reproduced an offline IronRDP native sequence gap: Windows/Linux median ratio 1.818x on x64 (1008.888/555.030s) and 1.685x on Arm64 (714.955/424.245s). Those medians are per-job totals, not sums of command medians. This comparison is not pooled with the later optimized-compiler pilots.</w:t>
      </w:r>
    </w:p>
    <w:p>
      <w:pPr>
        <w:pStyle w:val="Heading2"/>
      </w:pPr>
      <w:r>
        <w:t>Qualification caveats</w:t>
      </w:r>
    </w:p>
    <w:p>
      <w:r>
        <w:t>Historical full-release pilots share declared profiling/runtime, DLL-import and MIR repairs, not stock Rust. Failed replay blocks were excluded. The earlier GB300 UDP timeout remains unexplained. Later profile-only comparisons use declared matched prerequisites; current-PR qualification adds the exact one-line dry-run fix. Complete releases and downstream replay are distinct acceptance gates.</w:t>
      </w:r>
    </w:p>
    <w:p>
      <w:pPr>
        <w:pStyle w:val="Heading2"/>
      </w:pPr>
      <w:r>
        <w:t>Reproducibility and source index</w:t>
      </w:r>
    </w:p>
    <w:p>
      <w:r>
        <w:t>IronRDP: 0c5419eca6bf53563056ed252f537bca67862705.</w:t>
        <w:br/>
        <w:t>Historical full-release Rust: 7db17d9b5bbe6b16be2dc86b4bfae81d6e1ae238.</w:t>
        <w:br/>
        <w:t>Rust 1.99.1: 58cf8f9c35b355199727627d07ae34a4e2846d67.</w:t>
        <w:br/>
        <w:t>Current-PR/NVMe matrix: 4da678aada4683607acbd67a8da37a320c791f93 plus the recorded prerequisite. Detailed reports retain all source/tool/profile identities.</w:t>
      </w:r>
    </w:p>
    <w:p>
      <w:pPr>
        <w:spacing w:after="60"/>
      </w:pPr>
      <w:hyperlink r:id="rId11">
        <w:r>
          <w:rPr>
            <w:color w:val="007F8B"/>
          </w:rPr>
          <w:t>Earlier shipping-baseline results, matched ThinLTO and PGO-defect evidence</w:t>
        </w:r>
      </w:hyperlink>
    </w:p>
    <w:p>
      <w:pPr>
        <w:spacing w:after="60"/>
      </w:pPr>
      <w:hyperlink r:id="rId12">
        <w:r>
          <w:rPr>
            <w:color w:val="007F8B"/>
          </w:rPr>
          <w:t>Earlier x64 native measurements and repeated-study protocol</w:t>
        </w:r>
      </w:hyperlink>
    </w:p>
    <w:p>
      <w:pPr>
        <w:spacing w:after="60"/>
      </w:pPr>
      <w:hyperlink r:id="rId13">
        <w:r>
          <w:rPr>
            <w:color w:val="007F8B"/>
          </w:rPr>
          <w:t>Earlier Arm64 native measurements and repeated-study protocol</w:t>
        </w:r>
      </w:hyperlink>
    </w:p>
    <w:p>
      <w:pPr>
        <w:spacing w:after="60"/>
      </w:pPr>
      <w:hyperlink r:id="rId14">
        <w:r>
          <w:rPr>
            <w:color w:val="007F8B"/>
          </w:rPr>
          <w:t>Pilot measurements, all nine release-run IDs and replay histories</w:t>
        </w:r>
      </w:hyperlink>
    </w:p>
    <w:p>
      <w:pPr>
        <w:spacing w:after="60"/>
      </w:pPr>
      <w:hyperlink r:id="rId15">
        <w:r>
          <w:rPr>
            <w:color w:val="007F8B"/>
          </w:rPr>
          <w:t>GB300 reconciled production categories</w:t>
        </w:r>
      </w:hyperlink>
    </w:p>
    <w:p>
      <w:pPr>
        <w:spacing w:after="60"/>
      </w:pPr>
      <w:hyperlink r:id="rId16">
        <w:r>
          <w:rPr>
            <w:color w:val="007F8B"/>
          </w:rPr>
          <w:t>Scaling protocol, completed cells and diagnostic interpretation</w:t>
        </w:r>
      </w:hyperlink>
    </w:p>
    <w:p>
      <w:pPr>
        <w:spacing w:after="60"/>
      </w:pPr>
      <w:hyperlink r:id="rId17">
        <w:r>
          <w:rPr>
            <w:color w:val="007F8B"/>
          </w:rPr>
          <w:t>Original hosted OS comparison and native-compilation breakdown</w:t>
        </w:r>
      </w:hyperlink>
    </w:p>
    <w:p>
      <w:pPr>
        <w:spacing w:after="60"/>
      </w:pPr>
      <w:hyperlink r:id="rId18">
        <w:r>
          <w:rPr>
            <w:color w:val="007F8B"/>
          </w:rPr>
          <w:t>Public phase evidence: run 39110448524</w:t>
        </w:r>
      </w:hyperlink>
    </w:p>
    <w:p>
      <w:pPr>
        <w:spacing w:after="60"/>
      </w:pPr>
      <w:hyperlink r:id="rId19">
        <w:r>
          <w:rPr>
            <w:color w:val="007F8B"/>
          </w:rPr>
          <w:t>Completed pilot replays: x64 38636440191</w:t>
        </w:r>
      </w:hyperlink>
    </w:p>
    <w:p>
      <w:pPr>
        <w:spacing w:after="60"/>
      </w:pPr>
      <w:hyperlink r:id="rId20">
        <w:r>
          <w:rPr>
            <w:color w:val="007F8B"/>
          </w:rPr>
          <w:t>Ordinary Arm64 38695519744</w:t>
        </w:r>
      </w:hyperlink>
    </w:p>
    <w:p>
      <w:pPr>
        <w:spacing w:after="60"/>
      </w:pPr>
      <w:hyperlink r:id="rId21">
        <w:r>
          <w:rPr>
            <w:color w:val="007F8B"/>
          </w:rPr>
          <w:t>GB300 64-LP 38441909371</w:t>
        </w:r>
      </w:hyperlink>
    </w:p>
    <w:p>
      <w:hyperlink r:id="rId30">
        <w:r>
          <w:rPr>
            <w:color w:val="007F8B"/>
          </w:rPr>
          <w:t>Current synthesis (30 October)</w:t>
        </w:r>
      </w:hyperlink>
    </w:p>
    <w:p>
      <w:hyperlink r:id="rId31">
        <w:r>
          <w:rPr>
            <w:color w:val="007F8B"/>
          </w:rPr>
          <w:t>Isolated LLVM-profile evidence: Rust 1.94.1</w:t>
        </w:r>
      </w:hyperlink>
    </w:p>
    <w:p>
      <w:hyperlink r:id="rId32">
        <w:r>
          <w:rPr>
            <w:color w:val="007F8B"/>
          </w:rPr>
          <w:t>Isolated LLVM-profile evidence: Rust 1.99.1</w:t>
        </w:r>
      </w:hyperlink>
    </w:p>
    <w:p>
      <w:hyperlink r:id="rId33">
        <w:r>
          <w:rPr>
            <w:color w:val="007F8B"/>
          </w:rPr>
          <w:t>Fresh-artifact benefit / release cost</w:t>
        </w:r>
      </w:hyperlink>
    </w:p>
    <w:p>
      <w:hyperlink r:id="rId34">
        <w:r>
          <w:rPr>
            <w:color w:val="007F8B"/>
          </w:rPr>
          <w:t>Late validation, artifact replay and cache evidence</w:t>
        </w:r>
      </w:hyperlink>
    </w:p>
    <w:sectPr w:rsidR="00FC693F" w:rsidRPr="0006063C" w:rsidSect="00034616">
      <w:headerReference w:type="default" r:id="rId9"/>
      <w:footerReference w:type="default" r:id="rId10"/>
      <w:pgSz w:w="11909" w:h="16834"/>
      <w:pgMar w:top="893"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Qualified pilots and explicitly incomplete experiments | New x64 NVMe study running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RUST OPTIMIZATION | COMBINED TECHNICAL REPORT | 30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4324F"/>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432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Calibri" w:hAnsi="Calibri"/>
      <w:color w:val="14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rcpems/IronRDP-ci-benchmark/blob/experiment/x64-pgo-1991/ci-benchmark/COMBINED-REPORT.md" TargetMode="External"/><Relationship Id="rId12" Type="http://schemas.openxmlformats.org/officeDocument/2006/relationships/hyperlink" Target="https://github.com/marcpems/IronRDP-ci-benchmark/blob/experiment/x64-pgo-1991/ci-benchmark/X64-NATIVE-RESULTS.json" TargetMode="External"/><Relationship Id="rId13" Type="http://schemas.openxmlformats.org/officeDocument/2006/relationships/hyperlink" Target="https://github.com/marcpems/IronRDP-ci-benchmark/blob/experiment/x64-pgo-1991/ci-benchmark/NATIVE-AB-RESULTS.json" TargetMode="External"/><Relationship Id="rId14" Type="http://schemas.openxmlformats.org/officeDocument/2006/relationships/hyperlink" Target="https://github.com/marcpems/IronRDP-ci-benchmark/blob/experiment/x64-pgo-1991/ci-benchmark/matched-release/selfhost-pilot-results.json" TargetMode="External"/><Relationship Id="rId15" Type="http://schemas.openxmlformats.org/officeDocument/2006/relationships/hyperlink" Target="https://github.com/marcpems/IronRDP-ci-benchmark/blob/experiment/x64-pgo-1991/ci-benchmark/matched-release/gb300-release-costs.json" TargetMode="External"/><Relationship Id="rId16" Type="http://schemas.openxmlformats.org/officeDocument/2006/relationships/hyperlink" Target="https://github.com/marcpems/IronRDP-ci-benchmark/blob/experiment/x64-pgo-1991/ci-benchmark/matched-release/README.md" TargetMode="External"/><Relationship Id="rId17" Type="http://schemas.openxmlformats.org/officeDocument/2006/relationships/hyperlink" Target="https://github.com/marcpems/IronRDP-ci-benchmark/blob/experiment/x64-pgo-1991/ci-benchmark/REPORT.md" TargetMode="External"/><Relationship Id="rId18" Type="http://schemas.openxmlformats.org/officeDocument/2006/relationships/hyperlink" Target="https://github.com/marcpems/IronRDP-ci-benchmark/actions/runs/39110448524" TargetMode="External"/><Relationship Id="rId19" Type="http://schemas.openxmlformats.org/officeDocument/2006/relationships/hyperlink" Target="https://github.com/marcpems/IronRDP-ci-benchmark/actions/runs/38636440191" TargetMode="External"/><Relationship Id="rId20" Type="http://schemas.openxmlformats.org/officeDocument/2006/relationships/hyperlink" Target="https://github.com/marcpems/IronRDP-ci-benchmark/actions/runs/38695519744" TargetMode="External"/><Relationship Id="rId21" Type="http://schemas.openxmlformats.org/officeDocument/2006/relationships/hyperlink" Target="https://github.com/marcpems/IronRDP-ci-benchmark/actions/runs/38441909371" TargetMode="External"/><Relationship Id="rId22" Type="http://schemas.openxmlformats.org/officeDocument/2006/relationships/hyperlink" Target="https://github.com/marcpems/IronRDP-ci-benchmark/actions/runs/40170434889" TargetMode="External"/><Relationship Id="rId23" Type="http://schemas.openxmlformats.org/officeDocument/2006/relationships/hyperlink" Target="https://github.com/marcpems/IronRDP-ci-benchmark/actions/runs/41054163612" TargetMode="External"/><Relationship Id="rId24" Type="http://schemas.openxmlformats.org/officeDocument/2006/relationships/hyperlink" Target="https://github.com/marcpems/IronRDP-ci-benchmark/blob/experiment/x64-pgo-1991/ci-benchmark/x64-nvme-scaling-protocol.json" TargetMode="External"/><Relationship Id="rId25" Type="http://schemas.openxmlformats.org/officeDocument/2006/relationships/hyperlink" Target="https://triage.rust-lang.org/gha-logs/rust-lang/rust/121229977135" TargetMode="External"/><Relationship Id="rId26" Type="http://schemas.openxmlformats.org/officeDocument/2006/relationships/hyperlink" Target="https://github.com/marcpems/IronRDP-ci-benchmark/actions/runs/40409913485" TargetMode="External"/><Relationship Id="rId27" Type="http://schemas.openxmlformats.org/officeDocument/2006/relationships/hyperlink" Target="https://github.com/rust-lang/rust/pull/164707" TargetMode="External"/><Relationship Id="rId28" Type="http://schemas.openxmlformats.org/officeDocument/2006/relationships/hyperlink" Target="https://github.com/rust-lang/rust/pull/165138" TargetMode="External"/><Relationship Id="rId29" Type="http://schemas.openxmlformats.org/officeDocument/2006/relationships/hyperlink" Target="https://github.com/mozilla/sccache/pull/2962" TargetMode="External"/><Relationship Id="rId30" Type="http://schemas.openxmlformats.org/officeDocument/2006/relationships/hyperlink" Target="https://github.com/marcpems/IronRDP-ci-benchmark/blob/experiment/x64-pgo-1991/ci-benchmark/INVESTIGATION-SUMMARY.md" TargetMode="External"/><Relationship Id="rId31" Type="http://schemas.openxmlformats.org/officeDocument/2006/relationships/hyperlink" Target="https://github.com/marcpems/IronRDP-ci-benchmark/blob/experiment/x64-pgo-1991/ci-benchmark/X64-PROFILE-ONLY.md" TargetMode="External"/><Relationship Id="rId32" Type="http://schemas.openxmlformats.org/officeDocument/2006/relationships/hyperlink" Target="https://github.com/marcpems/IronRDP-ci-benchmark/blob/experiment/x64-pgo-1991/ci-benchmark/X64-PGO-1991.md" TargetMode="External"/><Relationship Id="rId33" Type="http://schemas.openxmlformats.org/officeDocument/2006/relationships/hyperlink" Target="https://github.com/marcpems/IronRDP-ci-benchmark/blob/experiment/x64-pgo-1991/ci-benchmark/X64-PGO-COMPARISON.md" TargetMode="External"/><Relationship Id="rId34" Type="http://schemas.openxmlformats.org/officeDocument/2006/relationships/hyperlink" Target="https://github.com/marcpems/IronRDP-ci-benchmark/blob/experiment/x64-pgo-1991/ci-benchmark/later-pgo-evidence.zip" TargetMode="External"/><Relationship Id="rId35" Type="http://schemas.openxmlformats.org/officeDocument/2006/relationships/hyperlink" Target="https://github.com/marcpems/IronRDP-ci-benchmark/blob/experiment/x64-pgo-1991/ci-benchmark/X64-RUST-THIN-INCREMENT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 optimization: conclusions, tests and results</dc:title>
  <dc:subject>Updated 30 October 2026: IronRDP benefit, Rust NVMe production, cache diagnosis and pending scaling</dc:subject>
  <dc:creator>Rust CI investigation</dc:creator>
  <cp:keywords/>
  <dc:description>generated by python-docx</dc:description>
  <cp:lastModifiedBy/>
  <cp:revision>1</cp:revision>
  <dcterms:created xsi:type="dcterms:W3CDTF">2013-12-23T23:15:00Z</dcterms:created>
  <dcterms:modified xsi:type="dcterms:W3CDTF">2026-10-30T12:21:00Z</dcterms:modified>
  <cp:category/>
</cp:coreProperties>
</file>