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500"/>
        <w:jc w:val="center"/>
      </w:pPr>
      <w:r>
        <w:drawing>
          <wp:inline xmlns:a="http://schemas.openxmlformats.org/drawingml/2006/main" xmlns:pic="http://schemas.openxmlformats.org/drawingml/2006/picture">
            <wp:extent cx="2057400" cy="1924224"/>
            <wp:docPr id="1" name="Picture 1" descr="Logotipo de Victiker con moto, embarcación y servicios técnicos" title="Logotipo de Victiker con moto, embarcación y servicios técnicos"/>
            <wp:cNvGraphicFramePr>
              <a:graphicFrameLocks noChangeAspect="1"/>
            </wp:cNvGraphicFramePr>
            <a:graphic>
              <a:graphicData uri="http://schemas.openxmlformats.org/drawingml/2006/picture">
                <pic:pic>
                  <pic:nvPicPr>
                    <pic:cNvPr id="0" name="victiker-logo-cropped.png"/>
                    <pic:cNvPicPr/>
                  </pic:nvPicPr>
                  <pic:blipFill>
                    <a:blip r:embed="rId9"/>
                    <a:stretch>
                      <a:fillRect/>
                    </a:stretch>
                  </pic:blipFill>
                  <pic:spPr>
                    <a:xfrm>
                      <a:off x="0" y="0"/>
                      <a:ext cx="2057400" cy="1924224"/>
                    </a:xfrm>
                    <a:prstGeom prst="rect"/>
                  </pic:spPr>
                </pic:pic>
              </a:graphicData>
            </a:graphic>
          </wp:inline>
        </w:drawing>
      </w:r>
    </w:p>
    <w:p>
      <w:pPr>
        <w:pStyle w:val="Kicker"/>
        <w:spacing w:after="160"/>
        <w:jc w:val="center"/>
      </w:pPr>
      <w:r>
        <w:t>DOCUMENTACIÓN DE ENTREGA</w:t>
      </w:r>
    </w:p>
    <w:p>
      <w:pPr>
        <w:pStyle w:val="Title"/>
        <w:jc w:val="center"/>
      </w:pPr>
      <w:r>
        <w:t>Web y panel de administración</w:t>
      </w:r>
    </w:p>
    <w:p>
      <w:pPr>
        <w:pStyle w:val="Subtitle"/>
        <w:jc w:val="center"/>
      </w:pPr>
      <w:r>
        <w:t>Manual funcional, operativo y técnico para el propietario de Victiker</w:t>
      </w:r>
    </w:p>
    <w:p>
      <w:pPr>
        <w:spacing w:before="400" w:after="360"/>
        <w:pBdr>
          <w:bottom w:val="single" w:sz="12" w:space="4" w:color="F28C28"/>
        </w:pBdr>
      </w:pPr>
    </w:p>
    <w:p>
      <w:pPr>
        <w:spacing w:after="100"/>
        <w:jc w:val="center"/>
      </w:pPr>
      <w:r>
        <w:rPr>
          <w:rFonts w:ascii="Calibri" w:hAnsi="Calibri"/>
          <w:b/>
          <w:color w:val="F28C28"/>
          <w:sz w:val="17"/>
        </w:rPr>
        <w:t xml:space="preserve">VERSIÓN  </w:t>
      </w:r>
      <w:r>
        <w:rPr>
          <w:rFonts w:ascii="Calibri" w:hAnsi="Calibri"/>
          <w:color w:val="12233F"/>
          <w:sz w:val="21"/>
        </w:rPr>
        <w:t>1.0 - Entrega inicial</w:t>
      </w:r>
    </w:p>
    <w:p>
      <w:pPr>
        <w:spacing w:after="100"/>
        <w:jc w:val="center"/>
      </w:pPr>
      <w:r>
        <w:rPr>
          <w:rFonts w:ascii="Calibri" w:hAnsi="Calibri"/>
          <w:b/>
          <w:color w:val="F28C28"/>
          <w:sz w:val="17"/>
        </w:rPr>
        <w:t xml:space="preserve">FECHA  </w:t>
      </w:r>
      <w:r>
        <w:rPr>
          <w:rFonts w:ascii="Calibri" w:hAnsi="Calibri"/>
          <w:color w:val="12233F"/>
          <w:sz w:val="21"/>
        </w:rPr>
        <w:t>30 de agosto de 2026</w:t>
      </w:r>
    </w:p>
    <w:p>
      <w:pPr>
        <w:spacing w:after="100"/>
        <w:jc w:val="center"/>
      </w:pPr>
      <w:r>
        <w:rPr>
          <w:rFonts w:ascii="Calibri" w:hAnsi="Calibri"/>
          <w:b/>
          <w:color w:val="F28C28"/>
          <w:sz w:val="17"/>
        </w:rPr>
        <w:t xml:space="preserve">ESTADO  </w:t>
      </w:r>
      <w:r>
        <w:rPr>
          <w:rFonts w:ascii="Calibri" w:hAnsi="Calibri"/>
          <w:color w:val="12233F"/>
          <w:sz w:val="21"/>
        </w:rPr>
        <w:t>Web funcional; dominio y direcciones de correo pendientes de configuración final</w:t>
      </w:r>
    </w:p>
    <w:p>
      <w:pPr>
        <w:spacing w:after="100"/>
        <w:jc w:val="center"/>
      </w:pPr>
      <w:r>
        <w:rPr>
          <w:rFonts w:ascii="Calibri" w:hAnsi="Calibri"/>
          <w:b/>
          <w:color w:val="F28C28"/>
          <w:sz w:val="17"/>
        </w:rPr>
        <w:t xml:space="preserve">AUDIENCIA  </w:t>
      </w:r>
      <w:r>
        <w:rPr>
          <w:rFonts w:ascii="Calibri" w:hAnsi="Calibri"/>
          <w:color w:val="12233F"/>
          <w:sz w:val="21"/>
        </w:rPr>
        <w:t>Propietario, responsable operativo y mantenimiento técnico autorizado</w:t>
      </w:r>
    </w:p>
    <w:p>
      <w:pPr>
        <w:spacing w:after="100"/>
        <w:jc w:val="center"/>
      </w:pPr>
      <w:r>
        <w:rPr>
          <w:rFonts w:ascii="Calibri" w:hAnsi="Calibri"/>
          <w:b/>
          <w:color w:val="F28C28"/>
          <w:sz w:val="17"/>
        </w:rPr>
        <w:t xml:space="preserve">BASE REVISADA  </w:t>
      </w:r>
      <w:r>
        <w:rPr>
          <w:rFonts w:ascii="Calibri" w:hAnsi="Calibri"/>
          <w:color w:val="12233F"/>
          <w:sz w:val="21"/>
        </w:rPr>
        <w:t>Código de producción y pruebas del proyecto Victiker (commit 6873dc0)</w:t>
      </w:r>
    </w:p>
    <w:p>
      <w:pPr>
        <w:pStyle w:val="Small"/>
        <w:spacing w:before="520"/>
        <w:jc w:val="center"/>
      </w:pPr>
      <w:r>
        <w:t>Documento preparado para la entrega y explotación de la web.</w:t>
      </w:r>
    </w:p>
    <w:p>
      <w:pPr>
        <w:pStyle w:val="Heading1"/>
        <w:keepNext/>
        <w:pageBreakBefore/>
      </w:pPr>
      <w:r>
        <w:t>Índice del documento</w:t>
      </w:r>
    </w:p>
    <w:p>
      <w:pPr>
        <w:spacing w:after="100"/>
        <w:ind w:left="259"/>
      </w:pPr>
      <w:r>
        <w:rPr>
          <w:rFonts w:ascii="Calibri" w:hAnsi="Calibri"/>
          <w:color w:val="12233F"/>
        </w:rPr>
        <w:t>1. Resumen ejecutivo y alcance</w:t>
      </w:r>
    </w:p>
    <w:p>
      <w:pPr>
        <w:spacing w:after="100"/>
        <w:ind w:left="259"/>
      </w:pPr>
      <w:r>
        <w:rPr>
          <w:rFonts w:ascii="Calibri" w:hAnsi="Calibri"/>
          <w:color w:val="12233F"/>
        </w:rPr>
        <w:t>2. Mapa general de la web pública</w:t>
      </w:r>
    </w:p>
    <w:p>
      <w:pPr>
        <w:spacing w:after="100"/>
        <w:ind w:left="259"/>
      </w:pPr>
      <w:r>
        <w:rPr>
          <w:rFonts w:ascii="Calibri" w:hAnsi="Calibri"/>
          <w:color w:val="12233F"/>
        </w:rPr>
        <w:t>3. Funcionamiento detallado de la landing y páginas públicas</w:t>
      </w:r>
    </w:p>
    <w:p>
      <w:pPr>
        <w:spacing w:after="100"/>
        <w:ind w:left="259"/>
      </w:pPr>
      <w:r>
        <w:rPr>
          <w:rFonts w:ascii="Calibri" w:hAnsi="Calibri"/>
          <w:color w:val="12233F"/>
        </w:rPr>
        <w:t>4. Recorridos principales del cliente</w:t>
      </w:r>
    </w:p>
    <w:p>
      <w:pPr>
        <w:spacing w:after="100"/>
        <w:ind w:left="259"/>
      </w:pPr>
      <w:r>
        <w:rPr>
          <w:rFonts w:ascii="Calibri" w:hAnsi="Calibri"/>
          <w:color w:val="12233F"/>
        </w:rPr>
        <w:t>5. Manual completo del panel de administración</w:t>
      </w:r>
    </w:p>
    <w:p>
      <w:pPr>
        <w:spacing w:after="100"/>
        <w:ind w:left="259"/>
      </w:pPr>
      <w:r>
        <w:rPr>
          <w:rFonts w:ascii="Calibri" w:hAnsi="Calibri"/>
          <w:color w:val="12233F"/>
        </w:rPr>
        <w:t>6. Datos, automatizaciones e integraciones</w:t>
      </w:r>
    </w:p>
    <w:p>
      <w:pPr>
        <w:spacing w:after="100"/>
        <w:ind w:left="259"/>
      </w:pPr>
      <w:r>
        <w:rPr>
          <w:rFonts w:ascii="Calibri" w:hAnsi="Calibri"/>
          <w:color w:val="12233F"/>
        </w:rPr>
        <w:t>7. Seguridad, permisos y tratamiento de datos</w:t>
      </w:r>
    </w:p>
    <w:p>
      <w:pPr>
        <w:spacing w:after="100"/>
        <w:ind w:left="259"/>
      </w:pPr>
      <w:r>
        <w:rPr>
          <w:rFonts w:ascii="Calibri" w:hAnsi="Calibri"/>
          <w:color w:val="12233F"/>
        </w:rPr>
        <w:t>8. Configuración del dominio y posicionamiento</w:t>
      </w:r>
    </w:p>
    <w:p>
      <w:pPr>
        <w:spacing w:after="100"/>
        <w:ind w:left="259"/>
      </w:pPr>
      <w:r>
        <w:rPr>
          <w:rFonts w:ascii="Calibri" w:hAnsi="Calibri"/>
          <w:color w:val="12233F"/>
        </w:rPr>
        <w:t>9. Configuración de los correos</w:t>
      </w:r>
    </w:p>
    <w:p>
      <w:pPr>
        <w:spacing w:after="100"/>
        <w:ind w:left="259"/>
      </w:pPr>
      <w:r>
        <w:rPr>
          <w:rFonts w:ascii="Calibri" w:hAnsi="Calibri"/>
          <w:color w:val="12233F"/>
        </w:rPr>
        <w:t>10. Operación, mantenimiento y resolución de incidencias</w:t>
      </w:r>
    </w:p>
    <w:p>
      <w:pPr>
        <w:spacing w:after="100"/>
        <w:ind w:left="259"/>
      </w:pPr>
      <w:r>
        <w:rPr>
          <w:rFonts w:ascii="Calibri" w:hAnsi="Calibri"/>
          <w:color w:val="12233F"/>
        </w:rPr>
        <w:t>11. Lista de puesta en producción y entrega</w:t>
      </w:r>
    </w:p>
    <w:p>
      <w:pPr>
        <w:spacing w:after="100"/>
        <w:ind w:left="259"/>
      </w:pPr>
      <w:r>
        <w:rPr>
          <w:rFonts w:ascii="Calibri" w:hAnsi="Calibri"/>
          <w:color w:val="12233F"/>
        </w:rPr>
        <w:t>12. Anexo técnico de referencia</w:t>
      </w:r>
    </w:p>
    <w:p>
      <w:pPr>
        <w:pStyle w:val="Callout"/>
        <w:shd w:val="clear" w:fill="E8EEF5"/>
        <w:pBdr>
          <w:left w:val="single" w:sz="18" w:space="8" w:color="2E74B5"/>
        </w:pBdr>
      </w:pPr>
      <w:r>
        <w:rPr>
          <w:rFonts w:ascii="Calibri" w:hAnsi="Calibri"/>
          <w:b/>
          <w:color w:val="2E74B5"/>
          <w:sz w:val="18"/>
        </w:rPr>
        <w:t xml:space="preserve">LECTURA RECOMENDADA  </w:t>
      </w:r>
      <w:r>
        <w:rPr>
          <w:rFonts w:ascii="Calibri" w:hAnsi="Calibri"/>
          <w:color w:val="12233F"/>
          <w:sz w:val="21"/>
        </w:rPr>
        <w:t>El propietario puede usar los apartados 2 a 5 como manual diario. Los apartados 6 a 12 sirven para la puesta en producción, el mantenimiento y la coordinación con el responsable técnico.</w:t>
      </w:r>
    </w:p>
    <w:p>
      <w:pPr>
        <w:spacing w:before="0" w:after="40" w:line="120" w:lineRule="auto"/>
      </w:pPr>
    </w:p>
    <w:p>
      <w:pPr>
        <w:pStyle w:val="Heading1"/>
        <w:keepNext/>
      </w:pPr>
      <w:r>
        <w:t>1. Resumen ejecutivo y alcance</w:t>
      </w:r>
    </w:p>
    <w:p>
      <w:r>
        <w:rPr>
          <w:rFonts w:ascii="Calibri" w:hAnsi="Calibri"/>
          <w:color w:val="12233F"/>
        </w:rPr>
        <w:t>Victiker dispone de una web comercial y operativa enfocada en dos líneas: asistencia técnica para motos y embarcaciones, y consulta de repuestos. La parte pública informa, capta solicitudes y facilita el contacto. La parte privada permite al propietario controlar el catálogo, atender las solicitudes recibidas y supervisar las importaciones.</w:t>
      </w:r>
    </w:p>
    <w:p>
      <w:pPr>
        <w:pStyle w:val="Callout"/>
        <w:shd w:val="clear" w:fill="E8EEF5"/>
        <w:pBdr>
          <w:left w:val="single" w:sz="18" w:space="8" w:color="277A52"/>
        </w:pBdr>
      </w:pPr>
      <w:r>
        <w:rPr>
          <w:rFonts w:ascii="Calibri" w:hAnsi="Calibri"/>
          <w:b/>
          <w:color w:val="277A52"/>
          <w:sz w:val="18"/>
        </w:rPr>
        <w:t xml:space="preserve">ESTADO DE ENTREGA  </w:t>
      </w:r>
      <w:r>
        <w:rPr>
          <w:rFonts w:ascii="Calibri" w:hAnsi="Calibri"/>
          <w:color w:val="12233F"/>
          <w:sz w:val="21"/>
        </w:rPr>
        <w:t>La implementación revisada compila correctamente y supera 18 pruebas automatizadas. Quedan por cerrar la conexión del dominio definitivo y la sustitución de las direcciones de correo provisionales por las cuentas finales del negocio.</w:t>
      </w:r>
    </w:p>
    <w:p>
      <w:pPr>
        <w:spacing w:before="0" w:after="40" w:line="120" w:lineRule="auto"/>
      </w:pPr>
    </w:p>
    <w:p>
      <w:pPr>
        <w:pStyle w:val="Heading2"/>
        <w:keepNext/>
      </w:pPr>
      <w:r>
        <w:t>1.1 Objetivo del sistema</w:t>
      </w:r>
    </w:p>
    <w:p>
      <w:pPr>
        <w:numPr>
          <w:ilvl w:val="0"/>
          <w:numId w:val="10"/>
        </w:numPr>
      </w:pPr>
      <w:r>
        <w:rPr>
          <w:rFonts w:ascii="Calibri" w:hAnsi="Calibri"/>
          <w:color w:val="12233F"/>
        </w:rPr>
        <w:t>Presentar de forma clara los servicios de reparación, mantenimiento, electricidad y diagnosis.</w:t>
      </w:r>
    </w:p>
    <w:p>
      <w:pPr>
        <w:numPr>
          <w:ilvl w:val="0"/>
          <w:numId w:val="10"/>
        </w:numPr>
      </w:pPr>
      <w:r>
        <w:rPr>
          <w:rFonts w:ascii="Calibri" w:hAnsi="Calibri"/>
          <w:color w:val="12233F"/>
        </w:rPr>
        <w:t>Explicar el modelo de taller móvil con cita previa y reducir dudas antes del contacto.</w:t>
      </w:r>
    </w:p>
    <w:p>
      <w:pPr>
        <w:numPr>
          <w:ilvl w:val="0"/>
          <w:numId w:val="10"/>
        </w:numPr>
      </w:pPr>
      <w:r>
        <w:rPr>
          <w:rFonts w:ascii="Calibri" w:hAnsi="Calibri"/>
          <w:color w:val="12233F"/>
        </w:rPr>
        <w:t>Ofrecer un catálogo consultable de repuestos de moto y embarcación.</w:t>
      </w:r>
    </w:p>
    <w:p>
      <w:pPr>
        <w:numPr>
          <w:ilvl w:val="0"/>
          <w:numId w:val="10"/>
        </w:numPr>
      </w:pPr>
      <w:r>
        <w:rPr>
          <w:rFonts w:ascii="Calibri" w:hAnsi="Calibri"/>
          <w:color w:val="12233F"/>
        </w:rPr>
        <w:t>Recoger solicitudes de cita y de piezas sin obligar a realizar un pago online.</w:t>
      </w:r>
    </w:p>
    <w:p>
      <w:pPr>
        <w:numPr>
          <w:ilvl w:val="0"/>
          <w:numId w:val="10"/>
        </w:numPr>
      </w:pPr>
      <w:r>
        <w:rPr>
          <w:rFonts w:ascii="Calibri" w:hAnsi="Calibri"/>
          <w:color w:val="12233F"/>
        </w:rPr>
        <w:t>Centralizar el seguimiento operativo en un panel privado protegido por usuario y rol de administrador.</w:t>
      </w:r>
    </w:p>
    <w:p>
      <w:pPr>
        <w:pStyle w:val="Heading2"/>
        <w:keepNext/>
      </w:pPr>
      <w:r>
        <w:t>1.2 Qué incluye esta versión</w:t>
      </w:r>
    </w:p>
    <w:tbl>
      <w:tblPr>
        <w:tblStyle w:val="TableGrid"/>
        <w:tblW w:type="dxa" w:w="9360"/>
        <w:tblLayout w:type="fixed"/>
        <w:tblLook w:firstColumn="1" w:firstRow="1" w:lastColumn="0" w:lastRow="0" w:noHBand="0" w:noVBand="1" w:val="04A0"/>
        <w:jc w:val="left"/>
        <w:tblInd w:w="120" w:type="dxa"/>
      </w:tblPr>
      <w:tblGrid>
        <w:gridCol w:w="1700"/>
        <w:gridCol w:w="7660"/>
      </w:tblGrid>
      <w:tr>
        <w:trPr>
          <w:tblHeader w:val="true"/>
          <w:cantSplit/>
        </w:trPr>
        <w:tc>
          <w:tcPr>
            <w:tcW w:type="dxa" w:w="17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Área</w:t>
            </w:r>
          </w:p>
        </w:tc>
        <w:tc>
          <w:tcPr>
            <w:tcW w:type="dxa" w:w="766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Incluido en la entrega</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color w:val="12233F"/>
                <w:sz w:val="18"/>
              </w:rPr>
              <w:t>Web pública</w:t>
            </w:r>
          </w:p>
        </w:tc>
        <w:tc>
          <w:tcPr>
            <w:tcW w:type="dxa" w:w="7660"/>
            <w:tcMar>
              <w:top w:w="80" w:type="dxa"/>
              <w:start w:w="120" w:type="dxa"/>
              <w:bottom w:w="80" w:type="dxa"/>
              <w:end w:w="120" w:type="dxa"/>
            </w:tcMar>
            <w:vAlign w:val="center"/>
          </w:tcPr>
          <w:p>
            <w:pPr>
              <w:spacing w:after="0" w:line="252" w:lineRule="auto"/>
            </w:pPr>
            <w:r>
              <w:rPr>
                <w:rFonts w:ascii="Calibri" w:hAnsi="Calibri"/>
                <w:b w:val="0"/>
                <w:color w:val="12233F"/>
                <w:sz w:val="18"/>
              </w:rPr>
              <w:t>Inicio, servicios, taller móvil, catálogo, contacto, navegación adaptada a móvil y enlaces a WhatsApp/Instagram.</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color w:val="12233F"/>
                <w:sz w:val="18"/>
              </w:rPr>
              <w:t>Captación</w:t>
            </w:r>
          </w:p>
        </w:tc>
        <w:tc>
          <w:tcPr>
            <w:tcW w:type="dxa" w:w="7660"/>
            <w:tcMar>
              <w:top w:w="80" w:type="dxa"/>
              <w:start w:w="120" w:type="dxa"/>
              <w:bottom w:w="80" w:type="dxa"/>
              <w:end w:w="120" w:type="dxa"/>
            </w:tcMar>
            <w:vAlign w:val="center"/>
          </w:tcPr>
          <w:p>
            <w:pPr>
              <w:spacing w:after="0" w:line="252" w:lineRule="auto"/>
            </w:pPr>
            <w:r>
              <w:rPr>
                <w:rFonts w:ascii="Calibri" w:hAnsi="Calibri"/>
                <w:b w:val="0"/>
                <w:color w:val="12233F"/>
                <w:sz w:val="18"/>
              </w:rPr>
              <w:t>Formulario de cita y solicitud de repuestos con almacenamiento en Firebase y notificación interna por correo.</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color w:val="12233F"/>
                <w:sz w:val="18"/>
              </w:rPr>
              <w:t>Administración</w:t>
            </w:r>
          </w:p>
        </w:tc>
        <w:tc>
          <w:tcPr>
            <w:tcW w:type="dxa" w:w="7660"/>
            <w:tcMar>
              <w:top w:w="80" w:type="dxa"/>
              <w:start w:w="120" w:type="dxa"/>
              <w:bottom w:w="80" w:type="dxa"/>
              <w:end w:w="120" w:type="dxa"/>
            </w:tcMar>
            <w:vAlign w:val="center"/>
          </w:tcPr>
          <w:p>
            <w:pPr>
              <w:spacing w:after="0" w:line="252" w:lineRule="auto"/>
            </w:pPr>
            <w:r>
              <w:rPr>
                <w:rFonts w:ascii="Calibri" w:hAnsi="Calibri"/>
                <w:b w:val="0"/>
                <w:color w:val="12233F"/>
                <w:sz w:val="18"/>
              </w:rPr>
              <w:t>Acceso privado, catálogo, pedidos, notas internas, estados e importaciones.</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color w:val="12233F"/>
                <w:sz w:val="18"/>
              </w:rPr>
              <w:t>Catálogo moto</w:t>
            </w:r>
          </w:p>
        </w:tc>
        <w:tc>
          <w:tcPr>
            <w:tcW w:type="dxa" w:w="7660"/>
            <w:tcMar>
              <w:top w:w="80" w:type="dxa"/>
              <w:start w:w="120" w:type="dxa"/>
              <w:bottom w:w="80" w:type="dxa"/>
              <w:end w:w="120" w:type="dxa"/>
            </w:tcMar>
            <w:vAlign w:val="center"/>
          </w:tcPr>
          <w:p>
            <w:pPr>
              <w:spacing w:after="0" w:line="252" w:lineRule="auto"/>
            </w:pPr>
            <w:r>
              <w:rPr>
                <w:rFonts w:ascii="Calibri" w:hAnsi="Calibri"/>
                <w:b w:val="0"/>
                <w:color w:val="12233F"/>
                <w:sz w:val="18"/>
              </w:rPr>
              <w:t>Sincronización automática semanal con Bihr y archivado protegido de referencias retiradas.</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color w:val="12233F"/>
                <w:sz w:val="18"/>
              </w:rPr>
              <w:t>Catálogo barco</w:t>
            </w:r>
          </w:p>
        </w:tc>
        <w:tc>
          <w:tcPr>
            <w:tcW w:type="dxa" w:w="7660"/>
            <w:tcMar>
              <w:top w:w="80" w:type="dxa"/>
              <w:start w:w="120" w:type="dxa"/>
              <w:bottom w:w="80" w:type="dxa"/>
              <w:end w:w="120" w:type="dxa"/>
            </w:tcMar>
            <w:vAlign w:val="center"/>
          </w:tcPr>
          <w:p>
            <w:pPr>
              <w:spacing w:after="0" w:line="252" w:lineRule="auto"/>
            </w:pPr>
            <w:r>
              <w:rPr>
                <w:rFonts w:ascii="Calibri" w:hAnsi="Calibri"/>
                <w:b w:val="0"/>
                <w:color w:val="12233F"/>
                <w:sz w:val="18"/>
              </w:rPr>
              <w:t>Importación manual mediante CSV con creación automática de categorías y subcategorías.</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color w:val="12233F"/>
                <w:sz w:val="18"/>
              </w:rPr>
              <w:t>SEO básico</w:t>
            </w:r>
          </w:p>
        </w:tc>
        <w:tc>
          <w:tcPr>
            <w:tcW w:type="dxa" w:w="7660"/>
            <w:tcMar>
              <w:top w:w="80" w:type="dxa"/>
              <w:start w:w="120" w:type="dxa"/>
              <w:bottom w:w="80" w:type="dxa"/>
              <w:end w:w="120" w:type="dxa"/>
            </w:tcMar>
            <w:vAlign w:val="center"/>
          </w:tcPr>
          <w:p>
            <w:pPr>
              <w:spacing w:after="0" w:line="252" w:lineRule="auto"/>
            </w:pPr>
            <w:r>
              <w:rPr>
                <w:rFonts w:ascii="Calibri" w:hAnsi="Calibri"/>
                <w:b w:val="0"/>
                <w:color w:val="12233F"/>
                <w:sz w:val="18"/>
              </w:rPr>
              <w:t>Metadatos por página, URL canónica, Open Graph, Twitter Cards, sitemap, robots y datos estructurados.</w:t>
            </w:r>
          </w:p>
        </w:tc>
      </w:tr>
    </w:tbl>
    <w:p>
      <w:pPr>
        <w:spacing w:after="40"/>
      </w:pPr>
    </w:p>
    <w:p>
      <w:pPr>
        <w:pStyle w:val="Heading2"/>
        <w:keepNext/>
      </w:pPr>
      <w:r>
        <w:t>1.3 Qué no hace la web</w:t>
      </w:r>
    </w:p>
    <w:p>
      <w:pPr>
        <w:numPr>
          <w:ilvl w:val="0"/>
          <w:numId w:val="10"/>
        </w:numPr>
      </w:pPr>
      <w:r>
        <w:rPr>
          <w:rFonts w:ascii="Calibri" w:hAnsi="Calibri"/>
          <w:color w:val="12233F"/>
        </w:rPr>
        <w:t>No vende ni cobra online; toda solicitud se revisa antes de confirmar compatibilidad, disponibilidad y presupuesto.</w:t>
      </w:r>
    </w:p>
    <w:p>
      <w:pPr>
        <w:numPr>
          <w:ilvl w:val="0"/>
          <w:numId w:val="10"/>
        </w:numPr>
      </w:pPr>
      <w:r>
        <w:rPr>
          <w:rFonts w:ascii="Calibri" w:hAnsi="Calibri"/>
          <w:color w:val="12233F"/>
        </w:rPr>
        <w:t>No crea cuentas para clientes ni ofrece un historial público de pedidos.</w:t>
      </w:r>
    </w:p>
    <w:p>
      <w:pPr>
        <w:numPr>
          <w:ilvl w:val="0"/>
          <w:numId w:val="10"/>
        </w:numPr>
      </w:pPr>
      <w:r>
        <w:rPr>
          <w:rFonts w:ascii="Calibri" w:hAnsi="Calibri"/>
          <w:color w:val="12233F"/>
        </w:rPr>
        <w:t>No envía actualmente una confirmación automática al cliente; el correo generado es una notificación interna para Victiker.</w:t>
      </w:r>
    </w:p>
    <w:p>
      <w:pPr>
        <w:numPr>
          <w:ilvl w:val="0"/>
          <w:numId w:val="10"/>
        </w:numPr>
      </w:pPr>
      <w:r>
        <w:rPr>
          <w:rFonts w:ascii="Calibri" w:hAnsi="Calibri"/>
          <w:color w:val="12233F"/>
        </w:rPr>
        <w:t>No incorpora analítica, píxeles publicitarios ni gestor de consentimiento de cookies en la versión revisada.</w:t>
      </w:r>
    </w:p>
    <w:p>
      <w:pPr>
        <w:numPr>
          <w:ilvl w:val="0"/>
          <w:numId w:val="10"/>
        </w:numPr>
      </w:pPr>
      <w:r>
        <w:rPr>
          <w:rFonts w:ascii="Calibri" w:hAnsi="Calibri"/>
          <w:color w:val="12233F"/>
        </w:rPr>
        <w:t>No incluye páginas legales visibles (aviso legal, privacidad o cookies); conviene validarlas con asesoramiento adecuado antes del lanzamiento público.</w:t>
      </w:r>
    </w:p>
    <w:p>
      <w:pPr>
        <w:pStyle w:val="Heading1"/>
        <w:keepNext/>
        <w:pageBreakBefore/>
      </w:pPr>
      <w:r>
        <w:t>2. Mapa general de la web pública</w:t>
      </w:r>
    </w:p>
    <w:p>
      <w:r>
        <w:rPr>
          <w:rFonts w:ascii="Calibri" w:hAnsi="Calibri"/>
          <w:color w:val="12233F"/>
        </w:rPr>
        <w:t>La aplicación funciona como una web de página única: la navegación cambia de sección sin recargar completamente el navegador, pero cada ruta mantiene una URL propia y metadatos específicos. Si se abre una ruta directamente, el servidor devuelve la aplicación y esta muestra la página correspondiente.</w:t>
      </w:r>
    </w:p>
    <w:tbl>
      <w:tblPr>
        <w:tblStyle w:val="TableGrid"/>
        <w:tblW w:type="dxa" w:w="9360"/>
        <w:tblLayout w:type="fixed"/>
        <w:tblLook w:firstColumn="1" w:firstRow="1" w:lastColumn="0" w:lastRow="0" w:noHBand="0" w:noVBand="1" w:val="04A0"/>
        <w:jc w:val="left"/>
        <w:tblInd w:w="120" w:type="dxa"/>
      </w:tblPr>
      <w:tblGrid>
        <w:gridCol w:w="1500"/>
        <w:gridCol w:w="4100"/>
        <w:gridCol w:w="3760"/>
      </w:tblGrid>
      <w:tr>
        <w:trPr>
          <w:tblHeader w:val="true"/>
          <w:cantSplit/>
        </w:trPr>
        <w:tc>
          <w:tcPr>
            <w:tcW w:type="dxa" w:w="15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Ruta</w:t>
            </w:r>
          </w:p>
        </w:tc>
        <w:tc>
          <w:tcPr>
            <w:tcW w:type="dxa" w:w="41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Contenido</w:t>
            </w:r>
          </w:p>
        </w:tc>
        <w:tc>
          <w:tcPr>
            <w:tcW w:type="dxa" w:w="376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Acción principal</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color w:val="12233F"/>
                <w:sz w:val="18"/>
              </w:rPr>
              <w:t>/</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12233F"/>
                <w:sz w:val="18"/>
              </w:rPr>
              <w:t>Landing o inicio</w:t>
            </w:r>
          </w:p>
        </w:tc>
        <w:tc>
          <w:tcPr>
            <w:tcW w:type="dxa" w:w="3760"/>
            <w:tcMar>
              <w:top w:w="80" w:type="dxa"/>
              <w:start w:w="120" w:type="dxa"/>
              <w:bottom w:w="80" w:type="dxa"/>
              <w:end w:w="120" w:type="dxa"/>
            </w:tcMar>
            <w:vAlign w:val="center"/>
          </w:tcPr>
          <w:p>
            <w:pPr>
              <w:spacing w:after="0" w:line="252" w:lineRule="auto"/>
            </w:pPr>
            <w:r>
              <w:rPr>
                <w:rFonts w:ascii="Calibri" w:hAnsi="Calibri"/>
                <w:b w:val="0"/>
                <w:color w:val="12233F"/>
                <w:sz w:val="18"/>
              </w:rPr>
              <w:t>Pedir cita o consultar repuestos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color w:val="12233F"/>
                <w:sz w:val="18"/>
              </w:rPr>
              <w:t>/servicios</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12233F"/>
                <w:sz w:val="18"/>
              </w:rPr>
              <w:t>Detalle de servicios técnicos</w:t>
            </w:r>
          </w:p>
        </w:tc>
        <w:tc>
          <w:tcPr>
            <w:tcW w:type="dxa" w:w="3760"/>
            <w:tcMar>
              <w:top w:w="80" w:type="dxa"/>
              <w:start w:w="120" w:type="dxa"/>
              <w:bottom w:w="80" w:type="dxa"/>
              <w:end w:w="120" w:type="dxa"/>
            </w:tcMar>
            <w:vAlign w:val="center"/>
          </w:tcPr>
          <w:p>
            <w:pPr>
              <w:spacing w:after="0" w:line="252" w:lineRule="auto"/>
            </w:pPr>
            <w:r>
              <w:rPr>
                <w:rFonts w:ascii="Calibri" w:hAnsi="Calibri"/>
                <w:b w:val="0"/>
                <w:color w:val="12233F"/>
                <w:sz w:val="18"/>
              </w:rPr>
              <w:t>Solicitar atención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color w:val="12233F"/>
                <w:sz w:val="18"/>
              </w:rPr>
              <w:t>/taller-movil</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12233F"/>
                <w:sz w:val="18"/>
              </w:rPr>
              <w:t>Explicación del servicio móvil</w:t>
            </w:r>
          </w:p>
        </w:tc>
        <w:tc>
          <w:tcPr>
            <w:tcW w:type="dxa" w:w="3760"/>
            <w:tcMar>
              <w:top w:w="80" w:type="dxa"/>
              <w:start w:w="120" w:type="dxa"/>
              <w:bottom w:w="80" w:type="dxa"/>
              <w:end w:w="120" w:type="dxa"/>
            </w:tcMar>
            <w:vAlign w:val="center"/>
          </w:tcPr>
          <w:p>
            <w:pPr>
              <w:spacing w:after="0" w:line="252" w:lineRule="auto"/>
            </w:pPr>
            <w:r>
              <w:rPr>
                <w:rFonts w:ascii="Calibri" w:hAnsi="Calibri"/>
                <w:b w:val="0"/>
                <w:color w:val="12233F"/>
                <w:sz w:val="18"/>
              </w:rPr>
              <w:t>Pedir cita</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color w:val="12233F"/>
                <w:sz w:val="18"/>
              </w:rPr>
              <w:t>/catalogo</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12233F"/>
                <w:sz w:val="18"/>
              </w:rPr>
              <w:t>Catálogo de moto o barco</w:t>
            </w:r>
          </w:p>
        </w:tc>
        <w:tc>
          <w:tcPr>
            <w:tcW w:type="dxa" w:w="3760"/>
            <w:tcMar>
              <w:top w:w="80" w:type="dxa"/>
              <w:start w:w="120" w:type="dxa"/>
              <w:bottom w:w="80" w:type="dxa"/>
              <w:end w:w="120" w:type="dxa"/>
            </w:tcMar>
            <w:vAlign w:val="center"/>
          </w:tcPr>
          <w:p>
            <w:pPr>
              <w:spacing w:after="0" w:line="252" w:lineRule="auto"/>
            </w:pPr>
            <w:r>
              <w:rPr>
                <w:rFonts w:ascii="Calibri" w:hAnsi="Calibri"/>
                <w:b w:val="0"/>
                <w:color w:val="12233F"/>
                <w:sz w:val="18"/>
              </w:rPr>
              <w:t>Añadir piezas y enviar solicitud</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color w:val="12233F"/>
                <w:sz w:val="18"/>
              </w:rPr>
              <w:t>/contacto</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12233F"/>
                <w:sz w:val="18"/>
              </w:rPr>
              <w:t>Datos de contacto y formulario</w:t>
            </w:r>
          </w:p>
        </w:tc>
        <w:tc>
          <w:tcPr>
            <w:tcW w:type="dxa" w:w="3760"/>
            <w:tcMar>
              <w:top w:w="80" w:type="dxa"/>
              <w:start w:w="120" w:type="dxa"/>
              <w:bottom w:w="80" w:type="dxa"/>
              <w:end w:w="120" w:type="dxa"/>
            </w:tcMar>
            <w:vAlign w:val="center"/>
          </w:tcPr>
          <w:p>
            <w:pPr>
              <w:spacing w:after="0" w:line="252" w:lineRule="auto"/>
            </w:pPr>
            <w:r>
              <w:rPr>
                <w:rFonts w:ascii="Calibri" w:hAnsi="Calibri"/>
                <w:b w:val="0"/>
                <w:color w:val="12233F"/>
                <w:sz w:val="18"/>
              </w:rPr>
              <w:t>Enviar una petición de cita</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color w:val="12233F"/>
                <w:sz w:val="18"/>
              </w:rPr>
              <w:t>/admin</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12233F"/>
                <w:sz w:val="18"/>
              </w:rPr>
              <w:t>Área privada no indexable</w:t>
            </w:r>
          </w:p>
        </w:tc>
        <w:tc>
          <w:tcPr>
            <w:tcW w:type="dxa" w:w="3760"/>
            <w:tcMar>
              <w:top w:w="80" w:type="dxa"/>
              <w:start w:w="120" w:type="dxa"/>
              <w:bottom w:w="80" w:type="dxa"/>
              <w:end w:w="120" w:type="dxa"/>
            </w:tcMar>
            <w:vAlign w:val="center"/>
          </w:tcPr>
          <w:p>
            <w:pPr>
              <w:spacing w:after="0" w:line="252" w:lineRule="auto"/>
            </w:pPr>
            <w:r>
              <w:rPr>
                <w:rFonts w:ascii="Calibri" w:hAnsi="Calibri"/>
                <w:b w:val="0"/>
                <w:color w:val="12233F"/>
                <w:sz w:val="18"/>
              </w:rPr>
              <w:t>Gestionar catálogo, pedidos e importaciones</w:t>
            </w:r>
          </w:p>
        </w:tc>
      </w:tr>
    </w:tbl>
    <w:p>
      <w:pPr>
        <w:spacing w:after="40"/>
      </w:pPr>
    </w:p>
    <w:p>
      <w:pPr>
        <w:pStyle w:val="Small"/>
      </w:pPr>
      <w:r>
        <w:rPr>
          <w:rFonts w:ascii="Calibri" w:hAnsi="Calibri"/>
          <w:color w:val="12233F"/>
        </w:rPr>
        <w:t>En caso de introducir una ruta pública desconocida, la aplicación muestra la página de inicio. El panel de administración se carga de forma separada para no añadir ese código a la primera carga de la parte pública.</w:t>
      </w:r>
    </w:p>
    <w:p>
      <w:pPr>
        <w:pStyle w:val="Heading2"/>
        <w:keepNext/>
        <w:pageBreakBefore/>
      </w:pPr>
      <w:r>
        <w:t>2.1 Elementos comunes</w:t>
      </w:r>
    </w:p>
    <w:p>
      <w:pPr>
        <w:pStyle w:val="Heading3"/>
        <w:keepNext/>
      </w:pPr>
      <w:r>
        <w:t>Cabecera y navegación</w:t>
      </w:r>
    </w:p>
    <w:p>
      <w:pPr>
        <w:numPr>
          <w:ilvl w:val="0"/>
          <w:numId w:val="10"/>
        </w:numPr>
      </w:pPr>
      <w:r>
        <w:rPr>
          <w:rFonts w:ascii="Calibri" w:hAnsi="Calibri"/>
          <w:color w:val="12233F"/>
        </w:rPr>
        <w:t>Logo Victiker con enlace al inicio.</w:t>
      </w:r>
    </w:p>
    <w:p>
      <w:pPr>
        <w:numPr>
          <w:ilvl w:val="0"/>
          <w:numId w:val="10"/>
        </w:numPr>
      </w:pPr>
      <w:r>
        <w:rPr>
          <w:rFonts w:ascii="Calibri" w:hAnsi="Calibri"/>
          <w:color w:val="12233F"/>
        </w:rPr>
        <w:t>Accesos a Servicios, Taller móvil, Repuestos y Contacto.</w:t>
      </w:r>
    </w:p>
    <w:p>
      <w:pPr>
        <w:numPr>
          <w:ilvl w:val="0"/>
          <w:numId w:val="10"/>
        </w:numPr>
      </w:pPr>
      <w:r>
        <w:rPr>
          <w:rFonts w:ascii="Calibri" w:hAnsi="Calibri"/>
          <w:color w:val="12233F"/>
        </w:rPr>
        <w:t>Icono de solicitud con contador de unidades añadidas.</w:t>
      </w:r>
    </w:p>
    <w:p>
      <w:pPr>
        <w:numPr>
          <w:ilvl w:val="0"/>
          <w:numId w:val="10"/>
        </w:numPr>
      </w:pPr>
      <w:r>
        <w:rPr>
          <w:rFonts w:ascii="Calibri" w:hAnsi="Calibri"/>
          <w:color w:val="12233F"/>
        </w:rPr>
        <w:t>Botón destacado Pedir cita.</w:t>
      </w:r>
    </w:p>
    <w:p>
      <w:pPr>
        <w:numPr>
          <w:ilvl w:val="0"/>
          <w:numId w:val="10"/>
        </w:numPr>
      </w:pPr>
      <w:r>
        <w:rPr>
          <w:rFonts w:ascii="Calibri" w:hAnsi="Calibri"/>
          <w:color w:val="12233F"/>
        </w:rPr>
        <w:t>Menú compacto para pantallas pequeñas.</w:t>
      </w:r>
    </w:p>
    <w:p>
      <w:pPr>
        <w:pStyle w:val="Heading3"/>
        <w:keepNext/>
      </w:pPr>
      <w:r>
        <w:t>Pie de página</w:t>
      </w:r>
    </w:p>
    <w:p>
      <w:pPr>
        <w:numPr>
          <w:ilvl w:val="0"/>
          <w:numId w:val="10"/>
        </w:numPr>
      </w:pPr>
      <w:r>
        <w:rPr>
          <w:rFonts w:ascii="Calibri" w:hAnsi="Calibri"/>
          <w:color w:val="12233F"/>
        </w:rPr>
        <w:t>Logo y descripción breve: taller móvil de motos y embarcaciones.</w:t>
      </w:r>
    </w:p>
    <w:p>
      <w:pPr>
        <w:numPr>
          <w:ilvl w:val="0"/>
          <w:numId w:val="10"/>
        </w:numPr>
      </w:pPr>
      <w:r>
        <w:rPr>
          <w:rFonts w:ascii="Calibri" w:hAnsi="Calibri"/>
          <w:color w:val="12233F"/>
        </w:rPr>
        <w:t>Enlaces al catálogo, Instagram y WhatsApp.</w:t>
      </w:r>
    </w:p>
    <w:p>
      <w:pPr>
        <w:pStyle w:val="Small"/>
      </w:pPr>
      <w:r>
        <w:rPr>
          <w:rFonts w:ascii="Calibri" w:hAnsi="Calibri"/>
          <w:color w:val="12233F"/>
        </w:rPr>
        <w:t>El número publicado para llamada y WhatsApp es 673 551 065. Si cambia, debe actualizarse tanto el enlace telefónico como el enlace de WhatsApp.</w:t>
      </w:r>
    </w:p>
    <w:p>
      <w:pPr>
        <w:pStyle w:val="Heading2"/>
        <w:keepNext/>
      </w:pPr>
      <w:r>
        <w:t>2.2 Diseño adaptable y accesibilidad práctica</w:t>
      </w:r>
    </w:p>
    <w:p>
      <w:r>
        <w:rPr>
          <w:rFonts w:ascii="Calibri" w:hAnsi="Calibri"/>
          <w:color w:val="12233F"/>
        </w:rPr>
        <w:t>La interfaz se adapta a escritorio y móvil. En escritorio, la portada emplea capas visuales con un movimiento sutil según el puntero; esta interacción se desactiva cuando el dispositivo es táctil o el usuario ha pedido reducir animaciones. En móvil se usa una composición estática y simplificada para mantener claridad y rendimiento.</w:t>
      </w:r>
    </w:p>
    <w:p>
      <w:pPr>
        <w:numPr>
          <w:ilvl w:val="0"/>
          <w:numId w:val="10"/>
        </w:numPr>
      </w:pPr>
      <w:r>
        <w:rPr>
          <w:rFonts w:ascii="Calibri" w:hAnsi="Calibri"/>
          <w:color w:val="12233F"/>
        </w:rPr>
        <w:t>Botones con etiquetas accesibles para acciones de icono, como abrir el carrito, editar o paginar.</w:t>
      </w:r>
    </w:p>
    <w:p>
      <w:pPr>
        <w:numPr>
          <w:ilvl w:val="0"/>
          <w:numId w:val="10"/>
        </w:numPr>
      </w:pPr>
      <w:r>
        <w:rPr>
          <w:rFonts w:ascii="Calibri" w:hAnsi="Calibri"/>
          <w:color w:val="12233F"/>
        </w:rPr>
        <w:t>Mensajes de éxito y error anunciados mediante roles de estado o alerta.</w:t>
      </w:r>
    </w:p>
    <w:p>
      <w:pPr>
        <w:numPr>
          <w:ilvl w:val="0"/>
          <w:numId w:val="10"/>
        </w:numPr>
      </w:pPr>
      <w:r>
        <w:rPr>
          <w:rFonts w:ascii="Calibri" w:hAnsi="Calibri"/>
          <w:color w:val="12233F"/>
        </w:rPr>
        <w:t>Imágenes de catálogo con carga diferida y sustitución automática por un marcador si fallan.</w:t>
      </w:r>
    </w:p>
    <w:p>
      <w:pPr>
        <w:numPr>
          <w:ilvl w:val="0"/>
          <w:numId w:val="10"/>
        </w:numPr>
      </w:pPr>
      <w:r>
        <w:rPr>
          <w:rFonts w:ascii="Calibri" w:hAnsi="Calibri"/>
          <w:color w:val="12233F"/>
        </w:rPr>
        <w:t>La preferencia de vista del catálogo, listado o cuadrícula, se guarda en el navegador.</w:t>
      </w:r>
    </w:p>
    <w:p>
      <w:pPr>
        <w:pStyle w:val="Heading1"/>
        <w:keepNext/>
        <w:pageBreakBefore/>
      </w:pPr>
      <w:r>
        <w:t>3. Funcionamiento detallado de la landing y páginas públicas</w:t>
      </w:r>
    </w:p>
    <w:p>
      <w:pPr>
        <w:pStyle w:val="Heading2"/>
        <w:keepNext/>
      </w:pPr>
      <w:r>
        <w:t>3.1 Página de inicio</w:t>
      </w:r>
    </w:p>
    <w:p>
      <w:r>
        <w:rPr>
          <w:rFonts w:ascii="Calibri" w:hAnsi="Calibri"/>
          <w:color w:val="12233F"/>
        </w:rPr>
        <w:t>La página de inicio resume la propuesta comercial y dirige rápidamente al usuario hacia una cita o hacia el catálogo.</w:t>
      </w:r>
    </w:p>
    <w:p>
      <w:pPr>
        <w:pStyle w:val="Heading3"/>
        <w:keepNext/>
      </w:pPr>
      <w:r>
        <w:t>Bloque principal</w:t>
      </w:r>
    </w:p>
    <w:p>
      <w:pPr>
        <w:numPr>
          <w:ilvl w:val="0"/>
          <w:numId w:val="10"/>
        </w:numPr>
      </w:pPr>
      <w:r>
        <w:rPr>
          <w:rFonts w:ascii="Calibri" w:hAnsi="Calibri"/>
          <w:color w:val="12233F"/>
        </w:rPr>
        <w:t>Mensaje principal: “Tu taller, donde lo necesitas”.</w:t>
      </w:r>
    </w:p>
    <w:p>
      <w:pPr>
        <w:numPr>
          <w:ilvl w:val="0"/>
          <w:numId w:val="10"/>
        </w:numPr>
      </w:pPr>
      <w:r>
        <w:rPr>
          <w:rFonts w:ascii="Calibri" w:hAnsi="Calibri"/>
          <w:color w:val="12233F"/>
        </w:rPr>
        <w:t>Subtítulo que concreta el servicio: reparación, mantenimiento y diagnosis para motos y embarcaciones.</w:t>
      </w:r>
    </w:p>
    <w:p>
      <w:pPr>
        <w:numPr>
          <w:ilvl w:val="0"/>
          <w:numId w:val="10"/>
        </w:numPr>
      </w:pPr>
      <w:r>
        <w:rPr>
          <w:rFonts w:ascii="Calibri" w:hAnsi="Calibri"/>
          <w:color w:val="12233F"/>
        </w:rPr>
        <w:t>Dos llamadas a la acción: Pedir cita y Ver repuestos.</w:t>
      </w:r>
    </w:p>
    <w:p>
      <w:pPr>
        <w:numPr>
          <w:ilvl w:val="0"/>
          <w:numId w:val="10"/>
        </w:numPr>
      </w:pPr>
      <w:r>
        <w:rPr>
          <w:rFonts w:ascii="Calibri" w:hAnsi="Calibri"/>
          <w:color w:val="12233F"/>
        </w:rPr>
        <w:t>Composición de marca con moto, técnico y embarcación; en móvil se sustituye por el logotipo completo.</w:t>
      </w:r>
    </w:p>
    <w:p>
      <w:pPr>
        <w:pStyle w:val="Heading3"/>
        <w:keepNext/>
      </w:pPr>
      <w:r>
        <w:t>Selección por tipo de vehículo</w:t>
      </w:r>
    </w:p>
    <w:p>
      <w:r>
        <w:rPr>
          <w:rFonts w:ascii="Calibri" w:hAnsi="Calibri"/>
          <w:color w:val="12233F"/>
        </w:rPr>
        <w:t>Dos tarjetas permiten entrar directamente al catálogo de moto o de embarcación. La selección se conserva en la URL mediante el parámetro tipo, lo que permite compartir un acceso directo al catálogo correspondiente.</w:t>
      </w:r>
    </w:p>
    <w:p>
      <w:pPr>
        <w:pStyle w:val="Heading3"/>
        <w:keepNext/>
      </w:pPr>
      <w:r>
        <w:t>Resumen de servicios</w:t>
      </w:r>
    </w:p>
    <w:p>
      <w:r>
        <w:rPr>
          <w:rFonts w:ascii="Calibri" w:hAnsi="Calibri"/>
          <w:color w:val="12233F"/>
        </w:rPr>
        <w:t>Se muestran cuatro capacidades principales: reparación, mantenimiento, electricidad y diagnosis. El enlace final abre la página de servicios con mayor detalle.</w:t>
      </w:r>
    </w:p>
    <w:p>
      <w:pPr>
        <w:pStyle w:val="Heading3"/>
        <w:keepNext/>
      </w:pPr>
      <w:r>
        <w:t>Promoción del taller móvil</w:t>
      </w:r>
    </w:p>
    <w:p>
      <w:r>
        <w:rPr>
          <w:rFonts w:ascii="Calibri" w:hAnsi="Calibri"/>
          <w:color w:val="12233F"/>
        </w:rPr>
        <w:t>El último bloque refuerza la ventaja del desplazamiento y enlaza con la explicación de cómo se organiza una intervención móvil.</w:t>
      </w:r>
    </w:p>
    <w:p>
      <w:pPr>
        <w:pStyle w:val="Heading2"/>
        <w:keepNext/>
      </w:pPr>
      <w:r>
        <w:t>3.2 Página Servicios</w:t>
      </w:r>
    </w:p>
    <w:p>
      <w:r>
        <w:rPr>
          <w:rFonts w:ascii="Calibri" w:hAnsi="Calibri"/>
          <w:color w:val="12233F"/>
        </w:rPr>
        <w:t>Presenta las cuatro familias de servicio con una descripción individual y una acción para solicitar cada una:</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2E74B5" w:val="clear"/>
          </w:tcPr>
          <w:p>
            <w:pPr>
              <w:spacing w:after="0" w:line="252" w:lineRule="auto"/>
            </w:pPr>
            <w:r>
              <w:rPr>
                <w:rFonts w:ascii="Calibri" w:hAnsi="Calibri"/>
                <w:b/>
                <w:color w:val="12233F"/>
                <w:sz w:val="18"/>
              </w:rPr>
              <w:t>Servicio</w:t>
            </w:r>
          </w:p>
        </w:tc>
        <w:tc>
          <w:tcPr>
            <w:tcW w:type="dxa" w:w="7460"/>
            <w:tcMar>
              <w:top w:w="80" w:type="dxa"/>
              <w:start w:w="120" w:type="dxa"/>
              <w:bottom w:w="80" w:type="dxa"/>
              <w:end w:w="120" w:type="dxa"/>
            </w:tcMar>
            <w:vAlign w:val="center"/>
            <w:shd w:fill="2E74B5" w:val="clear"/>
          </w:tcPr>
          <w:p>
            <w:pPr>
              <w:spacing w:after="0" w:line="252" w:lineRule="auto"/>
            </w:pPr>
            <w:r>
              <w:rPr>
                <w:rFonts w:ascii="Calibri" w:hAnsi="Calibri"/>
                <w:b/>
                <w:color w:val="12233F"/>
                <w:sz w:val="18"/>
              </w:rPr>
              <w:t>Qué comunica al cliente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Reparación</w:t>
            </w:r>
          </w:p>
        </w:tc>
        <w:tc>
          <w:tcPr>
            <w:tcW w:type="dxa" w:w="7460"/>
            <w:tcMar>
              <w:top w:w="80" w:type="dxa"/>
              <w:start w:w="120" w:type="dxa"/>
              <w:bottom w:w="80" w:type="dxa"/>
              <w:end w:w="120" w:type="dxa"/>
            </w:tcMar>
            <w:vAlign w:val="center"/>
          </w:tcPr>
          <w:p>
            <w:pPr>
              <w:spacing w:after="0" w:line="252" w:lineRule="auto"/>
            </w:pPr>
            <w:r>
              <w:rPr>
                <w:rFonts w:ascii="Calibri" w:hAnsi="Calibri"/>
                <w:b w:val="0"/>
                <w:color w:val="12233F"/>
                <w:sz w:val="18"/>
              </w:rPr>
              <w:t>Diagnóstico de la avería e intervención adaptada a la moto o embarcación.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Mantenimiento</w:t>
            </w:r>
          </w:p>
        </w:tc>
        <w:tc>
          <w:tcPr>
            <w:tcW w:type="dxa" w:w="7460"/>
            <w:tcMar>
              <w:top w:w="80" w:type="dxa"/>
              <w:start w:w="120" w:type="dxa"/>
              <w:bottom w:w="80" w:type="dxa"/>
              <w:end w:w="120" w:type="dxa"/>
            </w:tcMar>
            <w:vAlign w:val="center"/>
          </w:tcPr>
          <w:p>
            <w:pPr>
              <w:spacing w:after="0" w:line="252" w:lineRule="auto"/>
            </w:pPr>
            <w:r>
              <w:rPr>
                <w:rFonts w:ascii="Calibri" w:hAnsi="Calibri"/>
                <w:b w:val="0"/>
                <w:color w:val="12233F"/>
                <w:sz w:val="18"/>
              </w:rPr>
              <w:t>Revisiones y puesta a punto preventiva de la moto o el motor marino.</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Electricidad</w:t>
            </w:r>
          </w:p>
        </w:tc>
        <w:tc>
          <w:tcPr>
            <w:tcW w:type="dxa" w:w="7460"/>
            <w:tcMar>
              <w:top w:w="80" w:type="dxa"/>
              <w:start w:w="120" w:type="dxa"/>
              <w:bottom w:w="80" w:type="dxa"/>
              <w:end w:w="120" w:type="dxa"/>
            </w:tcMar>
            <w:vAlign w:val="center"/>
          </w:tcPr>
          <w:p>
            <w:pPr>
              <w:spacing w:after="0" w:line="252" w:lineRule="auto"/>
            </w:pPr>
            <w:r>
              <w:rPr>
                <w:rFonts w:ascii="Calibri" w:hAnsi="Calibri"/>
                <w:b w:val="0"/>
                <w:color w:val="12233F"/>
                <w:sz w:val="18"/>
              </w:rPr>
              <w:t>Instalaciones, fallos eléctricos y problemas electrónicos.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Diagnosis</w:t>
            </w:r>
          </w:p>
        </w:tc>
        <w:tc>
          <w:tcPr>
            <w:tcW w:type="dxa" w:w="7460"/>
            <w:tcMar>
              <w:top w:w="80" w:type="dxa"/>
              <w:start w:w="120" w:type="dxa"/>
              <w:bottom w:w="80" w:type="dxa"/>
              <w:end w:w="120" w:type="dxa"/>
            </w:tcMar>
            <w:vAlign w:val="center"/>
          </w:tcPr>
          <w:p>
            <w:pPr>
              <w:spacing w:after="0" w:line="252" w:lineRule="auto"/>
            </w:pPr>
            <w:r>
              <w:rPr>
                <w:rFonts w:ascii="Calibri" w:hAnsi="Calibri"/>
                <w:b w:val="0"/>
                <w:color w:val="12233F"/>
                <w:sz w:val="18"/>
              </w:rPr>
              <w:t>Búsqueda de la causa real antes de sustituir componentes innecesariamente.</w:t>
            </w:r>
          </w:p>
        </w:tc>
      </w:tr>
    </w:tbl>
    <w:p>
      <w:pPr>
        <w:spacing w:after="40"/>
      </w:pPr>
    </w:p>
    <w:p>
      <w:r>
        <w:rPr>
          <w:rFonts w:ascii="Calibri" w:hAnsi="Calibri"/>
          <w:color w:val="12233F"/>
        </w:rPr>
        <w:t>Todas las acciones llevan a Contacto. La página termina con una llamada directa para describir una incidencia concreta.</w:t>
      </w:r>
    </w:p>
    <w:p>
      <w:pPr>
        <w:pStyle w:val="Heading2"/>
        <w:keepNext/>
      </w:pPr>
      <w:r>
        <w:t>3.3 Página Taller móvil</w:t>
      </w:r>
    </w:p>
    <w:p>
      <w:r>
        <w:rPr>
          <w:rFonts w:ascii="Calibri" w:hAnsi="Calibri"/>
          <w:color w:val="12233F"/>
        </w:rPr>
        <w:t>Explica el servicio con cita previa y el proceso de atención en tres pasos:</w:t>
      </w:r>
    </w:p>
    <w:p>
      <w:pPr>
        <w:numPr>
          <w:ilvl w:val="0"/>
          <w:numId w:val="12"/>
        </w:numPr>
      </w:pPr>
      <w:r>
        <w:rPr>
          <w:rFonts w:ascii="Calibri" w:hAnsi="Calibri"/>
          <w:color w:val="12233F"/>
        </w:rPr>
        <w:t>El cliente cuenta qué ocurre e indica el vehículo, la zona y la necesidad.</w:t>
      </w:r>
    </w:p>
    <w:p>
      <w:pPr>
        <w:numPr>
          <w:ilvl w:val="0"/>
          <w:numId w:val="12"/>
        </w:numPr>
      </w:pPr>
      <w:r>
        <w:rPr>
          <w:rFonts w:ascii="Calibri" w:hAnsi="Calibri"/>
          <w:color w:val="12233F"/>
        </w:rPr>
        <w:t>Victiker coordina la cita y confirma el mejor momento.</w:t>
      </w:r>
    </w:p>
    <w:p>
      <w:pPr>
        <w:numPr>
          <w:ilvl w:val="0"/>
          <w:numId w:val="12"/>
        </w:numPr>
      </w:pPr>
      <w:r>
        <w:rPr>
          <w:rFonts w:ascii="Calibri" w:hAnsi="Calibri"/>
          <w:color w:val="12233F"/>
        </w:rPr>
        <w:t>El técnico se desplaza con las herramientas y preparación necesarias.</w:t>
      </w:r>
    </w:p>
    <w:p>
      <w:r>
        <w:rPr>
          <w:rFonts w:ascii="Calibri" w:hAnsi="Calibri"/>
          <w:color w:val="12233F"/>
        </w:rPr>
        <w:t>La página no promete una cobertura geográfica concreta: solicita ubicación y necesidad, y Victiker confirma disponibilidad y desplazamiento antes de cerrar la cita.</w:t>
      </w:r>
    </w:p>
    <w:p>
      <w:pPr>
        <w:pStyle w:val="Heading2"/>
        <w:keepNext/>
      </w:pPr>
      <w:r>
        <w:t>3.4 Catálogo de repuestos</w:t>
      </w:r>
    </w:p>
    <w:p>
      <w:r>
        <w:rPr>
          <w:rFonts w:ascii="Calibri" w:hAnsi="Calibri"/>
          <w:color w:val="12233F"/>
        </w:rPr>
        <w:t>El catálogo es una herramienta de consulta y preparación de solicitudes. Solo muestra al público referencias activas. Los resultados se ordenan por referencia y se cargan en páginas de 24 productos.</w:t>
      </w:r>
    </w:p>
    <w:p>
      <w:pPr>
        <w:pStyle w:val="Heading3"/>
        <w:keepNext/>
      </w:pPr>
      <w:r>
        <w:t>Filtros y búsqueda</w:t>
      </w:r>
    </w:p>
    <w:p>
      <w:pPr>
        <w:numPr>
          <w:ilvl w:val="0"/>
          <w:numId w:val="10"/>
        </w:numPr>
      </w:pPr>
      <w:r>
        <w:rPr>
          <w:rFonts w:ascii="Calibri" w:hAnsi="Calibri"/>
          <w:color w:val="12233F"/>
        </w:rPr>
        <w:t>Selector de Moto o Embarcación.</w:t>
      </w:r>
    </w:p>
    <w:p>
      <w:pPr>
        <w:numPr>
          <w:ilvl w:val="0"/>
          <w:numId w:val="10"/>
        </w:numPr>
      </w:pPr>
      <w:r>
        <w:rPr>
          <w:rFonts w:ascii="Calibri" w:hAnsi="Calibri"/>
          <w:color w:val="12233F"/>
        </w:rPr>
        <w:t>Filtro por categoría principal disponible para el tipo de vehículo elegido.</w:t>
      </w:r>
    </w:p>
    <w:p>
      <w:pPr>
        <w:numPr>
          <w:ilvl w:val="0"/>
          <w:numId w:val="10"/>
        </w:numPr>
      </w:pPr>
      <w:r>
        <w:rPr>
          <w:rFonts w:ascii="Calibri" w:hAnsi="Calibri"/>
          <w:color w:val="12233F"/>
        </w:rPr>
        <w:t>Búsqueda por referencia o descripción a partir de dos caracteres. La búsqueda utiliza prefijos normalizados y no distingue mayúsculas ni acentos.</w:t>
      </w:r>
    </w:p>
    <w:p>
      <w:pPr>
        <w:numPr>
          <w:ilvl w:val="0"/>
          <w:numId w:val="10"/>
        </w:numPr>
      </w:pPr>
      <w:r>
        <w:rPr>
          <w:rFonts w:ascii="Calibri" w:hAnsi="Calibri"/>
          <w:color w:val="12233F"/>
        </w:rPr>
        <w:t>Contador total para el tipo de vehículo y la categoría seleccionados.</w:t>
      </w:r>
    </w:p>
    <w:p>
      <w:pPr>
        <w:numPr>
          <w:ilvl w:val="0"/>
          <w:numId w:val="10"/>
        </w:numPr>
      </w:pPr>
      <w:r>
        <w:rPr>
          <w:rFonts w:ascii="Calibri" w:hAnsi="Calibri"/>
          <w:color w:val="12233F"/>
        </w:rPr>
        <w:t>Paginación anterior/siguiente y elección de vista en listado o cuadrícula.</w:t>
      </w:r>
    </w:p>
    <w:p>
      <w:pPr>
        <w:pStyle w:val="Heading3"/>
        <w:keepNext/>
      </w:pPr>
      <w:r>
        <w:t>Información de cada referencia</w:t>
      </w:r>
    </w:p>
    <w:p>
      <w:pPr>
        <w:numPr>
          <w:ilvl w:val="0"/>
          <w:numId w:val="10"/>
        </w:numPr>
      </w:pPr>
      <w:r>
        <w:rPr>
          <w:rFonts w:ascii="Calibri" w:hAnsi="Calibri"/>
          <w:color w:val="12233F"/>
        </w:rPr>
        <w:t>Imagen, si existe; si la imagen externa falla, se muestra un marcador neutro.</w:t>
      </w:r>
    </w:p>
    <w:p>
      <w:pPr>
        <w:numPr>
          <w:ilvl w:val="0"/>
          <w:numId w:val="10"/>
        </w:numPr>
      </w:pPr>
      <w:r>
        <w:rPr>
          <w:rFonts w:ascii="Calibri" w:hAnsi="Calibri"/>
          <w:color w:val="12233F"/>
        </w:rPr>
        <w:t>Referencia, descripción, marca, tipo de vehículo, categoría y precio en euros.</w:t>
      </w:r>
    </w:p>
    <w:p>
      <w:pPr>
        <w:numPr>
          <w:ilvl w:val="0"/>
          <w:numId w:val="10"/>
        </w:numPr>
      </w:pPr>
      <w:r>
        <w:rPr>
          <w:rFonts w:ascii="Calibri" w:hAnsi="Calibri"/>
          <w:color w:val="12233F"/>
        </w:rPr>
        <w:t>Para artículos Bihr, información orientativa de stock: disponible, pocas unidades o sin stock.</w:t>
      </w:r>
    </w:p>
    <w:p>
      <w:pPr>
        <w:numPr>
          <w:ilvl w:val="0"/>
          <w:numId w:val="10"/>
        </w:numPr>
      </w:pPr>
      <w:r>
        <w:rPr>
          <w:rFonts w:ascii="Calibri" w:hAnsi="Calibri"/>
          <w:color w:val="12233F"/>
        </w:rPr>
        <w:t>Botón para añadir la pieza a la solicitud.</w:t>
      </w:r>
    </w:p>
    <w:p>
      <w:pPr>
        <w:pStyle w:val="Callout"/>
        <w:shd w:val="clear" w:fill="FFF2E6"/>
        <w:pBdr>
          <w:left w:val="single" w:sz="18" w:space="8" w:color="F28C28"/>
        </w:pBdr>
      </w:pPr>
      <w:r>
        <w:rPr>
          <w:rFonts w:ascii="Calibri" w:hAnsi="Calibri"/>
          <w:b/>
          <w:color w:val="F28C28"/>
          <w:sz w:val="18"/>
        </w:rPr>
        <w:t xml:space="preserve">IMPORTANTE  </w:t>
      </w:r>
      <w:r>
        <w:rPr>
          <w:rFonts w:ascii="Calibri" w:hAnsi="Calibri"/>
          <w:color w:val="12233F"/>
          <w:sz w:val="21"/>
        </w:rPr>
        <w:t>Los precios y el stock se presentan como información de catálogo. La solicitud no constituye una compra: Victiker confirma compatibilidad, disponibilidad y presupuesto antes de tramitarla.</w:t>
      </w:r>
    </w:p>
    <w:p>
      <w:pPr>
        <w:spacing w:before="0" w:after="40" w:line="120" w:lineRule="auto"/>
      </w:pPr>
    </w:p>
    <w:p>
      <w:pPr>
        <w:pStyle w:val="Heading2"/>
        <w:keepNext/>
      </w:pPr>
      <w:r>
        <w:t>3.5 Solicitud de repuestos</w:t>
      </w:r>
    </w:p>
    <w:p>
      <w:r>
        <w:rPr>
          <w:rFonts w:ascii="Calibri" w:hAnsi="Calibri"/>
          <w:color w:val="12233F"/>
        </w:rPr>
        <w:t>Al añadir una pieza, aparece una confirmación discreta durante tres segundos y el contador de la cabecera aumenta. Mientras haya piezas, una barra fija permite revisar y enviar la solicitud en cualquier momento.</w:t>
      </w:r>
    </w:p>
    <w:p>
      <w:pPr>
        <w:numPr>
          <w:ilvl w:val="0"/>
          <w:numId w:val="13"/>
        </w:numPr>
      </w:pPr>
      <w:r>
        <w:rPr>
          <w:rFonts w:ascii="Calibri" w:hAnsi="Calibri"/>
          <w:color w:val="12233F"/>
        </w:rPr>
        <w:t>Abrir “Mi solicitud” desde la cabecera o desde la barra del catálogo.</w:t>
      </w:r>
    </w:p>
    <w:p>
      <w:pPr>
        <w:numPr>
          <w:ilvl w:val="0"/>
          <w:numId w:val="13"/>
        </w:numPr>
      </w:pPr>
      <w:r>
        <w:rPr>
          <w:rFonts w:ascii="Calibri" w:hAnsi="Calibri"/>
          <w:color w:val="12233F"/>
        </w:rPr>
        <w:t>Revisar las referencias y subir o bajar unidades. Si una cantidad llega a cero, la pieza desaparece de la selección.</w:t>
      </w:r>
    </w:p>
    <w:p>
      <w:pPr>
        <w:numPr>
          <w:ilvl w:val="0"/>
          <w:numId w:val="13"/>
        </w:numPr>
      </w:pPr>
      <w:r>
        <w:rPr>
          <w:rFonts w:ascii="Calibri" w:hAnsi="Calibri"/>
          <w:color w:val="12233F"/>
        </w:rPr>
        <w:t>Introducir nombre y teléfono; el vehículo o embarcación es opcional, aunque recomendable para comprobar compatibilidad.</w:t>
      </w:r>
    </w:p>
    <w:p>
      <w:pPr>
        <w:numPr>
          <w:ilvl w:val="0"/>
          <w:numId w:val="13"/>
        </w:numPr>
      </w:pPr>
      <w:r>
        <w:rPr>
          <w:rFonts w:ascii="Calibri" w:hAnsi="Calibri"/>
          <w:color w:val="12233F"/>
        </w:rPr>
        <w:t>Enviar. La web registra la solicitud con estado Nueva y manda una notificación interna por correo.</w:t>
      </w:r>
    </w:p>
    <w:p>
      <w:pPr>
        <w:numPr>
          <w:ilvl w:val="0"/>
          <w:numId w:val="13"/>
        </w:numPr>
      </w:pPr>
      <w:r>
        <w:rPr>
          <w:rFonts w:ascii="Calibri" w:hAnsi="Calibri"/>
          <w:color w:val="12233F"/>
        </w:rPr>
        <w:t>Victiker contacta personalmente para confirmar compatibilidad, disponibilidad y presupuesto.</w:t>
      </w:r>
    </w:p>
    <w:p>
      <w:pPr>
        <w:pStyle w:val="Small"/>
      </w:pPr>
      <w:r>
        <w:rPr>
          <w:rFonts w:ascii="Calibri" w:hAnsi="Calibri"/>
          <w:color w:val="12233F"/>
        </w:rPr>
        <w:t>La selección se mantiene únicamente durante la sesión abierta del navegador; al recargar completamente la página se pierde, porque no se guarda en una cuenta ni en almacenamiento persistente.</w:t>
      </w:r>
    </w:p>
    <w:p>
      <w:pPr>
        <w:pStyle w:val="Heading2"/>
        <w:keepNext/>
      </w:pPr>
      <w:r>
        <w:t>3.6 Página Contacto</w:t>
      </w:r>
    </w:p>
    <w:p>
      <w:r>
        <w:rPr>
          <w:rFonts w:ascii="Calibri" w:hAnsi="Calibri"/>
          <w:color w:val="12233F"/>
        </w:rPr>
        <w:t>La página ofrece tres vías: llamada telefónica, WhatsApp y formulario. El formulario solicita nombre, teléfono, necesidad y detalles opcionales.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2E74B5" w:val="clear"/>
          </w:tcPr>
          <w:p>
            <w:pPr>
              <w:spacing w:after="0" w:line="252" w:lineRule="auto"/>
            </w:pPr>
            <w:r>
              <w:rPr>
                <w:rFonts w:ascii="Calibri" w:hAnsi="Calibri"/>
                <w:b/>
                <w:color w:val="12233F"/>
                <w:sz w:val="18"/>
              </w:rPr>
              <w:t>Campo</w:t>
            </w:r>
          </w:p>
        </w:tc>
        <w:tc>
          <w:tcPr>
            <w:tcW w:type="dxa" w:w="7460"/>
            <w:tcMar>
              <w:top w:w="80" w:type="dxa"/>
              <w:start w:w="120" w:type="dxa"/>
              <w:bottom w:w="80" w:type="dxa"/>
              <w:end w:w="120" w:type="dxa"/>
            </w:tcMar>
            <w:vAlign w:val="center"/>
            <w:shd w:fill="2E74B5" w:val="clear"/>
          </w:tcPr>
          <w:p>
            <w:pPr>
              <w:spacing w:after="0" w:line="252" w:lineRule="auto"/>
            </w:pPr>
            <w:r>
              <w:rPr>
                <w:rFonts w:ascii="Calibri" w:hAnsi="Calibri"/>
                <w:b/>
                <w:color w:val="12233F"/>
                <w:sz w:val="18"/>
              </w:rPr>
              <w:t>Uso</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Nombre</w:t>
            </w:r>
          </w:p>
        </w:tc>
        <w:tc>
          <w:tcPr>
            <w:tcW w:type="dxa" w:w="7460"/>
            <w:tcMar>
              <w:top w:w="80" w:type="dxa"/>
              <w:start w:w="120" w:type="dxa"/>
              <w:bottom w:w="80" w:type="dxa"/>
              <w:end w:w="120" w:type="dxa"/>
            </w:tcMar>
            <w:vAlign w:val="center"/>
          </w:tcPr>
          <w:p>
            <w:pPr>
              <w:spacing w:after="0" w:line="252" w:lineRule="auto"/>
            </w:pPr>
            <w:r>
              <w:rPr>
                <w:rFonts w:ascii="Calibri" w:hAnsi="Calibri"/>
                <w:b w:val="0"/>
                <w:color w:val="12233F"/>
                <w:sz w:val="18"/>
              </w:rPr>
              <w:t>Identificar a la persona que solicita la atención.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Teléfono</w:t>
            </w:r>
          </w:p>
        </w:tc>
        <w:tc>
          <w:tcPr>
            <w:tcW w:type="dxa" w:w="7460"/>
            <w:tcMar>
              <w:top w:w="80" w:type="dxa"/>
              <w:start w:w="120" w:type="dxa"/>
              <w:bottom w:w="80" w:type="dxa"/>
              <w:end w:w="120" w:type="dxa"/>
            </w:tcMar>
            <w:vAlign w:val="center"/>
          </w:tcPr>
          <w:p>
            <w:pPr>
              <w:spacing w:after="0" w:line="252" w:lineRule="auto"/>
            </w:pPr>
            <w:r>
              <w:rPr>
                <w:rFonts w:ascii="Calibri" w:hAnsi="Calibri"/>
                <w:b w:val="0"/>
                <w:color w:val="12233F"/>
                <w:sz w:val="18"/>
              </w:rPr>
              <w:t>Canal de respuesta obligatorio.</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Necesidad</w:t>
            </w:r>
          </w:p>
        </w:tc>
        <w:tc>
          <w:tcPr>
            <w:tcW w:type="dxa" w:w="7460"/>
            <w:tcMar>
              <w:top w:w="80" w:type="dxa"/>
              <w:start w:w="120" w:type="dxa"/>
              <w:bottom w:w="80" w:type="dxa"/>
              <w:end w:w="120" w:type="dxa"/>
            </w:tcMar>
            <w:vAlign w:val="center"/>
          </w:tcPr>
          <w:p>
            <w:pPr>
              <w:spacing w:after="0" w:line="252" w:lineRule="auto"/>
            </w:pPr>
            <w:r>
              <w:rPr>
                <w:rFonts w:ascii="Calibri" w:hAnsi="Calibri"/>
                <w:b w:val="0"/>
                <w:color w:val="12233F"/>
                <w:sz w:val="18"/>
              </w:rPr>
              <w:t>Moto, embarcación o consulta sobre repuestos.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Detalles</w:t>
            </w:r>
          </w:p>
        </w:tc>
        <w:tc>
          <w:tcPr>
            <w:tcW w:type="dxa" w:w="7460"/>
            <w:tcMar>
              <w:top w:w="80" w:type="dxa"/>
              <w:start w:w="120" w:type="dxa"/>
              <w:bottom w:w="80" w:type="dxa"/>
              <w:end w:w="120" w:type="dxa"/>
            </w:tcMar>
            <w:vAlign w:val="center"/>
          </w:tcPr>
          <w:p>
            <w:pPr>
              <w:spacing w:after="0" w:line="252" w:lineRule="auto"/>
            </w:pPr>
            <w:r>
              <w:rPr>
                <w:rFonts w:ascii="Calibri" w:hAnsi="Calibri"/>
                <w:b w:val="0"/>
                <w:color w:val="12233F"/>
                <w:sz w:val="18"/>
              </w:rPr>
              <w:t>Modelo, incidencia, referencia o contexto adicional.</w:t>
            </w:r>
          </w:p>
        </w:tc>
      </w:tr>
    </w:tbl>
    <w:p>
      <w:pPr>
        <w:spacing w:after="40"/>
      </w:pPr>
    </w:p>
    <w:p>
      <w:r>
        <w:rPr>
          <w:rFonts w:ascii="Calibri" w:hAnsi="Calibri"/>
          <w:color w:val="12233F"/>
        </w:rPr>
        <w:t>Cuando el proceso termina correctamente, el formulario se sustituye por un mensaje de confirmación. La petición aparece también en el panel, dentro de Pedidos &gt; Citas.</w:t>
      </w:r>
    </w:p>
    <w:p>
      <w:pPr>
        <w:pStyle w:val="Heading1"/>
        <w:keepNext/>
        <w:pageBreakBefore/>
      </w:pPr>
      <w:r>
        <w:t>4. Recorridos principales del cliente</w:t>
      </w:r>
    </w:p>
    <w:p>
      <w:pPr>
        <w:spacing w:after="200"/>
        <w:jc w:val="center"/>
      </w:pPr>
      <w:r>
        <w:drawing>
          <wp:inline xmlns:a="http://schemas.openxmlformats.org/drawingml/2006/main" xmlns:pic="http://schemas.openxmlformats.org/drawingml/2006/picture">
            <wp:extent cx="5806440" cy="2322576"/>
            <wp:docPr id="2" name="Picture 2" descr="Diagrama del ciclo de una solicitud: envío, registro, notificación, gestión y resolución" title="Diagrama del ciclo de una solicitud: envío, registro, notificación, gestión y resolución"/>
            <wp:cNvGraphicFramePr>
              <a:graphicFrameLocks noChangeAspect="1"/>
            </wp:cNvGraphicFramePr>
            <a:graphic>
              <a:graphicData uri="http://schemas.openxmlformats.org/drawingml/2006/picture">
                <pic:pic>
                  <pic:nvPicPr>
                    <pic:cNvPr id="0" name="request-flow.png"/>
                    <pic:cNvPicPr/>
                  </pic:nvPicPr>
                  <pic:blipFill>
                    <a:blip r:embed="rId10"/>
                    <a:stretch>
                      <a:fillRect/>
                    </a:stretch>
                  </pic:blipFill>
                  <pic:spPr>
                    <a:xfrm>
                      <a:off x="0" y="0"/>
                      <a:ext cx="5806440" cy="2322576"/>
                    </a:xfrm>
                    <a:prstGeom prst="rect"/>
                  </pic:spPr>
                </pic:pic>
              </a:graphicData>
            </a:graphic>
          </wp:inline>
        </w:drawing>
      </w:r>
    </w:p>
    <w:p>
      <w:pPr>
        <w:pStyle w:val="Small"/>
        <w:jc w:val="center"/>
      </w:pPr>
      <w:r>
        <w:rPr>
          <w:rFonts w:ascii="Calibri" w:hAnsi="Calibri"/>
          <w:color w:val="12233F"/>
        </w:rPr>
        <w:t>Figura 1. Flujo común de captación y gestión.</w:t>
      </w:r>
    </w:p>
    <w:p>
      <w:pPr>
        <w:pStyle w:val="Heading2"/>
        <w:keepNext/>
      </w:pPr>
      <w:r>
        <w:t>4.1 Pedir una cita</w:t>
      </w:r>
    </w:p>
    <w:p>
      <w:pPr>
        <w:numPr>
          <w:ilvl w:val="0"/>
          <w:numId w:val="14"/>
        </w:numPr>
      </w:pPr>
      <w:r>
        <w:rPr>
          <w:rFonts w:ascii="Calibri" w:hAnsi="Calibri"/>
          <w:color w:val="12233F"/>
        </w:rPr>
        <w:t>El usuario llega desde la portada, Servicios, Taller móvil o el botón permanente Pedir cita.</w:t>
      </w:r>
    </w:p>
    <w:p>
      <w:pPr>
        <w:numPr>
          <w:ilvl w:val="0"/>
          <w:numId w:val="14"/>
        </w:numPr>
      </w:pPr>
      <w:r>
        <w:rPr>
          <w:rFonts w:ascii="Calibri" w:hAnsi="Calibri"/>
          <w:color w:val="12233F"/>
        </w:rPr>
        <w:t>Completa los datos del formulario de Contacto.</w:t>
      </w:r>
    </w:p>
    <w:p>
      <w:pPr>
        <w:numPr>
          <w:ilvl w:val="0"/>
          <w:numId w:val="14"/>
        </w:numPr>
      </w:pPr>
      <w:r>
        <w:rPr>
          <w:rFonts w:ascii="Calibri" w:hAnsi="Calibri"/>
          <w:color w:val="12233F"/>
        </w:rPr>
        <w:t>La solicitud se guarda en Firebase con el tipo appointment y estado new.</w:t>
      </w:r>
    </w:p>
    <w:p>
      <w:pPr>
        <w:numPr>
          <w:ilvl w:val="0"/>
          <w:numId w:val="14"/>
        </w:numPr>
      </w:pPr>
      <w:r>
        <w:rPr>
          <w:rFonts w:ascii="Calibri" w:hAnsi="Calibri"/>
          <w:color w:val="12233F"/>
        </w:rPr>
        <w:t>El sistema intenta enviar el correo interno con el asunto “[Victiker] Nueva solicitud de cita”.</w:t>
      </w:r>
    </w:p>
    <w:p>
      <w:pPr>
        <w:numPr>
          <w:ilvl w:val="0"/>
          <w:numId w:val="14"/>
        </w:numPr>
      </w:pPr>
      <w:r>
        <w:rPr>
          <w:rFonts w:ascii="Calibri" w:hAnsi="Calibri"/>
          <w:color w:val="12233F"/>
        </w:rPr>
        <w:t>El administrador la ve en Pedidos &gt; Citas y realiza el seguimiento por teléfono o WhatsApp.</w:t>
      </w:r>
    </w:p>
    <w:p>
      <w:pPr>
        <w:pStyle w:val="Heading2"/>
        <w:keepNext/>
      </w:pPr>
      <w:r>
        <w:t>4.2 Solicitar repuestos</w:t>
      </w:r>
    </w:p>
    <w:p>
      <w:pPr>
        <w:numPr>
          <w:ilvl w:val="0"/>
          <w:numId w:val="15"/>
        </w:numPr>
      </w:pPr>
      <w:r>
        <w:rPr>
          <w:rFonts w:ascii="Calibri" w:hAnsi="Calibri"/>
          <w:color w:val="12233F"/>
        </w:rPr>
        <w:t>El usuario filtra o busca productos en el catálogo.</w:t>
      </w:r>
    </w:p>
    <w:p>
      <w:pPr>
        <w:numPr>
          <w:ilvl w:val="0"/>
          <w:numId w:val="15"/>
        </w:numPr>
      </w:pPr>
      <w:r>
        <w:rPr>
          <w:rFonts w:ascii="Calibri" w:hAnsi="Calibri"/>
          <w:color w:val="12233F"/>
        </w:rPr>
        <w:t>Añade una o más piezas y ajusta cantidades.</w:t>
      </w:r>
    </w:p>
    <w:p>
      <w:pPr>
        <w:numPr>
          <w:ilvl w:val="0"/>
          <w:numId w:val="15"/>
        </w:numPr>
      </w:pPr>
      <w:r>
        <w:rPr>
          <w:rFonts w:ascii="Calibri" w:hAnsi="Calibri"/>
          <w:color w:val="12233F"/>
        </w:rPr>
        <w:t>Completa sus datos en el panel lateral y envía la selección.</w:t>
      </w:r>
    </w:p>
    <w:p>
      <w:pPr>
        <w:numPr>
          <w:ilvl w:val="0"/>
          <w:numId w:val="15"/>
        </w:numPr>
      </w:pPr>
      <w:r>
        <w:rPr>
          <w:rFonts w:ascii="Calibri" w:hAnsi="Calibri"/>
          <w:color w:val="12233F"/>
        </w:rPr>
        <w:t>La solicitud se guarda con el tipo parts y estado new.</w:t>
      </w:r>
    </w:p>
    <w:p>
      <w:pPr>
        <w:numPr>
          <w:ilvl w:val="0"/>
          <w:numId w:val="15"/>
        </w:numPr>
      </w:pPr>
      <w:r>
        <w:rPr>
          <w:rFonts w:ascii="Calibri" w:hAnsi="Calibri"/>
          <w:color w:val="12233F"/>
        </w:rPr>
        <w:t>El correo interno incluye solicitante, teléfono, vehículo, unidades, descripción, referencia, marca y precio orientativo de cada pieza.</w:t>
      </w:r>
    </w:p>
    <w:p>
      <w:pPr>
        <w:numPr>
          <w:ilvl w:val="0"/>
          <w:numId w:val="15"/>
        </w:numPr>
      </w:pPr>
      <w:r>
        <w:rPr>
          <w:rFonts w:ascii="Calibri" w:hAnsi="Calibri"/>
          <w:color w:val="12233F"/>
        </w:rPr>
        <w:t>Victiker valida compatibilidad y disponibilidad antes de confirmar nada al cliente.</w:t>
      </w:r>
    </w:p>
    <w:p>
      <w:pPr>
        <w:pStyle w:val="Callout"/>
        <w:shd w:val="clear" w:fill="FFF2E6"/>
        <w:pBdr>
          <w:left w:val="single" w:sz="18" w:space="8" w:color="A33A36"/>
        </w:pBdr>
      </w:pPr>
      <w:r>
        <w:rPr>
          <w:rFonts w:ascii="Calibri" w:hAnsi="Calibri"/>
          <w:b/>
          <w:color w:val="A33A36"/>
          <w:sz w:val="18"/>
        </w:rPr>
        <w:t xml:space="preserve">COMPORTAMIENTO ANTE UN FALLO DE CORREO  </w:t>
      </w:r>
      <w:r>
        <w:rPr>
          <w:rFonts w:ascii="Calibri" w:hAnsi="Calibri"/>
          <w:color w:val="12233F"/>
          <w:sz w:val="21"/>
        </w:rPr>
        <w:t>La solicitud se guarda primero en el panel y después se envía el correo. Si Resend falla, el registro puede seguir existiendo en Administración aunque el cliente vea un error. Antes de pedirle que repita el envío, conviene revisar Pedidos para evitar duplicados.</w:t>
      </w:r>
    </w:p>
    <w:p>
      <w:pPr>
        <w:spacing w:before="0" w:after="40" w:line="120" w:lineRule="auto"/>
      </w:pPr>
    </w:p>
    <w:p>
      <w:pPr>
        <w:pStyle w:val="Heading1"/>
        <w:keepNext/>
        <w:pageBreakBefore/>
      </w:pPr>
      <w:r>
        <w:t>5. Manual completo del panel de administración</w:t>
      </w:r>
    </w:p>
    <w:p>
      <w:r>
        <w:rPr>
          <w:rFonts w:ascii="Calibri" w:hAnsi="Calibri"/>
          <w:color w:val="12233F"/>
        </w:rPr>
        <w:t>El panel se abre en /admin. No aparece en el menú público, está marcado para no ser indexado y robots.txt bloquea su rastreo. El acceso requiere una cuenta de Firebase Authentication y un registro de administrador activo.</w:t>
      </w:r>
    </w:p>
    <w:p>
      <w:pPr>
        <w:pStyle w:val="Heading2"/>
        <w:keepNext/>
      </w:pPr>
      <w:r>
        <w:t>5.1 Acceso y cierre de sesión</w:t>
      </w:r>
    </w:p>
    <w:p>
      <w:pPr>
        <w:numPr>
          <w:ilvl w:val="0"/>
          <w:numId w:val="16"/>
        </w:numPr>
      </w:pPr>
      <w:r>
        <w:rPr>
          <w:rFonts w:ascii="Calibri" w:hAnsi="Calibri"/>
          <w:color w:val="12233F"/>
        </w:rPr>
        <w:t>Abrir la dirección del dominio seguida de /admin.</w:t>
      </w:r>
    </w:p>
    <w:p>
      <w:pPr>
        <w:numPr>
          <w:ilvl w:val="0"/>
          <w:numId w:val="16"/>
        </w:numPr>
      </w:pPr>
      <w:r>
        <w:rPr>
          <w:rFonts w:ascii="Calibri" w:hAnsi="Calibri"/>
          <w:color w:val="12233F"/>
        </w:rPr>
        <w:t>Introducir el correo y la contraseña asignados.</w:t>
      </w:r>
    </w:p>
    <w:p>
      <w:pPr>
        <w:numPr>
          <w:ilvl w:val="0"/>
          <w:numId w:val="16"/>
        </w:numPr>
      </w:pPr>
      <w:r>
        <w:rPr>
          <w:rFonts w:ascii="Calibri" w:hAnsi="Calibri"/>
          <w:color w:val="12233F"/>
        </w:rPr>
        <w:t>Si la cuenta existe pero no tiene rol activo, el panel muestra Acceso no autorizado.</w:t>
      </w:r>
    </w:p>
    <w:p>
      <w:pPr>
        <w:numPr>
          <w:ilvl w:val="0"/>
          <w:numId w:val="16"/>
        </w:numPr>
      </w:pPr>
      <w:r>
        <w:rPr>
          <w:rFonts w:ascii="Calibri" w:hAnsi="Calibri"/>
          <w:color w:val="12233F"/>
        </w:rPr>
        <w:t>Para salir, pulsar Cerrar sesión en la parte inferior de la barra lateral.</w:t>
      </w:r>
    </w:p>
    <w:p>
      <w:pPr>
        <w:pStyle w:val="Callout"/>
        <w:shd w:val="clear" w:fill="E8EEF5"/>
        <w:pBdr>
          <w:left w:val="single" w:sz="18" w:space="8" w:color="2E74B5"/>
        </w:pBdr>
      </w:pPr>
      <w:r>
        <w:rPr>
          <w:rFonts w:ascii="Calibri" w:hAnsi="Calibri"/>
          <w:b/>
          <w:color w:val="2E74B5"/>
          <w:sz w:val="18"/>
        </w:rPr>
        <w:t xml:space="preserve">SEGURIDAD  </w:t>
      </w:r>
      <w:r>
        <w:rPr>
          <w:rFonts w:ascii="Calibri" w:hAnsi="Calibri"/>
          <w:color w:val="12233F"/>
          <w:sz w:val="21"/>
        </w:rPr>
        <w:t>No compartas la contraseña ni uses una cuenta genérica entre varias personas. Cada administrador debería disponer de su propia cuenta y desactivarse cuando deje de necesitar acceso.</w:t>
      </w:r>
    </w:p>
    <w:p>
      <w:pPr>
        <w:spacing w:before="0" w:after="40" w:line="120" w:lineRule="auto"/>
      </w:pPr>
    </w:p>
    <w:p>
      <w:pPr>
        <w:pStyle w:val="Heading2"/>
        <w:keepNext/>
      </w:pPr>
      <w:r>
        <w:t>5.2 Organización del panel</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cantSplit/>
        </w:trPr>
        <w:tc>
          <w:tcPr>
            <w:tcW w:type="dxa" w:w="18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Sección</w:t>
            </w:r>
          </w:p>
        </w:tc>
        <w:tc>
          <w:tcPr>
            <w:tcW w:type="dxa" w:w="756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Finalidad</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color w:val="12233F"/>
                <w:sz w:val="18"/>
              </w:rPr>
              <w:t>Catálogo</w:t>
            </w:r>
          </w:p>
        </w:tc>
        <w:tc>
          <w:tcPr>
            <w:tcW w:type="dxa" w:w="7560"/>
            <w:tcMar>
              <w:top w:w="80" w:type="dxa"/>
              <w:start w:w="120" w:type="dxa"/>
              <w:bottom w:w="80" w:type="dxa"/>
              <w:end w:w="120" w:type="dxa"/>
            </w:tcMar>
            <w:vAlign w:val="center"/>
          </w:tcPr>
          <w:p>
            <w:pPr>
              <w:spacing w:after="0" w:line="252" w:lineRule="auto"/>
            </w:pPr>
            <w:r>
              <w:rPr>
                <w:rFonts w:ascii="Calibri" w:hAnsi="Calibri"/>
                <w:b w:val="0"/>
                <w:color w:val="12233F"/>
                <w:sz w:val="18"/>
              </w:rPr>
              <w:t>Consultar, buscar, crear, editar, archivar, restaurar o eliminar referencias.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color w:val="12233F"/>
                <w:sz w:val="18"/>
              </w:rPr>
              <w:t>Pedidos</w:t>
            </w:r>
          </w:p>
        </w:tc>
        <w:tc>
          <w:tcPr>
            <w:tcW w:type="dxa" w:w="7560"/>
            <w:tcMar>
              <w:top w:w="80" w:type="dxa"/>
              <w:start w:w="120" w:type="dxa"/>
              <w:bottom w:w="80" w:type="dxa"/>
              <w:end w:w="120" w:type="dxa"/>
            </w:tcMar>
            <w:vAlign w:val="center"/>
          </w:tcPr>
          <w:p>
            <w:pPr>
              <w:spacing w:after="0" w:line="252" w:lineRule="auto"/>
            </w:pPr>
            <w:r>
              <w:rPr>
                <w:rFonts w:ascii="Calibri" w:hAnsi="Calibri"/>
                <w:b w:val="0"/>
                <w:color w:val="12233F"/>
                <w:sz w:val="18"/>
              </w:rPr>
              <w:t>Atender solicitudes de repuestos y citas; añadir notas internas y cambiar el estado.</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color w:val="12233F"/>
                <w:sz w:val="18"/>
              </w:rPr>
              <w:t>Importaciones</w:t>
            </w:r>
          </w:p>
        </w:tc>
        <w:tc>
          <w:tcPr>
            <w:tcW w:type="dxa" w:w="7560"/>
            <w:tcMar>
              <w:top w:w="80" w:type="dxa"/>
              <w:start w:w="120" w:type="dxa"/>
              <w:bottom w:w="80" w:type="dxa"/>
              <w:end w:w="120" w:type="dxa"/>
            </w:tcMar>
            <w:vAlign w:val="center"/>
          </w:tcPr>
          <w:p>
            <w:pPr>
              <w:spacing w:after="0" w:line="252" w:lineRule="auto"/>
            </w:pPr>
            <w:r>
              <w:rPr>
                <w:rFonts w:ascii="Calibri" w:hAnsi="Calibri"/>
                <w:b w:val="0"/>
                <w:color w:val="12233F"/>
                <w:sz w:val="18"/>
              </w:rPr>
              <w:t>Supervisar Bihr y cargar el catálogo de embarcaciones mediante CSV.</w:t>
            </w:r>
          </w:p>
        </w:tc>
      </w:tr>
    </w:tbl>
    <w:p>
      <w:pPr>
        <w:spacing w:after="40"/>
      </w:pPr>
    </w:p>
    <w:p>
      <w:pPr>
        <w:pStyle w:val="Heading2"/>
        <w:keepNext/>
      </w:pPr>
      <w:r>
        <w:t>5.3 Gestión del catálogo</w:t>
      </w:r>
    </w:p>
    <w:p>
      <w:r>
        <w:rPr>
          <w:rFonts w:ascii="Calibri" w:hAnsi="Calibri"/>
          <w:color w:val="12233F"/>
        </w:rPr>
        <w:t>La pantalla inicial muestra las referencias en páginas de 24. Se puede buscar por referencia o descripción, filtrar por tipo de vehículo y alternar entre activas y archivadas.</w:t>
      </w:r>
    </w:p>
    <w:p>
      <w:pPr>
        <w:pStyle w:val="Heading3"/>
        <w:keepNext/>
      </w:pPr>
      <w:r>
        <w:t>Añadir una pieza manual</w:t>
      </w:r>
    </w:p>
    <w:p>
      <w:pPr>
        <w:numPr>
          <w:ilvl w:val="0"/>
          <w:numId w:val="17"/>
        </w:numPr>
      </w:pPr>
      <w:r>
        <w:rPr>
          <w:rFonts w:ascii="Calibri" w:hAnsi="Calibri"/>
          <w:color w:val="12233F"/>
        </w:rPr>
        <w:t>Pulsar Añadir pieza.</w:t>
      </w:r>
    </w:p>
    <w:p>
      <w:pPr>
        <w:numPr>
          <w:ilvl w:val="0"/>
          <w:numId w:val="17"/>
        </w:numPr>
      </w:pPr>
      <w:r>
        <w:rPr>
          <w:rFonts w:ascii="Calibri" w:hAnsi="Calibri"/>
          <w:color w:val="12233F"/>
        </w:rPr>
        <w:t>Completar referencia y descripción, ambos obligatorios.</w:t>
      </w:r>
    </w:p>
    <w:p>
      <w:pPr>
        <w:numPr>
          <w:ilvl w:val="0"/>
          <w:numId w:val="17"/>
        </w:numPr>
      </w:pPr>
      <w:r>
        <w:rPr>
          <w:rFonts w:ascii="Calibri" w:hAnsi="Calibri"/>
          <w:color w:val="12233F"/>
        </w:rPr>
        <w:t>Elegir tipo de vehículo, categoría y subcategoría.</w:t>
      </w:r>
    </w:p>
    <w:p>
      <w:pPr>
        <w:numPr>
          <w:ilvl w:val="0"/>
          <w:numId w:val="17"/>
        </w:numPr>
      </w:pPr>
      <w:r>
        <w:rPr>
          <w:rFonts w:ascii="Calibri" w:hAnsi="Calibri"/>
          <w:color w:val="12233F"/>
        </w:rPr>
        <w:t>Introducir precio y, si corresponde, descuento.</w:t>
      </w:r>
    </w:p>
    <w:p>
      <w:pPr>
        <w:numPr>
          <w:ilvl w:val="0"/>
          <w:numId w:val="17"/>
        </w:numPr>
      </w:pPr>
      <w:r>
        <w:rPr>
          <w:rFonts w:ascii="Calibri" w:hAnsi="Calibri"/>
          <w:color w:val="12233F"/>
        </w:rPr>
        <w:t>Añadir una URL de imagen http o https; la vista previa permite comprobarla.</w:t>
      </w:r>
    </w:p>
    <w:p>
      <w:pPr>
        <w:numPr>
          <w:ilvl w:val="0"/>
          <w:numId w:val="17"/>
        </w:numPr>
      </w:pPr>
      <w:r>
        <w:rPr>
          <w:rFonts w:ascii="Calibri" w:hAnsi="Calibri"/>
          <w:color w:val="12233F"/>
        </w:rPr>
        <w:t>Guardar cambios. La referencia normalizada se utiliza como identificador del producto.</w:t>
      </w:r>
    </w:p>
    <w:p>
      <w:pPr>
        <w:pStyle w:val="Heading3"/>
        <w:keepNext/>
      </w:pPr>
      <w:r>
        <w:t>Editar, archivar, restaurar o borrar</w:t>
      </w:r>
    </w:p>
    <w:p>
      <w:pPr>
        <w:numPr>
          <w:ilvl w:val="0"/>
          <w:numId w:val="10"/>
        </w:numPr>
      </w:pPr>
      <w:r>
        <w:rPr>
          <w:rFonts w:ascii="Calibri" w:hAnsi="Calibri"/>
          <w:color w:val="12233F"/>
        </w:rPr>
        <w:t>Editar: disponible para referencias manuales. Las piezas procedentes de Bihr no se editan manualmente porque la siguiente sincronización reemplazaría sus datos.</w:t>
      </w:r>
    </w:p>
    <w:p>
      <w:pPr>
        <w:numPr>
          <w:ilvl w:val="0"/>
          <w:numId w:val="10"/>
        </w:numPr>
      </w:pPr>
      <w:r>
        <w:rPr>
          <w:rFonts w:ascii="Calibri" w:hAnsi="Calibri"/>
          <w:color w:val="12233F"/>
        </w:rPr>
        <w:t>Archivar: oculta el producto del catálogo público sin borrarlo. Es la opción recomendada para una baja temporal o reversible.</w:t>
      </w:r>
    </w:p>
    <w:p>
      <w:pPr>
        <w:numPr>
          <w:ilvl w:val="0"/>
          <w:numId w:val="10"/>
        </w:numPr>
      </w:pPr>
      <w:r>
        <w:rPr>
          <w:rFonts w:ascii="Calibri" w:hAnsi="Calibri"/>
          <w:color w:val="12233F"/>
        </w:rPr>
        <w:t>Restaurar: devuelve una referencia archivada al catálogo público.</w:t>
      </w:r>
    </w:p>
    <w:p>
      <w:pPr>
        <w:numPr>
          <w:ilvl w:val="0"/>
          <w:numId w:val="10"/>
        </w:numPr>
      </w:pPr>
      <w:r>
        <w:rPr>
          <w:rFonts w:ascii="Calibri" w:hAnsi="Calibri"/>
          <w:color w:val="12233F"/>
        </w:rPr>
        <w:t>Borrar definitivamente: elimina el documento del catálogo tras una confirmación. Es irreversible desde el panel.</w:t>
      </w:r>
    </w:p>
    <w:p>
      <w:pPr>
        <w:pStyle w:val="Callout"/>
        <w:shd w:val="clear" w:fill="FFF2E6"/>
        <w:pBdr>
          <w:left w:val="single" w:sz="18" w:space="8" w:color="F28C28"/>
        </w:pBdr>
      </w:pPr>
      <w:r>
        <w:rPr>
          <w:rFonts w:ascii="Calibri" w:hAnsi="Calibri"/>
          <w:b/>
          <w:color w:val="F28C28"/>
          <w:sz w:val="18"/>
        </w:rPr>
        <w:t xml:space="preserve">CRITERIO OPERATIVO  </w:t>
      </w:r>
      <w:r>
        <w:rPr>
          <w:rFonts w:ascii="Calibri" w:hAnsi="Calibri"/>
          <w:color w:val="12233F"/>
          <w:sz w:val="21"/>
        </w:rPr>
        <w:t>Usa Archivar por defecto. Reserva Borrar definitivamente para duplicados, pruebas o datos que realmente no deban conservarse.</w:t>
      </w:r>
    </w:p>
    <w:p>
      <w:pPr>
        <w:spacing w:before="0" w:after="40" w:line="120" w:lineRule="auto"/>
      </w:pPr>
    </w:p>
    <w:p>
      <w:pPr>
        <w:pStyle w:val="Heading2"/>
        <w:keepNext/>
      </w:pPr>
      <w:r>
        <w:t>5.4 Gestión de pedidos y citas</w:t>
      </w:r>
    </w:p>
    <w:p>
      <w:r>
        <w:rPr>
          <w:rFonts w:ascii="Calibri" w:hAnsi="Calibri"/>
          <w:color w:val="12233F"/>
        </w:rPr>
        <w:t>La sección Pedidos recibe actualizaciones en tiempo real y separa Repuestos de Citas. Cada pestaña muestra el número de registros cargados y ordena los más recientes primero.</w:t>
      </w:r>
    </w:p>
    <w:tbl>
      <w:tblPr>
        <w:tblStyle w:val="TableGrid"/>
        <w:tblW w:type="dxa" w:w="9360"/>
        <w:tblLayout w:type="fixed"/>
        <w:tblLook w:firstColumn="1" w:firstRow="1" w:lastColumn="0" w:lastRow="0" w:noHBand="0" w:noVBand="1" w:val="04A0"/>
        <w:jc w:val="left"/>
        <w:tblInd w:w="120" w:type="dxa"/>
      </w:tblPr>
      <w:tblGrid>
        <w:gridCol w:w="1900"/>
        <w:gridCol w:w="3730"/>
        <w:gridCol w:w="3730"/>
      </w:tblGrid>
      <w:tr>
        <w:trPr>
          <w:tblHeader w:val="true"/>
          <w:cantSplit/>
        </w:trPr>
        <w:tc>
          <w:tcPr>
            <w:tcW w:type="dxa" w:w="1900"/>
            <w:tcMar>
              <w:top w:w="80" w:type="dxa"/>
              <w:start w:w="120" w:type="dxa"/>
              <w:bottom w:w="80" w:type="dxa"/>
              <w:end w:w="120" w:type="dxa"/>
            </w:tcMar>
            <w:vAlign w:val="center"/>
            <w:shd w:fill="2E74B5" w:val="clear"/>
          </w:tcPr>
          <w:p>
            <w:pPr>
              <w:spacing w:after="0" w:line="252" w:lineRule="auto"/>
            </w:pPr>
            <w:r>
              <w:rPr>
                <w:rFonts w:ascii="Calibri" w:hAnsi="Calibri"/>
                <w:b/>
                <w:color w:val="12233F"/>
                <w:sz w:val="18"/>
              </w:rPr>
              <w:t>Dato visible</w:t>
            </w:r>
          </w:p>
        </w:tc>
        <w:tc>
          <w:tcPr>
            <w:tcW w:type="dxa" w:w="3730"/>
            <w:tcMar>
              <w:top w:w="80" w:type="dxa"/>
              <w:start w:w="120" w:type="dxa"/>
              <w:bottom w:w="80" w:type="dxa"/>
              <w:end w:w="120" w:type="dxa"/>
            </w:tcMar>
            <w:vAlign w:val="center"/>
            <w:shd w:fill="2E74B5" w:val="clear"/>
          </w:tcPr>
          <w:p>
            <w:pPr>
              <w:spacing w:after="0" w:line="252" w:lineRule="auto"/>
            </w:pPr>
            <w:r>
              <w:rPr>
                <w:rFonts w:ascii="Calibri" w:hAnsi="Calibri"/>
                <w:b/>
                <w:color w:val="12233F"/>
                <w:sz w:val="18"/>
              </w:rPr>
              <w:t>Repuestos</w:t>
            </w:r>
          </w:p>
        </w:tc>
        <w:tc>
          <w:tcPr>
            <w:tcW w:type="dxa" w:w="3730"/>
            <w:tcMar>
              <w:top w:w="80" w:type="dxa"/>
              <w:start w:w="120" w:type="dxa"/>
              <w:bottom w:w="80" w:type="dxa"/>
              <w:end w:w="120" w:type="dxa"/>
            </w:tcMar>
            <w:vAlign w:val="center"/>
            <w:shd w:fill="2E74B5" w:val="clear"/>
          </w:tcPr>
          <w:p>
            <w:pPr>
              <w:spacing w:after="0" w:line="252" w:lineRule="auto"/>
            </w:pPr>
            <w:r>
              <w:rPr>
                <w:rFonts w:ascii="Calibri" w:hAnsi="Calibri"/>
                <w:b/>
                <w:color w:val="12233F"/>
                <w:sz w:val="18"/>
              </w:rPr>
              <w:t>Citas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Cabecera</w:t>
            </w:r>
          </w:p>
        </w:tc>
        <w:tc>
          <w:tcPr>
            <w:tcW w:type="dxa" w:w="3730"/>
            <w:tcMar>
              <w:top w:w="80" w:type="dxa"/>
              <w:start w:w="120" w:type="dxa"/>
              <w:bottom w:w="80" w:type="dxa"/>
              <w:end w:w="120" w:type="dxa"/>
            </w:tcMar>
            <w:vAlign w:val="center"/>
          </w:tcPr>
          <w:p>
            <w:pPr>
              <w:spacing w:after="0" w:line="252" w:lineRule="auto"/>
            </w:pPr>
            <w:r>
              <w:rPr>
                <w:rFonts w:ascii="Calibri" w:hAnsi="Calibri"/>
                <w:b w:val="0"/>
                <w:color w:val="12233F"/>
                <w:sz w:val="18"/>
              </w:rPr>
              <w:t>Nombre, fecha y número de referencias</w:t>
            </w:r>
          </w:p>
        </w:tc>
        <w:tc>
          <w:tcPr>
            <w:tcW w:type="dxa" w:w="3730"/>
            <w:tcMar>
              <w:top w:w="80" w:type="dxa"/>
              <w:start w:w="120" w:type="dxa"/>
              <w:bottom w:w="80" w:type="dxa"/>
              <w:end w:w="120" w:type="dxa"/>
            </w:tcMar>
            <w:vAlign w:val="center"/>
          </w:tcPr>
          <w:p>
            <w:pPr>
              <w:spacing w:after="0" w:line="252" w:lineRule="auto"/>
            </w:pPr>
            <w:r>
              <w:rPr>
                <w:rFonts w:ascii="Calibri" w:hAnsi="Calibri"/>
                <w:b w:val="0"/>
                <w:color w:val="12233F"/>
                <w:sz w:val="18"/>
              </w:rPr>
              <w:t>Nombre, fecha y tipo de necesidad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Detalle</w:t>
            </w:r>
          </w:p>
        </w:tc>
        <w:tc>
          <w:tcPr>
            <w:tcW w:type="dxa" w:w="3730"/>
            <w:tcMar>
              <w:top w:w="80" w:type="dxa"/>
              <w:start w:w="120" w:type="dxa"/>
              <w:bottom w:w="80" w:type="dxa"/>
              <w:end w:w="120" w:type="dxa"/>
            </w:tcMar>
            <w:vAlign w:val="center"/>
          </w:tcPr>
          <w:p>
            <w:pPr>
              <w:spacing w:after="0" w:line="252" w:lineRule="auto"/>
            </w:pPr>
            <w:r>
              <w:rPr>
                <w:rFonts w:ascii="Calibri" w:hAnsi="Calibri"/>
                <w:b w:val="0"/>
                <w:color w:val="12233F"/>
                <w:sz w:val="18"/>
              </w:rPr>
              <w:t>Teléfono, vehículo y lista de piezas</w:t>
            </w:r>
          </w:p>
        </w:tc>
        <w:tc>
          <w:tcPr>
            <w:tcW w:type="dxa" w:w="3730"/>
            <w:tcMar>
              <w:top w:w="80" w:type="dxa"/>
              <w:start w:w="120" w:type="dxa"/>
              <w:bottom w:w="80" w:type="dxa"/>
              <w:end w:w="120" w:type="dxa"/>
            </w:tcMar>
            <w:vAlign w:val="center"/>
          </w:tcPr>
          <w:p>
            <w:pPr>
              <w:spacing w:after="0" w:line="252" w:lineRule="auto"/>
            </w:pPr>
            <w:r>
              <w:rPr>
                <w:rFonts w:ascii="Calibri" w:hAnsi="Calibri"/>
                <w:b w:val="0"/>
                <w:color w:val="12233F"/>
                <w:sz w:val="18"/>
              </w:rPr>
              <w:t>Teléfono, necesidad y texto libre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Seguimiento</w:t>
            </w:r>
          </w:p>
        </w:tc>
        <w:tc>
          <w:tcPr>
            <w:tcW w:type="dxa" w:w="3730"/>
            <w:tcMar>
              <w:top w:w="80" w:type="dxa"/>
              <w:start w:w="120" w:type="dxa"/>
              <w:bottom w:w="80" w:type="dxa"/>
              <w:end w:w="120" w:type="dxa"/>
            </w:tcMar>
            <w:vAlign w:val="center"/>
          </w:tcPr>
          <w:p>
            <w:pPr>
              <w:spacing w:after="0" w:line="252" w:lineRule="auto"/>
            </w:pPr>
            <w:r>
              <w:rPr>
                <w:rFonts w:ascii="Calibri" w:hAnsi="Calibri"/>
                <w:b w:val="0"/>
                <w:color w:val="12233F"/>
                <w:sz w:val="18"/>
              </w:rPr>
              <w:t>Notas internas y estado</w:t>
            </w:r>
          </w:p>
        </w:tc>
        <w:tc>
          <w:tcPr>
            <w:tcW w:type="dxa" w:w="3730"/>
            <w:tcMar>
              <w:top w:w="80" w:type="dxa"/>
              <w:start w:w="120" w:type="dxa"/>
              <w:bottom w:w="80" w:type="dxa"/>
              <w:end w:w="120" w:type="dxa"/>
            </w:tcMar>
            <w:vAlign w:val="center"/>
          </w:tcPr>
          <w:p>
            <w:pPr>
              <w:spacing w:after="0" w:line="252" w:lineRule="auto"/>
            </w:pPr>
            <w:r>
              <w:rPr>
                <w:rFonts w:ascii="Calibri" w:hAnsi="Calibri"/>
                <w:b w:val="0"/>
                <w:color w:val="12233F"/>
                <w:sz w:val="18"/>
              </w:rPr>
              <w:t>Notas internas y estado</w:t>
            </w:r>
          </w:p>
        </w:tc>
      </w:tr>
    </w:tbl>
    <w:p>
      <w:pPr>
        <w:spacing w:after="40"/>
      </w:pPr>
    </w:p>
    <w:p>
      <w:pPr>
        <w:pStyle w:val="Heading3"/>
        <w:keepNext/>
      </w:pPr>
      <w:r>
        <w:t>Estados disponibles</w:t>
      </w:r>
    </w:p>
    <w:tbl>
      <w:tblPr>
        <w:tblStyle w:val="TableGrid"/>
        <w:tblW w:type="dxa" w:w="9360"/>
        <w:tblLayout w:type="fixed"/>
        <w:tblLook w:firstColumn="1" w:firstRow="1" w:lastColumn="0" w:lastRow="0" w:noHBand="0" w:noVBand="1" w:val="04A0"/>
        <w:jc w:val="left"/>
        <w:tblInd w:w="120" w:type="dxa"/>
      </w:tblPr>
      <w:tblGrid>
        <w:gridCol w:w="1700"/>
        <w:gridCol w:w="1900"/>
        <w:gridCol w:w="5760"/>
      </w:tblGrid>
      <w:tr>
        <w:trPr>
          <w:tblHeader w:val="true"/>
          <w:cantSplit/>
        </w:trPr>
        <w:tc>
          <w:tcPr>
            <w:tcW w:type="dxa" w:w="17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Estado técnico</w:t>
            </w:r>
          </w:p>
        </w:tc>
        <w:tc>
          <w:tcPr>
            <w:tcW w:type="dxa" w:w="19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Etiqueta operativa</w:t>
            </w:r>
          </w:p>
        </w:tc>
        <w:tc>
          <w:tcPr>
            <w:tcW w:type="dxa" w:w="576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Uso recomendado</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color w:val="12233F"/>
                <w:sz w:val="18"/>
              </w:rPr>
              <w:t>new</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12233F"/>
                <w:sz w:val="18"/>
              </w:rPr>
              <w:t>Nueva</w:t>
            </w:r>
          </w:p>
        </w:tc>
        <w:tc>
          <w:tcPr>
            <w:tcW w:type="dxa" w:w="5760"/>
            <w:tcMar>
              <w:top w:w="80" w:type="dxa"/>
              <w:start w:w="120" w:type="dxa"/>
              <w:bottom w:w="80" w:type="dxa"/>
              <w:end w:w="120" w:type="dxa"/>
            </w:tcMar>
            <w:vAlign w:val="center"/>
          </w:tcPr>
          <w:p>
            <w:pPr>
              <w:spacing w:after="0" w:line="252" w:lineRule="auto"/>
            </w:pPr>
            <w:r>
              <w:rPr>
                <w:rFonts w:ascii="Calibri" w:hAnsi="Calibri"/>
                <w:b w:val="0"/>
                <w:color w:val="12233F"/>
                <w:sz w:val="18"/>
              </w:rPr>
              <w:t>Todavía no se ha iniciado la atención.</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color w:val="12233F"/>
                <w:sz w:val="18"/>
              </w:rPr>
              <w:t>in_progress</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12233F"/>
                <w:sz w:val="18"/>
              </w:rPr>
              <w:t>En curso</w:t>
            </w:r>
          </w:p>
        </w:tc>
        <w:tc>
          <w:tcPr>
            <w:tcW w:type="dxa" w:w="5760"/>
            <w:tcMar>
              <w:top w:w="80" w:type="dxa"/>
              <w:start w:w="120" w:type="dxa"/>
              <w:bottom w:w="80" w:type="dxa"/>
              <w:end w:w="120" w:type="dxa"/>
            </w:tcMar>
            <w:vAlign w:val="center"/>
          </w:tcPr>
          <w:p>
            <w:pPr>
              <w:spacing w:after="0" w:line="252" w:lineRule="auto"/>
            </w:pPr>
            <w:r>
              <w:rPr>
                <w:rFonts w:ascii="Calibri" w:hAnsi="Calibri"/>
                <w:b w:val="0"/>
                <w:color w:val="12233F"/>
                <w:sz w:val="18"/>
              </w:rPr>
              <w:t>Se ha contactado o se está preparando una respuesta/presupuesto.</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color w:val="12233F"/>
                <w:sz w:val="18"/>
              </w:rPr>
              <w:t>completed</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12233F"/>
                <w:sz w:val="18"/>
              </w:rPr>
              <w:t>Completada</w:t>
            </w:r>
          </w:p>
        </w:tc>
        <w:tc>
          <w:tcPr>
            <w:tcW w:type="dxa" w:w="5760"/>
            <w:tcMar>
              <w:top w:w="80" w:type="dxa"/>
              <w:start w:w="120" w:type="dxa"/>
              <w:bottom w:w="80" w:type="dxa"/>
              <w:end w:w="120" w:type="dxa"/>
            </w:tcMar>
            <w:vAlign w:val="center"/>
          </w:tcPr>
          <w:p>
            <w:pPr>
              <w:spacing w:after="0" w:line="252" w:lineRule="auto"/>
            </w:pPr>
            <w:r>
              <w:rPr>
                <w:rFonts w:ascii="Calibri" w:hAnsi="Calibri"/>
                <w:b w:val="0"/>
                <w:color w:val="12233F"/>
                <w:sz w:val="18"/>
              </w:rPr>
              <w:t>La solicitud se ha resuelto o cerrado satisfactoriamente.</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color w:val="12233F"/>
                <w:sz w:val="18"/>
              </w:rPr>
              <w:t>cancelled</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12233F"/>
                <w:sz w:val="18"/>
              </w:rPr>
              <w:t>Cancelada</w:t>
            </w:r>
          </w:p>
        </w:tc>
        <w:tc>
          <w:tcPr>
            <w:tcW w:type="dxa" w:w="5760"/>
            <w:tcMar>
              <w:top w:w="80" w:type="dxa"/>
              <w:start w:w="120" w:type="dxa"/>
              <w:bottom w:w="80" w:type="dxa"/>
              <w:end w:w="120" w:type="dxa"/>
            </w:tcMar>
            <w:vAlign w:val="center"/>
          </w:tcPr>
          <w:p>
            <w:pPr>
              <w:spacing w:after="0" w:line="252" w:lineRule="auto"/>
            </w:pPr>
            <w:r>
              <w:rPr>
                <w:rFonts w:ascii="Calibri" w:hAnsi="Calibri"/>
                <w:b w:val="0"/>
                <w:color w:val="12233F"/>
                <w:sz w:val="18"/>
              </w:rPr>
              <w:t>El cliente desiste, la solicitud no procede o se descarta.</w:t>
            </w:r>
          </w:p>
        </w:tc>
      </w:tr>
    </w:tbl>
    <w:p>
      <w:pPr>
        <w:spacing w:after="40"/>
      </w:pPr>
    </w:p>
    <w:p>
      <w:r>
        <w:rPr>
          <w:rFonts w:ascii="Calibri" w:hAnsi="Calibri"/>
          <w:color w:val="12233F"/>
        </w:rPr>
        <w:t>Las notas son privadas y admiten hasta 5.000 caracteres. Los clientes no pueden verlas. Las solicitudes no se pueden eliminar desde la web ni desde las reglas del panel; se conservan como historial operativo.</w:t>
      </w:r>
    </w:p>
    <w:p>
      <w:pPr>
        <w:pStyle w:val="Heading2"/>
        <w:keepNext/>
      </w:pPr>
      <w:r>
        <w:t>5.5 Importaciones: catálogo Bihr de motos</w:t>
      </w:r>
    </w:p>
    <w:p>
      <w:r>
        <w:rPr>
          <w:rFonts w:ascii="Calibri" w:hAnsi="Calibri"/>
          <w:color w:val="12233F"/>
        </w:rPr>
        <w:t>La integración descarga el catálogo EssentialHardPart de eBihr v2.1. La tarea automática se ejecuta cada lunes a las 05:30, hora de Madrid. El panel muestra la última ejecución, estado, piezas procesadas, nuevas, modificadas, sin cambios, archivadas y el progreso de las escrituras.</w:t>
      </w:r>
    </w:p>
    <w:p>
      <w:pPr>
        <w:numPr>
          <w:ilvl w:val="0"/>
          <w:numId w:val="10"/>
        </w:numPr>
      </w:pPr>
      <w:r>
        <w:rPr>
          <w:rFonts w:ascii="Calibri" w:hAnsi="Calibri"/>
          <w:color w:val="12233F"/>
        </w:rPr>
        <w:t>Las credenciales Bihr permanecen en el servidor y nunca se envían al navegador.</w:t>
      </w:r>
    </w:p>
    <w:p>
      <w:pPr>
        <w:numPr>
          <w:ilvl w:val="0"/>
          <w:numId w:val="10"/>
        </w:numPr>
      </w:pPr>
      <w:r>
        <w:rPr>
          <w:rFonts w:ascii="Calibri" w:hAnsi="Calibri"/>
          <w:color w:val="12233F"/>
        </w:rPr>
        <w:t>La sincronización compara hashes para escribir solo altas y cambios; una repetición idéntica no reescribe productos.</w:t>
      </w:r>
    </w:p>
    <w:p>
      <w:pPr>
        <w:numPr>
          <w:ilvl w:val="0"/>
          <w:numId w:val="10"/>
        </w:numPr>
      </w:pPr>
      <w:r>
        <w:rPr>
          <w:rFonts w:ascii="Calibri" w:hAnsi="Calibri"/>
          <w:color w:val="12233F"/>
        </w:rPr>
        <w:t>Las imágenes se sirven desde el CDN de Bihr; no se copian a Firebase Storage.</w:t>
      </w:r>
    </w:p>
    <w:p>
      <w:pPr>
        <w:numPr>
          <w:ilvl w:val="0"/>
          <w:numId w:val="10"/>
        </w:numPr>
      </w:pPr>
      <w:r>
        <w:rPr>
          <w:rFonts w:ascii="Calibri" w:hAnsi="Calibri"/>
          <w:color w:val="12233F"/>
        </w:rPr>
        <w:t>Las referencias ausentes se archivan, pero el sistema bloquea el archivado ante catálogos anómalos: menos de 1.000 filas, filas inválidas o desaparición superior al 20 %.</w:t>
      </w:r>
    </w:p>
    <w:p>
      <w:pPr>
        <w:numPr>
          <w:ilvl w:val="0"/>
          <w:numId w:val="10"/>
        </w:numPr>
      </w:pPr>
      <w:r>
        <w:rPr>
          <w:rFonts w:ascii="Calibri" w:hAnsi="Calibri"/>
          <w:color w:val="12233F"/>
        </w:rPr>
        <w:t>Un bloqueo de sincronización interrumpida se libera después de 35 minutos y el trabajo anterior se marca como fallido.</w:t>
      </w:r>
    </w:p>
    <w:p>
      <w:pPr>
        <w:pStyle w:val="Small"/>
      </w:pPr>
      <w:r>
        <w:rPr>
          <w:rFonts w:ascii="Calibri" w:hAnsi="Calibri"/>
          <w:color w:val="12233F"/>
        </w:rPr>
        <w:t>El backend incluye una función para sincronización manual y para forzar una importación completa. En la interfaz revisada, la tarjeta de Bihr muestra el estado pero no presenta esos botones; por tanto, la operación normal del propietario es supervisar la tarea automática.</w:t>
      </w:r>
    </w:p>
    <w:p>
      <w:pPr>
        <w:pStyle w:val="Heading2"/>
        <w:keepNext/>
      </w:pPr>
      <w:r>
        <w:t>5.6 Importaciones: catálogo de barco por CSV</w:t>
      </w:r>
    </w:p>
    <w:p>
      <w:r>
        <w:rPr>
          <w:rFonts w:ascii="Calibri" w:hAnsi="Calibri"/>
          <w:color w:val="12233F"/>
        </w:rPr>
        <w:t>La carga de embarcaciones es manual. El panel ofrece un archivo de muestra con la estructura exacta y acepta archivos CSV de hasta 25 MB.</w:t>
      </w:r>
    </w:p>
    <w:tbl>
      <w:tblPr>
        <w:tblStyle w:val="TableGrid"/>
        <w:tblW w:type="dxa" w:w="9360"/>
        <w:tblLayout w:type="fixed"/>
        <w:tblLook w:firstColumn="1" w:firstRow="1" w:lastColumn="0" w:lastRow="0" w:noHBand="0" w:noVBand="1" w:val="04A0"/>
        <w:jc w:val="left"/>
        <w:tblInd w:w="120" w:type="dxa"/>
      </w:tblPr>
      <w:tblGrid>
        <w:gridCol w:w="2000"/>
        <w:gridCol w:w="1400"/>
        <w:gridCol w:w="5960"/>
      </w:tblGrid>
      <w:tr>
        <w:trPr>
          <w:tblHeader w:val="true"/>
          <w:cantSplit/>
        </w:trPr>
        <w:tc>
          <w:tcPr>
            <w:tcW w:type="dxa" w:w="20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Columna</w:t>
            </w:r>
          </w:p>
        </w:tc>
        <w:tc>
          <w:tcPr>
            <w:tcW w:type="dxa" w:w="14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Obligatoria</w:t>
            </w:r>
          </w:p>
        </w:tc>
        <w:tc>
          <w:tcPr>
            <w:tcW w:type="dxa" w:w="596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Regla</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b/>
                <w:color w:val="12233F"/>
                <w:sz w:val="18"/>
              </w:rPr>
              <w:t>Referencia</w:t>
            </w:r>
          </w:p>
        </w:tc>
        <w:tc>
          <w:tcPr>
            <w:tcW w:type="dxa" w:w="1400"/>
            <w:tcMar>
              <w:top w:w="80" w:type="dxa"/>
              <w:start w:w="120" w:type="dxa"/>
              <w:bottom w:w="80" w:type="dxa"/>
              <w:end w:w="120" w:type="dxa"/>
            </w:tcMar>
            <w:vAlign w:val="center"/>
          </w:tcPr>
          <w:p>
            <w:pPr>
              <w:spacing w:after="0" w:line="252" w:lineRule="auto"/>
            </w:pPr>
            <w:r>
              <w:rPr>
                <w:rFonts w:ascii="Calibri" w:hAnsi="Calibri"/>
                <w:b w:val="0"/>
                <w:color w:val="12233F"/>
                <w:sz w:val="18"/>
              </w:rPr>
              <w:t>Sí</w:t>
            </w:r>
          </w:p>
        </w:tc>
        <w:tc>
          <w:tcPr>
            <w:tcW w:type="dxa" w:w="5960"/>
            <w:tcMar>
              <w:top w:w="80" w:type="dxa"/>
              <w:start w:w="120" w:type="dxa"/>
              <w:bottom w:w="80" w:type="dxa"/>
              <w:end w:w="120" w:type="dxa"/>
            </w:tcMar>
            <w:vAlign w:val="center"/>
          </w:tcPr>
          <w:p>
            <w:pPr>
              <w:spacing w:after="0" w:line="252" w:lineRule="auto"/>
            </w:pPr>
            <w:r>
              <w:rPr>
                <w:rFonts w:ascii="Calibri" w:hAnsi="Calibri"/>
                <w:b w:val="0"/>
                <w:color w:val="12233F"/>
                <w:sz w:val="18"/>
              </w:rPr>
              <w:t>Identificador único; conserva ceros iniciales.</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b/>
                <w:color w:val="12233F"/>
                <w:sz w:val="18"/>
              </w:rPr>
              <w:t>Descripción</w:t>
            </w:r>
          </w:p>
        </w:tc>
        <w:tc>
          <w:tcPr>
            <w:tcW w:type="dxa" w:w="1400"/>
            <w:tcMar>
              <w:top w:w="80" w:type="dxa"/>
              <w:start w:w="120" w:type="dxa"/>
              <w:bottom w:w="80" w:type="dxa"/>
              <w:end w:w="120" w:type="dxa"/>
            </w:tcMar>
            <w:vAlign w:val="center"/>
          </w:tcPr>
          <w:p>
            <w:pPr>
              <w:spacing w:after="0" w:line="252" w:lineRule="auto"/>
            </w:pPr>
            <w:r>
              <w:rPr>
                <w:rFonts w:ascii="Calibri" w:hAnsi="Calibri"/>
                <w:b w:val="0"/>
                <w:color w:val="12233F"/>
                <w:sz w:val="18"/>
              </w:rPr>
              <w:t>No</w:t>
            </w:r>
          </w:p>
        </w:tc>
        <w:tc>
          <w:tcPr>
            <w:tcW w:type="dxa" w:w="5960"/>
            <w:tcMar>
              <w:top w:w="80" w:type="dxa"/>
              <w:start w:w="120" w:type="dxa"/>
              <w:bottom w:w="80" w:type="dxa"/>
              <w:end w:w="120" w:type="dxa"/>
            </w:tcMar>
            <w:vAlign w:val="center"/>
          </w:tcPr>
          <w:p>
            <w:pPr>
              <w:spacing w:after="0" w:line="252" w:lineRule="auto"/>
            </w:pPr>
            <w:r>
              <w:rPr>
                <w:rFonts w:ascii="Calibri" w:hAnsi="Calibri"/>
                <w:b w:val="0"/>
                <w:color w:val="12233F"/>
                <w:sz w:val="18"/>
              </w:rPr>
              <w:t>Si falta, se usa la propia referencia.</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b/>
                <w:color w:val="12233F"/>
                <w:sz w:val="18"/>
              </w:rPr>
              <w:t>Precio</w:t>
            </w:r>
          </w:p>
        </w:tc>
        <w:tc>
          <w:tcPr>
            <w:tcW w:type="dxa" w:w="1400"/>
            <w:tcMar>
              <w:top w:w="80" w:type="dxa"/>
              <w:start w:w="120" w:type="dxa"/>
              <w:bottom w:w="80" w:type="dxa"/>
              <w:end w:w="120" w:type="dxa"/>
            </w:tcMar>
            <w:vAlign w:val="center"/>
          </w:tcPr>
          <w:p>
            <w:pPr>
              <w:spacing w:after="0" w:line="252" w:lineRule="auto"/>
            </w:pPr>
            <w:r>
              <w:rPr>
                <w:rFonts w:ascii="Calibri" w:hAnsi="Calibri"/>
                <w:b w:val="0"/>
                <w:color w:val="12233F"/>
                <w:sz w:val="18"/>
              </w:rPr>
              <w:t>No</w:t>
            </w:r>
          </w:p>
        </w:tc>
        <w:tc>
          <w:tcPr>
            <w:tcW w:type="dxa" w:w="5960"/>
            <w:tcMar>
              <w:top w:w="80" w:type="dxa"/>
              <w:start w:w="120" w:type="dxa"/>
              <w:bottom w:w="80" w:type="dxa"/>
              <w:end w:w="120" w:type="dxa"/>
            </w:tcMar>
            <w:vAlign w:val="center"/>
          </w:tcPr>
          <w:p>
            <w:pPr>
              <w:spacing w:after="0" w:line="252" w:lineRule="auto"/>
            </w:pPr>
            <w:r>
              <w:rPr>
                <w:rFonts w:ascii="Calibri" w:hAnsi="Calibri"/>
                <w:b w:val="0"/>
                <w:color w:val="12233F"/>
                <w:sz w:val="18"/>
              </w:rPr>
              <w:t>Se interpreta en formato numérico; por defecto 0.</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b/>
                <w:color w:val="12233F"/>
                <w:sz w:val="18"/>
              </w:rPr>
              <w:t>Descuento</w:t>
            </w:r>
          </w:p>
        </w:tc>
        <w:tc>
          <w:tcPr>
            <w:tcW w:type="dxa" w:w="1400"/>
            <w:tcMar>
              <w:top w:w="80" w:type="dxa"/>
              <w:start w:w="120" w:type="dxa"/>
              <w:bottom w:w="80" w:type="dxa"/>
              <w:end w:w="120" w:type="dxa"/>
            </w:tcMar>
            <w:vAlign w:val="center"/>
          </w:tcPr>
          <w:p>
            <w:pPr>
              <w:spacing w:after="0" w:line="252" w:lineRule="auto"/>
            </w:pPr>
            <w:r>
              <w:rPr>
                <w:rFonts w:ascii="Calibri" w:hAnsi="Calibri"/>
                <w:b w:val="0"/>
                <w:color w:val="12233F"/>
                <w:sz w:val="18"/>
              </w:rPr>
              <w:t>No</w:t>
            </w:r>
          </w:p>
        </w:tc>
        <w:tc>
          <w:tcPr>
            <w:tcW w:type="dxa" w:w="5960"/>
            <w:tcMar>
              <w:top w:w="80" w:type="dxa"/>
              <w:start w:w="120" w:type="dxa"/>
              <w:bottom w:w="80" w:type="dxa"/>
              <w:end w:w="120" w:type="dxa"/>
            </w:tcMar>
            <w:vAlign w:val="center"/>
          </w:tcPr>
          <w:p>
            <w:pPr>
              <w:spacing w:after="0" w:line="252" w:lineRule="auto"/>
            </w:pPr>
            <w:r>
              <w:rPr>
                <w:rFonts w:ascii="Calibri" w:hAnsi="Calibri"/>
                <w:b w:val="0"/>
                <w:color w:val="12233F"/>
                <w:sz w:val="18"/>
              </w:rPr>
              <w:t>Valor entre 0 y 100; por defecto 0.</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b/>
                <w:color w:val="12233F"/>
                <w:sz w:val="18"/>
              </w:rPr>
              <w:t>Categoría</w:t>
            </w:r>
          </w:p>
        </w:tc>
        <w:tc>
          <w:tcPr>
            <w:tcW w:type="dxa" w:w="1400"/>
            <w:tcMar>
              <w:top w:w="80" w:type="dxa"/>
              <w:start w:w="120" w:type="dxa"/>
              <w:bottom w:w="80" w:type="dxa"/>
              <w:end w:w="120" w:type="dxa"/>
            </w:tcMar>
            <w:vAlign w:val="center"/>
          </w:tcPr>
          <w:p>
            <w:pPr>
              <w:spacing w:after="0" w:line="252" w:lineRule="auto"/>
            </w:pPr>
            <w:r>
              <w:rPr>
                <w:rFonts w:ascii="Calibri" w:hAnsi="Calibri"/>
                <w:b w:val="0"/>
                <w:color w:val="12233F"/>
                <w:sz w:val="18"/>
              </w:rPr>
              <w:t>No</w:t>
            </w:r>
          </w:p>
        </w:tc>
        <w:tc>
          <w:tcPr>
            <w:tcW w:type="dxa" w:w="5960"/>
            <w:tcMar>
              <w:top w:w="80" w:type="dxa"/>
              <w:start w:w="120" w:type="dxa"/>
              <w:bottom w:w="80" w:type="dxa"/>
              <w:end w:w="120" w:type="dxa"/>
            </w:tcMar>
            <w:vAlign w:val="center"/>
          </w:tcPr>
          <w:p>
            <w:pPr>
              <w:spacing w:after="0" w:line="252" w:lineRule="auto"/>
            </w:pPr>
            <w:r>
              <w:rPr>
                <w:rFonts w:ascii="Calibri" w:hAnsi="Calibri"/>
                <w:b w:val="0"/>
                <w:color w:val="12233F"/>
                <w:sz w:val="18"/>
              </w:rPr>
              <w:t>Se crea automáticamente si no existe.</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b/>
                <w:color w:val="12233F"/>
                <w:sz w:val="18"/>
              </w:rPr>
              <w:t>Subcategoría</w:t>
            </w:r>
          </w:p>
        </w:tc>
        <w:tc>
          <w:tcPr>
            <w:tcW w:type="dxa" w:w="1400"/>
            <w:tcMar>
              <w:top w:w="80" w:type="dxa"/>
              <w:start w:w="120" w:type="dxa"/>
              <w:bottom w:w="80" w:type="dxa"/>
              <w:end w:w="120" w:type="dxa"/>
            </w:tcMar>
            <w:vAlign w:val="center"/>
          </w:tcPr>
          <w:p>
            <w:pPr>
              <w:spacing w:after="0" w:line="252" w:lineRule="auto"/>
            </w:pPr>
            <w:r>
              <w:rPr>
                <w:rFonts w:ascii="Calibri" w:hAnsi="Calibri"/>
                <w:b w:val="0"/>
                <w:color w:val="12233F"/>
                <w:sz w:val="18"/>
              </w:rPr>
              <w:t>No</w:t>
            </w:r>
          </w:p>
        </w:tc>
        <w:tc>
          <w:tcPr>
            <w:tcW w:type="dxa" w:w="5960"/>
            <w:tcMar>
              <w:top w:w="80" w:type="dxa"/>
              <w:start w:w="120" w:type="dxa"/>
              <w:bottom w:w="80" w:type="dxa"/>
              <w:end w:w="120" w:type="dxa"/>
            </w:tcMar>
            <w:vAlign w:val="center"/>
          </w:tcPr>
          <w:p>
            <w:pPr>
              <w:spacing w:after="0" w:line="252" w:lineRule="auto"/>
            </w:pPr>
            <w:r>
              <w:rPr>
                <w:rFonts w:ascii="Calibri" w:hAnsi="Calibri"/>
                <w:b w:val="0"/>
                <w:color w:val="12233F"/>
                <w:sz w:val="18"/>
              </w:rPr>
              <w:t>Se crea automáticamente bajo la categoría.</w:t>
            </w:r>
          </w:p>
        </w:tc>
      </w:tr>
    </w:tbl>
    <w:p>
      <w:pPr>
        <w:spacing w:after="40"/>
      </w:pPr>
    </w:p>
    <w:p>
      <w:pPr>
        <w:numPr>
          <w:ilvl w:val="0"/>
          <w:numId w:val="18"/>
        </w:numPr>
      </w:pPr>
      <w:r>
        <w:rPr>
          <w:rFonts w:ascii="Calibri" w:hAnsi="Calibri"/>
          <w:color w:val="12233F"/>
        </w:rPr>
        <w:t>Descargar el CSV de muestra desde el panel.</w:t>
      </w:r>
    </w:p>
    <w:p>
      <w:pPr>
        <w:numPr>
          <w:ilvl w:val="0"/>
          <w:numId w:val="18"/>
        </w:numPr>
      </w:pPr>
      <w:r>
        <w:rPr>
          <w:rFonts w:ascii="Calibri" w:hAnsi="Calibri"/>
          <w:color w:val="12233F"/>
        </w:rPr>
        <w:t>Preparar el archivo respetando exactamente los encabezados.</w:t>
      </w:r>
    </w:p>
    <w:p>
      <w:pPr>
        <w:numPr>
          <w:ilvl w:val="0"/>
          <w:numId w:val="18"/>
        </w:numPr>
      </w:pPr>
      <w:r>
        <w:rPr>
          <w:rFonts w:ascii="Calibri" w:hAnsi="Calibri"/>
          <w:color w:val="12233F"/>
        </w:rPr>
        <w:t>Seleccionar el archivo y pulsar Subir e importar.</w:t>
      </w:r>
    </w:p>
    <w:p>
      <w:pPr>
        <w:numPr>
          <w:ilvl w:val="0"/>
          <w:numId w:val="18"/>
        </w:numPr>
      </w:pPr>
      <w:r>
        <w:rPr>
          <w:rFonts w:ascii="Calibri" w:hAnsi="Calibri"/>
          <w:color w:val="12233F"/>
        </w:rPr>
        <w:t>Esperar a que la subida llegue al 100 %. El procesamiento continúa en segundo plano.</w:t>
      </w:r>
    </w:p>
    <w:p>
      <w:pPr>
        <w:numPr>
          <w:ilvl w:val="0"/>
          <w:numId w:val="18"/>
        </w:numPr>
      </w:pPr>
      <w:r>
        <w:rPr>
          <w:rFonts w:ascii="Calibri" w:hAnsi="Calibri"/>
          <w:color w:val="12233F"/>
        </w:rPr>
        <w:t>Revisar el historial: procesadas, nuevas, actualizadas y rechazadas.</w:t>
      </w:r>
    </w:p>
    <w:p>
      <w:pPr>
        <w:pStyle w:val="Callout"/>
        <w:shd w:val="clear" w:fill="FFF2E6"/>
        <w:pBdr>
          <w:left w:val="single" w:sz="18" w:space="8" w:color="F28C28"/>
        </w:pBdr>
      </w:pPr>
      <w:r>
        <w:rPr>
          <w:rFonts w:ascii="Calibri" w:hAnsi="Calibri"/>
          <w:b/>
          <w:color w:val="F28C28"/>
          <w:sz w:val="18"/>
        </w:rPr>
        <w:t xml:space="preserve">ANTES DE UNA CARGA GRANDE  </w:t>
      </w:r>
      <w:r>
        <w:rPr>
          <w:rFonts w:ascii="Calibri" w:hAnsi="Calibri"/>
          <w:color w:val="12233F"/>
          <w:sz w:val="21"/>
        </w:rPr>
        <w:t>Guarda una copia del CSV original, revisa varias referencias y realiza primero una prueba pequeña. La importación actualiza por referencia y puede modificar productos ya existentes.</w:t>
      </w:r>
    </w:p>
    <w:p>
      <w:pPr>
        <w:spacing w:before="0" w:after="40" w:line="120" w:lineRule="auto"/>
      </w:pPr>
    </w:p>
    <w:p>
      <w:pPr>
        <w:pStyle w:val="Heading1"/>
        <w:keepNext/>
        <w:pageBreakBefore/>
      </w:pPr>
      <w:r>
        <w:t>6. Datos, automatizaciones e integraciones</w:t>
      </w:r>
    </w:p>
    <w:p>
      <w:pPr>
        <w:jc w:val="center"/>
      </w:pPr>
      <w:r>
        <w:drawing>
          <wp:inline xmlns:a="http://schemas.openxmlformats.org/drawingml/2006/main" xmlns:pic="http://schemas.openxmlformats.org/drawingml/2006/picture">
            <wp:extent cx="5897880" cy="3014472"/>
            <wp:docPr id="3" name="Picture 3" descr="Arquitectura funcional de Victiker: cliente, aplicación web, Firebase, servicios externos y propietario" title="Arquitectura funcional de Victiker: cliente, aplicación web, Firebase, servicios externos y propietario"/>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014472"/>
                    </a:xfrm>
                    <a:prstGeom prst="rect"/>
                  </pic:spPr>
                </pic:pic>
              </a:graphicData>
            </a:graphic>
          </wp:inline>
        </w:drawing>
      </w:r>
    </w:p>
    <w:p>
      <w:pPr>
        <w:pStyle w:val="Small"/>
        <w:jc w:val="center"/>
      </w:pPr>
      <w:r>
        <w:rPr>
          <w:rFonts w:ascii="Calibri" w:hAnsi="Calibri"/>
          <w:color w:val="12233F"/>
        </w:rPr>
        <w:t>Figura 2. Relación entre la web pública, el backend y el panel del propietario.</w:t>
      </w:r>
    </w:p>
    <w:p>
      <w:pPr>
        <w:pStyle w:val="Heading2"/>
        <w:keepNext/>
      </w:pPr>
      <w:r>
        <w:t>6.1 Componentes principales</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Componente</w:t>
            </w:r>
          </w:p>
        </w:tc>
        <w:tc>
          <w:tcPr>
            <w:tcW w:type="dxa" w:w="726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Responsabilidad</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React + Vite</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12233F"/>
                <w:sz w:val="18"/>
              </w:rPr>
              <w:t>Interfaz pública y panel de administración.</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Firebase Authentication</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12233F"/>
                <w:sz w:val="18"/>
              </w:rPr>
              <w:t>Inicio y cierre de sesión del administrador.</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Cloud Firestore</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12233F"/>
                <w:sz w:val="18"/>
              </w:rPr>
              <w:t>Catálogo, taxonomías, solicitudes, roles y estados de importación.</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Firebase Storage</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12233F"/>
                <w:sz w:val="18"/>
              </w:rPr>
              <w:t>Recepción temporal de CSV y manifest de sincronización Bihr.</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Cloud Functions</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12233F"/>
                <w:sz w:val="18"/>
              </w:rPr>
              <w:t>Procesamiento de CSV, sincronización Bihr y tarea programada.</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Worker de servidor</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12233F"/>
                <w:sz w:val="18"/>
              </w:rPr>
              <w:t>Entrega de la SPA y endpoint /api/requests para notificaciones.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Resend</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12233F"/>
                <w:sz w:val="18"/>
              </w:rPr>
              <w:t>Envío de correos internos de nuevas solicitudes.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eBihr v2.1</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12233F"/>
                <w:sz w:val="18"/>
              </w:rPr>
              <w:t>Fuente del catálogo de repuestos de moto.</w:t>
            </w:r>
          </w:p>
        </w:tc>
      </w:tr>
    </w:tbl>
    <w:p>
      <w:pPr>
        <w:spacing w:after="40"/>
      </w:pPr>
    </w:p>
    <w:p>
      <w:pPr>
        <w:pStyle w:val="Heading2"/>
        <w:keepNext/>
      </w:pPr>
      <w:r>
        <w:t>6.2 Colecciones de datos</w:t>
      </w:r>
    </w:p>
    <w:tbl>
      <w:tblPr>
        <w:tblStyle w:val="TableGrid"/>
        <w:tblW w:type="dxa" w:w="9360"/>
        <w:tblLayout w:type="fixed"/>
        <w:tblLook w:firstColumn="1" w:firstRow="1" w:lastColumn="0" w:lastRow="0" w:noHBand="0" w:noVBand="1" w:val="04A0"/>
        <w:jc w:val="left"/>
        <w:tblInd w:w="120" w:type="dxa"/>
      </w:tblPr>
      <w:tblGrid>
        <w:gridCol w:w="1750"/>
        <w:gridCol w:w="4300"/>
        <w:gridCol w:w="3310"/>
      </w:tblGrid>
      <w:tr>
        <w:trPr>
          <w:tblHeader w:val="true"/>
          <w:cantSplit/>
        </w:trPr>
        <w:tc>
          <w:tcPr>
            <w:tcW w:type="dxa" w:w="175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Colección</w:t>
            </w:r>
          </w:p>
        </w:tc>
        <w:tc>
          <w:tcPr>
            <w:tcW w:type="dxa" w:w="43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Contenido</w:t>
            </w:r>
          </w:p>
        </w:tc>
        <w:tc>
          <w:tcPr>
            <w:tcW w:type="dxa" w:w="331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Acceso</w:t>
            </w:r>
          </w:p>
        </w:tc>
      </w:tr>
      <w:tr>
        <w:trPr>
          <w:cantSplit/>
        </w:trPr>
        <w:tc>
          <w:tcPr>
            <w:tcW w:type="dxa" w:w="1750"/>
            <w:tcMar>
              <w:top w:w="80" w:type="dxa"/>
              <w:start w:w="120" w:type="dxa"/>
              <w:bottom w:w="80" w:type="dxa"/>
              <w:end w:w="120" w:type="dxa"/>
            </w:tcMar>
            <w:vAlign w:val="center"/>
          </w:tcPr>
          <w:p>
            <w:pPr>
              <w:spacing w:after="0" w:line="252" w:lineRule="auto"/>
            </w:pPr>
            <w:r>
              <w:rPr>
                <w:rFonts w:ascii="Calibri" w:hAnsi="Calibri"/>
                <w:b/>
                <w:color w:val="12233F"/>
                <w:sz w:val="18"/>
              </w:rPr>
              <w:t>catalog</w:t>
            </w:r>
          </w:p>
        </w:tc>
        <w:tc>
          <w:tcPr>
            <w:tcW w:type="dxa" w:w="4300"/>
            <w:tcMar>
              <w:top w:w="80" w:type="dxa"/>
              <w:start w:w="120" w:type="dxa"/>
              <w:bottom w:w="80" w:type="dxa"/>
              <w:end w:w="120" w:type="dxa"/>
            </w:tcMar>
            <w:vAlign w:val="center"/>
          </w:tcPr>
          <w:p>
            <w:pPr>
              <w:spacing w:after="0" w:line="252" w:lineRule="auto"/>
            </w:pPr>
            <w:r>
              <w:rPr>
                <w:rFonts w:ascii="Calibri" w:hAnsi="Calibri"/>
                <w:b w:val="0"/>
                <w:color w:val="12233F"/>
                <w:sz w:val="18"/>
              </w:rPr>
              <w:t>Productos manuales y Bihr, precios, categorías, estado e imagen.</w:t>
            </w:r>
          </w:p>
        </w:tc>
        <w:tc>
          <w:tcPr>
            <w:tcW w:type="dxa" w:w="3310"/>
            <w:tcMar>
              <w:top w:w="80" w:type="dxa"/>
              <w:start w:w="120" w:type="dxa"/>
              <w:bottom w:w="80" w:type="dxa"/>
              <w:end w:w="120" w:type="dxa"/>
            </w:tcMar>
            <w:vAlign w:val="center"/>
          </w:tcPr>
          <w:p>
            <w:pPr>
              <w:spacing w:after="0" w:line="252" w:lineRule="auto"/>
            </w:pPr>
            <w:r>
              <w:rPr>
                <w:rFonts w:ascii="Calibri" w:hAnsi="Calibri"/>
                <w:b w:val="0"/>
                <w:color w:val="12233F"/>
                <w:sz w:val="18"/>
              </w:rPr>
              <w:t>Lectura pública solo de activos; escritura admin.</w:t>
            </w:r>
          </w:p>
        </w:tc>
      </w:tr>
      <w:tr>
        <w:trPr>
          <w:cantSplit/>
        </w:trPr>
        <w:tc>
          <w:tcPr>
            <w:tcW w:type="dxa" w:w="1750"/>
            <w:tcMar>
              <w:top w:w="80" w:type="dxa"/>
              <w:start w:w="120" w:type="dxa"/>
              <w:bottom w:w="80" w:type="dxa"/>
              <w:end w:w="120" w:type="dxa"/>
            </w:tcMar>
            <w:vAlign w:val="center"/>
          </w:tcPr>
          <w:p>
            <w:pPr>
              <w:spacing w:after="0" w:line="252" w:lineRule="auto"/>
            </w:pPr>
            <w:r>
              <w:rPr>
                <w:rFonts w:ascii="Calibri" w:hAnsi="Calibri"/>
                <w:b/>
                <w:color w:val="12233F"/>
                <w:sz w:val="18"/>
              </w:rPr>
              <w:t>taxonomies</w:t>
            </w:r>
          </w:p>
        </w:tc>
        <w:tc>
          <w:tcPr>
            <w:tcW w:type="dxa" w:w="4300"/>
            <w:tcMar>
              <w:top w:w="80" w:type="dxa"/>
              <w:start w:w="120" w:type="dxa"/>
              <w:bottom w:w="80" w:type="dxa"/>
              <w:end w:w="120" w:type="dxa"/>
            </w:tcMar>
            <w:vAlign w:val="center"/>
          </w:tcPr>
          <w:p>
            <w:pPr>
              <w:spacing w:after="0" w:line="252" w:lineRule="auto"/>
            </w:pPr>
            <w:r>
              <w:rPr>
                <w:rFonts w:ascii="Calibri" w:hAnsi="Calibri"/>
                <w:b w:val="0"/>
                <w:color w:val="12233F"/>
                <w:sz w:val="18"/>
              </w:rPr>
              <w:t>Categorías y subcategorías.</w:t>
            </w:r>
          </w:p>
        </w:tc>
        <w:tc>
          <w:tcPr>
            <w:tcW w:type="dxa" w:w="3310"/>
            <w:tcMar>
              <w:top w:w="80" w:type="dxa"/>
              <w:start w:w="120" w:type="dxa"/>
              <w:bottom w:w="80" w:type="dxa"/>
              <w:end w:w="120" w:type="dxa"/>
            </w:tcMar>
            <w:vAlign w:val="center"/>
          </w:tcPr>
          <w:p>
            <w:pPr>
              <w:spacing w:after="0" w:line="252" w:lineRule="auto"/>
            </w:pPr>
            <w:r>
              <w:rPr>
                <w:rFonts w:ascii="Calibri" w:hAnsi="Calibri"/>
                <w:b w:val="0"/>
                <w:color w:val="12233F"/>
                <w:sz w:val="18"/>
              </w:rPr>
              <w:t>Lectura pública; escritura admin.</w:t>
            </w:r>
          </w:p>
        </w:tc>
      </w:tr>
      <w:tr>
        <w:trPr>
          <w:cantSplit/>
        </w:trPr>
        <w:tc>
          <w:tcPr>
            <w:tcW w:type="dxa" w:w="1750"/>
            <w:tcMar>
              <w:top w:w="80" w:type="dxa"/>
              <w:start w:w="120" w:type="dxa"/>
              <w:bottom w:w="80" w:type="dxa"/>
              <w:end w:w="120" w:type="dxa"/>
            </w:tcMar>
            <w:vAlign w:val="center"/>
          </w:tcPr>
          <w:p>
            <w:pPr>
              <w:spacing w:after="0" w:line="252" w:lineRule="auto"/>
            </w:pPr>
            <w:r>
              <w:rPr>
                <w:rFonts w:ascii="Calibri" w:hAnsi="Calibri"/>
                <w:b/>
                <w:color w:val="12233F"/>
                <w:sz w:val="18"/>
              </w:rPr>
              <w:t>requests</w:t>
            </w:r>
          </w:p>
        </w:tc>
        <w:tc>
          <w:tcPr>
            <w:tcW w:type="dxa" w:w="4300"/>
            <w:tcMar>
              <w:top w:w="80" w:type="dxa"/>
              <w:start w:w="120" w:type="dxa"/>
              <w:bottom w:w="80" w:type="dxa"/>
              <w:end w:w="120" w:type="dxa"/>
            </w:tcMar>
            <w:vAlign w:val="center"/>
          </w:tcPr>
          <w:p>
            <w:pPr>
              <w:spacing w:after="0" w:line="252" w:lineRule="auto"/>
            </w:pPr>
            <w:r>
              <w:rPr>
                <w:rFonts w:ascii="Calibri" w:hAnsi="Calibri"/>
                <w:b w:val="0"/>
                <w:color w:val="12233F"/>
                <w:sz w:val="18"/>
              </w:rPr>
              <w:t>Citas y repuestos, datos de contacto, notas y estado.</w:t>
            </w:r>
          </w:p>
        </w:tc>
        <w:tc>
          <w:tcPr>
            <w:tcW w:type="dxa" w:w="3310"/>
            <w:tcMar>
              <w:top w:w="80" w:type="dxa"/>
              <w:start w:w="120" w:type="dxa"/>
              <w:bottom w:w="80" w:type="dxa"/>
              <w:end w:w="120" w:type="dxa"/>
            </w:tcMar>
            <w:vAlign w:val="center"/>
          </w:tcPr>
          <w:p>
            <w:pPr>
              <w:spacing w:after="0" w:line="252" w:lineRule="auto"/>
            </w:pPr>
            <w:r>
              <w:rPr>
                <w:rFonts w:ascii="Calibri" w:hAnsi="Calibri"/>
                <w:b w:val="0"/>
                <w:color w:val="12233F"/>
                <w:sz w:val="18"/>
              </w:rPr>
              <w:t>Alta pública validada; lectura/seguimiento admin.</w:t>
            </w:r>
          </w:p>
        </w:tc>
      </w:tr>
      <w:tr>
        <w:trPr>
          <w:cantSplit/>
        </w:trPr>
        <w:tc>
          <w:tcPr>
            <w:tcW w:type="dxa" w:w="1750"/>
            <w:tcMar>
              <w:top w:w="80" w:type="dxa"/>
              <w:start w:w="120" w:type="dxa"/>
              <w:bottom w:w="80" w:type="dxa"/>
              <w:end w:w="120" w:type="dxa"/>
            </w:tcMar>
            <w:vAlign w:val="center"/>
          </w:tcPr>
          <w:p>
            <w:pPr>
              <w:spacing w:after="0" w:line="252" w:lineRule="auto"/>
            </w:pPr>
            <w:r>
              <w:rPr>
                <w:rFonts w:ascii="Calibri" w:hAnsi="Calibri"/>
                <w:b/>
                <w:color w:val="12233F"/>
                <w:sz w:val="18"/>
              </w:rPr>
              <w:t>admins</w:t>
            </w:r>
          </w:p>
        </w:tc>
        <w:tc>
          <w:tcPr>
            <w:tcW w:type="dxa" w:w="4300"/>
            <w:tcMar>
              <w:top w:w="80" w:type="dxa"/>
              <w:start w:w="120" w:type="dxa"/>
              <w:bottom w:w="80" w:type="dxa"/>
              <w:end w:w="120" w:type="dxa"/>
            </w:tcMar>
            <w:vAlign w:val="center"/>
          </w:tcPr>
          <w:p>
            <w:pPr>
              <w:spacing w:after="0" w:line="252" w:lineRule="auto"/>
            </w:pPr>
            <w:r>
              <w:rPr>
                <w:rFonts w:ascii="Calibri" w:hAnsi="Calibri"/>
                <w:b w:val="0"/>
                <w:color w:val="12233F"/>
                <w:sz w:val="18"/>
              </w:rPr>
              <w:t>Usuarios autorizados y marca active.</w:t>
            </w:r>
          </w:p>
        </w:tc>
        <w:tc>
          <w:tcPr>
            <w:tcW w:type="dxa" w:w="3310"/>
            <w:tcMar>
              <w:top w:w="80" w:type="dxa"/>
              <w:start w:w="120" w:type="dxa"/>
              <w:bottom w:w="80" w:type="dxa"/>
              <w:end w:w="120" w:type="dxa"/>
            </w:tcMar>
            <w:vAlign w:val="center"/>
          </w:tcPr>
          <w:p>
            <w:pPr>
              <w:spacing w:after="0" w:line="252" w:lineRule="auto"/>
            </w:pPr>
            <w:r>
              <w:rPr>
                <w:rFonts w:ascii="Calibri" w:hAnsi="Calibri"/>
                <w:b w:val="0"/>
                <w:color w:val="12233F"/>
                <w:sz w:val="18"/>
              </w:rPr>
              <w:t>Cada usuario lee su rol; altas solo por herramienta técnica.</w:t>
            </w:r>
          </w:p>
        </w:tc>
      </w:tr>
      <w:tr>
        <w:trPr>
          <w:cantSplit/>
        </w:trPr>
        <w:tc>
          <w:tcPr>
            <w:tcW w:type="dxa" w:w="1750"/>
            <w:tcMar>
              <w:top w:w="80" w:type="dxa"/>
              <w:start w:w="120" w:type="dxa"/>
              <w:bottom w:w="80" w:type="dxa"/>
              <w:end w:w="120" w:type="dxa"/>
            </w:tcMar>
            <w:vAlign w:val="center"/>
          </w:tcPr>
          <w:p>
            <w:pPr>
              <w:spacing w:after="0" w:line="252" w:lineRule="auto"/>
            </w:pPr>
            <w:r>
              <w:rPr>
                <w:rFonts w:ascii="Calibri" w:hAnsi="Calibri"/>
                <w:b/>
                <w:color w:val="12233F"/>
                <w:sz w:val="18"/>
              </w:rPr>
              <w:t>importJobs</w:t>
            </w:r>
          </w:p>
        </w:tc>
        <w:tc>
          <w:tcPr>
            <w:tcW w:type="dxa" w:w="4300"/>
            <w:tcMar>
              <w:top w:w="80" w:type="dxa"/>
              <w:start w:w="120" w:type="dxa"/>
              <w:bottom w:w="80" w:type="dxa"/>
              <w:end w:w="120" w:type="dxa"/>
            </w:tcMar>
            <w:vAlign w:val="center"/>
          </w:tcPr>
          <w:p>
            <w:pPr>
              <w:spacing w:after="0" w:line="252" w:lineRule="auto"/>
            </w:pPr>
            <w:r>
              <w:rPr>
                <w:rFonts w:ascii="Calibri" w:hAnsi="Calibri"/>
                <w:b w:val="0"/>
                <w:color w:val="12233F"/>
                <w:sz w:val="18"/>
              </w:rPr>
              <w:t>Trabajos de importación CSV y resultados.</w:t>
            </w:r>
          </w:p>
        </w:tc>
        <w:tc>
          <w:tcPr>
            <w:tcW w:type="dxa" w:w="3310"/>
            <w:tcMar>
              <w:top w:w="80" w:type="dxa"/>
              <w:start w:w="120" w:type="dxa"/>
              <w:bottom w:w="80" w:type="dxa"/>
              <w:end w:w="120" w:type="dxa"/>
            </w:tcMar>
            <w:vAlign w:val="center"/>
          </w:tcPr>
          <w:p>
            <w:pPr>
              <w:spacing w:after="0" w:line="252" w:lineRule="auto"/>
            </w:pPr>
            <w:r>
              <w:rPr>
                <w:rFonts w:ascii="Calibri" w:hAnsi="Calibri"/>
                <w:b w:val="0"/>
                <w:color w:val="12233F"/>
                <w:sz w:val="18"/>
              </w:rPr>
              <w:t>Admin.</w:t>
            </w:r>
          </w:p>
        </w:tc>
      </w:tr>
      <w:tr>
        <w:trPr>
          <w:cantSplit/>
        </w:trPr>
        <w:tc>
          <w:tcPr>
            <w:tcW w:type="dxa" w:w="1750"/>
            <w:tcMar>
              <w:top w:w="80" w:type="dxa"/>
              <w:start w:w="120" w:type="dxa"/>
              <w:bottom w:w="80" w:type="dxa"/>
              <w:end w:w="120" w:type="dxa"/>
            </w:tcMar>
            <w:vAlign w:val="center"/>
          </w:tcPr>
          <w:p>
            <w:pPr>
              <w:spacing w:after="0" w:line="252" w:lineRule="auto"/>
            </w:pPr>
            <w:r>
              <w:rPr>
                <w:rFonts w:ascii="Calibri" w:hAnsi="Calibri"/>
                <w:b/>
                <w:color w:val="12233F"/>
                <w:sz w:val="18"/>
              </w:rPr>
              <w:t>bihrSyncJobs</w:t>
            </w:r>
          </w:p>
        </w:tc>
        <w:tc>
          <w:tcPr>
            <w:tcW w:type="dxa" w:w="4300"/>
            <w:tcMar>
              <w:top w:w="80" w:type="dxa"/>
              <w:start w:w="120" w:type="dxa"/>
              <w:bottom w:w="80" w:type="dxa"/>
              <w:end w:w="120" w:type="dxa"/>
            </w:tcMar>
            <w:vAlign w:val="center"/>
          </w:tcPr>
          <w:p>
            <w:pPr>
              <w:spacing w:after="0" w:line="252" w:lineRule="auto"/>
            </w:pPr>
            <w:r>
              <w:rPr>
                <w:rFonts w:ascii="Calibri" w:hAnsi="Calibri"/>
                <w:b w:val="0"/>
                <w:color w:val="12233F"/>
                <w:sz w:val="18"/>
              </w:rPr>
              <w:t>Historial y progreso de Bihr.</w:t>
            </w:r>
          </w:p>
        </w:tc>
        <w:tc>
          <w:tcPr>
            <w:tcW w:type="dxa" w:w="3310"/>
            <w:tcMar>
              <w:top w:w="80" w:type="dxa"/>
              <w:start w:w="120" w:type="dxa"/>
              <w:bottom w:w="80" w:type="dxa"/>
              <w:end w:w="120" w:type="dxa"/>
            </w:tcMar>
            <w:vAlign w:val="center"/>
          </w:tcPr>
          <w:p>
            <w:pPr>
              <w:spacing w:after="0" w:line="252" w:lineRule="auto"/>
            </w:pPr>
            <w:r>
              <w:rPr>
                <w:rFonts w:ascii="Calibri" w:hAnsi="Calibri"/>
                <w:b w:val="0"/>
                <w:color w:val="12233F"/>
                <w:sz w:val="18"/>
              </w:rPr>
              <w:t>Lectura admin; escritura servidor.</w:t>
            </w:r>
          </w:p>
        </w:tc>
      </w:tr>
      <w:tr>
        <w:trPr>
          <w:cantSplit/>
        </w:trPr>
        <w:tc>
          <w:tcPr>
            <w:tcW w:type="dxa" w:w="1750"/>
            <w:tcMar>
              <w:top w:w="80" w:type="dxa"/>
              <w:start w:w="120" w:type="dxa"/>
              <w:bottom w:w="80" w:type="dxa"/>
              <w:end w:w="120" w:type="dxa"/>
            </w:tcMar>
            <w:vAlign w:val="center"/>
          </w:tcPr>
          <w:p>
            <w:pPr>
              <w:spacing w:after="0" w:line="252" w:lineRule="auto"/>
            </w:pPr>
            <w:r>
              <w:rPr>
                <w:rFonts w:ascii="Calibri" w:hAnsi="Calibri"/>
                <w:b/>
                <w:color w:val="12233F"/>
                <w:sz w:val="18"/>
              </w:rPr>
              <w:t>integrations</w:t>
            </w:r>
          </w:p>
        </w:tc>
        <w:tc>
          <w:tcPr>
            <w:tcW w:type="dxa" w:w="4300"/>
            <w:tcMar>
              <w:top w:w="80" w:type="dxa"/>
              <w:start w:w="120" w:type="dxa"/>
              <w:bottom w:w="80" w:type="dxa"/>
              <w:end w:w="120" w:type="dxa"/>
            </w:tcMar>
            <w:vAlign w:val="center"/>
          </w:tcPr>
          <w:p>
            <w:pPr>
              <w:spacing w:after="0" w:line="252" w:lineRule="auto"/>
            </w:pPr>
            <w:r>
              <w:rPr>
                <w:rFonts w:ascii="Calibri" w:hAnsi="Calibri"/>
                <w:b w:val="0"/>
                <w:color w:val="12233F"/>
                <w:sz w:val="18"/>
              </w:rPr>
              <w:t>Bloqueo y último estado de integraciones.</w:t>
            </w:r>
          </w:p>
        </w:tc>
        <w:tc>
          <w:tcPr>
            <w:tcW w:type="dxa" w:w="3310"/>
            <w:tcMar>
              <w:top w:w="80" w:type="dxa"/>
              <w:start w:w="120" w:type="dxa"/>
              <w:bottom w:w="80" w:type="dxa"/>
              <w:end w:w="120" w:type="dxa"/>
            </w:tcMar>
            <w:vAlign w:val="center"/>
          </w:tcPr>
          <w:p>
            <w:pPr>
              <w:spacing w:after="0" w:line="252" w:lineRule="auto"/>
            </w:pPr>
            <w:r>
              <w:rPr>
                <w:rFonts w:ascii="Calibri" w:hAnsi="Calibri"/>
                <w:b w:val="0"/>
                <w:color w:val="12233F"/>
                <w:sz w:val="18"/>
              </w:rPr>
              <w:t>Lectura admin; escritura servidor.</w:t>
            </w:r>
          </w:p>
        </w:tc>
      </w:tr>
    </w:tbl>
    <w:p>
      <w:pPr>
        <w:spacing w:after="40"/>
      </w:pPr>
    </w:p>
    <w:p>
      <w:pPr>
        <w:pStyle w:val="Heading2"/>
        <w:keepNext/>
      </w:pPr>
      <w:r>
        <w:t>6.3 Modelo de notificación por correo</w:t>
      </w:r>
    </w:p>
    <w:p>
      <w:r>
        <w:rPr>
          <w:rFonts w:ascii="Calibri" w:hAnsi="Calibri"/>
          <w:color w:val="12233F"/>
        </w:rPr>
        <w:t>El correo se genera en HTML y texto plano. Incluye identidad visual de Victiker y está diseñado como aviso interno. No incluye fotografías del catálogo, lo que reduce peso y evita que imágenes externas bloqueen o deformen el mensaje.</w:t>
      </w:r>
    </w:p>
    <w:p>
      <w:pPr>
        <w:numPr>
          <w:ilvl w:val="0"/>
          <w:numId w:val="10"/>
        </w:numPr>
      </w:pPr>
      <w:r>
        <w:rPr>
          <w:rFonts w:ascii="Calibri" w:hAnsi="Calibri"/>
          <w:color w:val="12233F"/>
        </w:rPr>
        <w:t>Cita: nombre, teléfono, necesidad y detalles.</w:t>
      </w:r>
    </w:p>
    <w:p>
      <w:pPr>
        <w:numPr>
          <w:ilvl w:val="0"/>
          <w:numId w:val="10"/>
        </w:numPr>
      </w:pPr>
      <w:r>
        <w:rPr>
          <w:rFonts w:ascii="Calibri" w:hAnsi="Calibri"/>
          <w:color w:val="12233F"/>
        </w:rPr>
        <w:t>Repuestos: solicitante, teléfono, vehículo, número de unidades y detalle de cada referencia.</w:t>
      </w:r>
    </w:p>
    <w:p>
      <w:pPr>
        <w:numPr>
          <w:ilvl w:val="0"/>
          <w:numId w:val="10"/>
        </w:numPr>
      </w:pPr>
      <w:r>
        <w:rPr>
          <w:rFonts w:ascii="Calibri" w:hAnsi="Calibri"/>
          <w:color w:val="12233F"/>
        </w:rPr>
        <w:t>Asuntos: “[Victiker] Nueva solicitud de cita” o “[Victiker] Nueva solicitud de piezas”.</w:t>
      </w:r>
    </w:p>
    <w:p>
      <w:pPr>
        <w:pStyle w:val="Heading2"/>
        <w:keepNext/>
      </w:pPr>
      <w:r>
        <w:t>6.4 Despliegue y rutas</w:t>
      </w:r>
    </w:p>
    <w:p>
      <w:r>
        <w:rPr>
          <w:rFonts w:ascii="Calibri" w:hAnsi="Calibri"/>
          <w:color w:val="12233F"/>
        </w:rPr>
        <w:t>La compilación genera un cliente estático y un worker de servidor. El worker atiende /api/requests y devuelve index.html para las rutas de la aplicación. También existe configuración de compatibilidad con Vercel para la navegación SPA. El alojamiento definitivo debe ejecutar el worker o disponer de un endpoint equivalente; una publicación puramente estática no podría enviar los correos.</w:t>
      </w:r>
    </w:p>
    <w:p>
      <w:pPr>
        <w:pStyle w:val="Heading1"/>
        <w:keepNext/>
        <w:pageBreakBefore/>
      </w:pPr>
      <w:r>
        <w:t>7. Seguridad, permisos y tratamiento de datos</w:t>
      </w:r>
    </w:p>
    <w:p>
      <w:pPr>
        <w:pStyle w:val="Heading2"/>
        <w:keepNext/>
      </w:pPr>
      <w:r>
        <w:t>7.1 Controles implementados</w:t>
      </w:r>
    </w:p>
    <w:p>
      <w:pPr>
        <w:numPr>
          <w:ilvl w:val="0"/>
          <w:numId w:val="10"/>
        </w:numPr>
      </w:pPr>
      <w:r>
        <w:rPr>
          <w:rFonts w:ascii="Calibri" w:hAnsi="Calibri"/>
          <w:color w:val="12233F"/>
        </w:rPr>
        <w:t>Las credenciales de Firebase, Bihr y Resend se gestionan mediante variables de entorno; las claves privadas de Bihr no usan prefijo VITE_ y no llegan al navegador.</w:t>
      </w:r>
    </w:p>
    <w:p>
      <w:pPr>
        <w:numPr>
          <w:ilvl w:val="0"/>
          <w:numId w:val="10"/>
        </w:numPr>
      </w:pPr>
      <w:r>
        <w:rPr>
          <w:rFonts w:ascii="Calibri" w:hAnsi="Calibri"/>
          <w:color w:val="12233F"/>
        </w:rPr>
        <w:t>El panel exige autenticación y un documento de rol activo en admins.</w:t>
      </w:r>
    </w:p>
    <w:p>
      <w:pPr>
        <w:numPr>
          <w:ilvl w:val="0"/>
          <w:numId w:val="10"/>
        </w:numPr>
      </w:pPr>
      <w:r>
        <w:rPr>
          <w:rFonts w:ascii="Calibri" w:hAnsi="Calibri"/>
          <w:color w:val="12233F"/>
        </w:rPr>
        <w:t>Los usuarios públicos solo pueden leer productos activos y crear solicitudes con campos y tamaños limitados.</w:t>
      </w:r>
    </w:p>
    <w:p>
      <w:pPr>
        <w:numPr>
          <w:ilvl w:val="0"/>
          <w:numId w:val="10"/>
        </w:numPr>
      </w:pPr>
      <w:r>
        <w:rPr>
          <w:rFonts w:ascii="Calibri" w:hAnsi="Calibri"/>
          <w:color w:val="12233F"/>
        </w:rPr>
        <w:t>Un administrador solo puede cambiar el estado, las notas y la fecha de actualización de una solicitud.</w:t>
      </w:r>
    </w:p>
    <w:p>
      <w:pPr>
        <w:numPr>
          <w:ilvl w:val="0"/>
          <w:numId w:val="10"/>
        </w:numPr>
      </w:pPr>
      <w:r>
        <w:rPr>
          <w:rFonts w:ascii="Calibri" w:hAnsi="Calibri"/>
          <w:color w:val="12233F"/>
        </w:rPr>
        <w:t>Los CSV solo pueden subirlos administradores a su propia ruta, con tipos permitidos y un máximo de 25 MB.</w:t>
      </w:r>
    </w:p>
    <w:p>
      <w:pPr>
        <w:numPr>
          <w:ilvl w:val="0"/>
          <w:numId w:val="10"/>
        </w:numPr>
      </w:pPr>
      <w:r>
        <w:rPr>
          <w:rFonts w:ascii="Calibri" w:hAnsi="Calibri"/>
          <w:color w:val="12233F"/>
        </w:rPr>
        <w:t>Las referencias Bihr no admiten edición manual de sus datos; el administrador solo puede cambiar su estado. El borrado sigue estando disponible para administradores y debe utilizarse con cautela.</w:t>
      </w:r>
    </w:p>
    <w:p>
      <w:pPr>
        <w:pStyle w:val="Heading2"/>
        <w:keepNext/>
      </w:pPr>
      <w:r>
        <w:t>7.2 Datos personales tratados</w:t>
      </w:r>
    </w:p>
    <w:p>
      <w:r>
        <w:rPr>
          <w:rFonts w:ascii="Calibri" w:hAnsi="Calibri"/>
          <w:color w:val="12233F"/>
        </w:rPr>
        <w:t>Las solicitudes almacenan nombre, teléfono y, según el caso, vehículo, necesidad, detalles y piezas seleccionadas. Son datos necesarios para atender la petición, pero deben gestionarse con criterios de acceso mínimo, conservación definida y respuesta a derechos de privacidad.</w:t>
      </w:r>
    </w:p>
    <w:p>
      <w:pPr>
        <w:pStyle w:val="Callout"/>
        <w:shd w:val="clear" w:fill="FFF2E6"/>
        <w:pBdr>
          <w:left w:val="single" w:sz="18" w:space="8" w:color="A33A36"/>
        </w:pBdr>
      </w:pPr>
      <w:r>
        <w:rPr>
          <w:rFonts w:ascii="Calibri" w:hAnsi="Calibri"/>
          <w:b/>
          <w:color w:val="A33A36"/>
          <w:sz w:val="18"/>
        </w:rPr>
        <w:t xml:space="preserve">PENDIENTE LEGAL RECOMENDADO  </w:t>
      </w:r>
      <w:r>
        <w:rPr>
          <w:rFonts w:ascii="Calibri" w:hAnsi="Calibri"/>
          <w:color w:val="12233F"/>
          <w:sz w:val="21"/>
        </w:rPr>
        <w:t>Antes del lanzamiento, incorpora una política de privacidad accesible desde los formularios y el pie de página, define durante cuánto tiempo se conservarán las solicitudes y valida el texto con asesoramiento legal. Este documento describe el funcionamiento técnico y no sustituye asesoramiento jurídico.</w:t>
      </w:r>
    </w:p>
    <w:p>
      <w:pPr>
        <w:spacing w:before="0" w:after="40" w:line="120" w:lineRule="auto"/>
      </w:pPr>
    </w:p>
    <w:p>
      <w:pPr>
        <w:pStyle w:val="Heading2"/>
        <w:keepNext/>
      </w:pPr>
      <w:r>
        <w:t>7.3 Buenas prácticas del propietario</w:t>
      </w:r>
    </w:p>
    <w:p>
      <w:pPr>
        <w:numPr>
          <w:ilvl w:val="0"/>
          <w:numId w:val="10"/>
        </w:numPr>
      </w:pPr>
      <w:r>
        <w:rPr>
          <w:rFonts w:ascii="Calibri" w:hAnsi="Calibri"/>
          <w:color w:val="12233F"/>
        </w:rPr>
        <w:t>Usar contraseñas únicas y activar medidas adicionales de seguridad disponibles en la cuenta.</w:t>
      </w:r>
    </w:p>
    <w:p>
      <w:pPr>
        <w:numPr>
          <w:ilvl w:val="0"/>
          <w:numId w:val="10"/>
        </w:numPr>
      </w:pPr>
      <w:r>
        <w:rPr>
          <w:rFonts w:ascii="Calibri" w:hAnsi="Calibri"/>
          <w:color w:val="12233F"/>
        </w:rPr>
        <w:t>Revisar periódicamente los usuarios con rol administrador y retirar accesos innecesarios.</w:t>
      </w:r>
    </w:p>
    <w:p>
      <w:pPr>
        <w:numPr>
          <w:ilvl w:val="0"/>
          <w:numId w:val="10"/>
        </w:numPr>
      </w:pPr>
      <w:r>
        <w:rPr>
          <w:rFonts w:ascii="Calibri" w:hAnsi="Calibri"/>
          <w:color w:val="12233F"/>
        </w:rPr>
        <w:t>No copiar datos personales a notas externas sin necesidad operativa.</w:t>
      </w:r>
    </w:p>
    <w:p>
      <w:pPr>
        <w:numPr>
          <w:ilvl w:val="0"/>
          <w:numId w:val="10"/>
        </w:numPr>
      </w:pPr>
      <w:r>
        <w:rPr>
          <w:rFonts w:ascii="Calibri" w:hAnsi="Calibri"/>
          <w:color w:val="12233F"/>
        </w:rPr>
        <w:t>Evitar incluir información sensible en las notas internas.</w:t>
      </w:r>
    </w:p>
    <w:p>
      <w:pPr>
        <w:numPr>
          <w:ilvl w:val="0"/>
          <w:numId w:val="10"/>
        </w:numPr>
      </w:pPr>
      <w:r>
        <w:rPr>
          <w:rFonts w:ascii="Calibri" w:hAnsi="Calibri"/>
          <w:color w:val="12233F"/>
        </w:rPr>
        <w:t>Mantener una política de copia de seguridad y retención para Firestore y los CSV de origen.</w:t>
      </w:r>
    </w:p>
    <w:p>
      <w:pPr>
        <w:pStyle w:val="Heading1"/>
        <w:keepNext/>
      </w:pPr>
      <w:r>
        <w:t>8. Configuración del dominio y posicionamiento</w:t>
      </w:r>
    </w:p>
    <w:p>
      <w:r>
        <w:rPr>
          <w:rFonts w:ascii="Calibri" w:hAnsi="Calibri"/>
          <w:color w:val="12233F"/>
        </w:rPr>
        <w:t>El código revisado utiliza actualmente https://victiker.com como dominio canónico. Si el dominio final es distinto, no basta con configurar DNS: deben sustituirse todas las referencias públicas para evitar que buscadores y redes sociales apunten a otra dirección.</w:t>
      </w:r>
    </w:p>
    <w:p>
      <w:pPr>
        <w:pStyle w:val="Heading2"/>
        <w:keepNext/>
      </w:pPr>
      <w:r>
        <w:t>8.1 Lugares que deben actualizarse</w:t>
      </w:r>
    </w:p>
    <w:tbl>
      <w:tblPr>
        <w:tblStyle w:val="TableGrid"/>
        <w:tblW w:type="dxa" w:w="9360"/>
        <w:tblLayout w:type="fixed"/>
        <w:tblLook w:firstColumn="1" w:firstRow="1" w:lastColumn="0" w:lastRow="0" w:noHBand="0" w:noVBand="1" w:val="04A0"/>
        <w:jc w:val="left"/>
        <w:tblInd w:w="120" w:type="dxa"/>
      </w:tblPr>
      <w:tblGrid>
        <w:gridCol w:w="2100"/>
        <w:gridCol w:w="3250"/>
        <w:gridCol w:w="4010"/>
      </w:tblGrid>
      <w:tr>
        <w:trPr>
          <w:tblHeader w:val="true"/>
          <w:cantSplit/>
        </w:trPr>
        <w:tc>
          <w:tcPr>
            <w:tcW w:type="dxa" w:w="21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Área</w:t>
            </w:r>
          </w:p>
        </w:tc>
        <w:tc>
          <w:tcPr>
            <w:tcW w:type="dxa" w:w="325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Valor actual</w:t>
            </w:r>
          </w:p>
        </w:tc>
        <w:tc>
          <w:tcPr>
            <w:tcW w:type="dxa" w:w="401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Acción</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Metadatos dinámicos</w:t>
            </w:r>
          </w:p>
        </w:tc>
        <w:tc>
          <w:tcPr>
            <w:tcW w:type="dxa" w:w="3250"/>
            <w:tcMar>
              <w:top w:w="80" w:type="dxa"/>
              <w:start w:w="120" w:type="dxa"/>
              <w:bottom w:w="80" w:type="dxa"/>
              <w:end w:w="120" w:type="dxa"/>
            </w:tcMar>
            <w:vAlign w:val="center"/>
          </w:tcPr>
          <w:p>
            <w:pPr>
              <w:spacing w:after="0" w:line="252" w:lineRule="auto"/>
            </w:pPr>
            <w:r>
              <w:rPr>
                <w:rFonts w:ascii="Calibri" w:hAnsi="Calibri"/>
                <w:b w:val="0"/>
                <w:color w:val="12233F"/>
                <w:sz w:val="18"/>
              </w:rPr>
              <w:t>https://victiker.com</w:t>
            </w:r>
          </w:p>
        </w:tc>
        <w:tc>
          <w:tcPr>
            <w:tcW w:type="dxa" w:w="4010"/>
            <w:tcMar>
              <w:top w:w="80" w:type="dxa"/>
              <w:start w:w="120" w:type="dxa"/>
              <w:bottom w:w="80" w:type="dxa"/>
              <w:end w:w="120" w:type="dxa"/>
            </w:tcMar>
            <w:vAlign w:val="center"/>
          </w:tcPr>
          <w:p>
            <w:pPr>
              <w:spacing w:after="0" w:line="252" w:lineRule="auto"/>
            </w:pPr>
            <w:r>
              <w:rPr>
                <w:rFonts w:ascii="Calibri" w:hAnsi="Calibri"/>
                <w:b w:val="0"/>
                <w:color w:val="12233F"/>
                <w:sz w:val="18"/>
              </w:rPr>
              <w:t>Cambiar URL canónica y URLs sociales por ruta.</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index.html</w:t>
            </w:r>
          </w:p>
        </w:tc>
        <w:tc>
          <w:tcPr>
            <w:tcW w:type="dxa" w:w="3250"/>
            <w:tcMar>
              <w:top w:w="80" w:type="dxa"/>
              <w:start w:w="120" w:type="dxa"/>
              <w:bottom w:w="80" w:type="dxa"/>
              <w:end w:w="120" w:type="dxa"/>
            </w:tcMar>
            <w:vAlign w:val="center"/>
          </w:tcPr>
          <w:p>
            <w:pPr>
              <w:spacing w:after="0" w:line="252" w:lineRule="auto"/>
            </w:pPr>
            <w:r>
              <w:rPr>
                <w:rFonts w:ascii="Calibri" w:hAnsi="Calibri"/>
                <w:b w:val="0"/>
                <w:color w:val="12233F"/>
                <w:sz w:val="18"/>
              </w:rPr>
              <w:t>Dominio, @id, URL e imagen de LocalBusiness</w:t>
            </w:r>
          </w:p>
        </w:tc>
        <w:tc>
          <w:tcPr>
            <w:tcW w:type="dxa" w:w="4010"/>
            <w:tcMar>
              <w:top w:w="80" w:type="dxa"/>
              <w:start w:w="120" w:type="dxa"/>
              <w:bottom w:w="80" w:type="dxa"/>
              <w:end w:w="120" w:type="dxa"/>
            </w:tcMar>
            <w:vAlign w:val="center"/>
          </w:tcPr>
          <w:p>
            <w:pPr>
              <w:spacing w:after="0" w:line="252" w:lineRule="auto"/>
            </w:pPr>
            <w:r>
              <w:rPr>
                <w:rFonts w:ascii="Calibri" w:hAnsi="Calibri"/>
                <w:b w:val="0"/>
                <w:color w:val="12233F"/>
                <w:sz w:val="18"/>
              </w:rPr>
              <w:t>Sustituir por el dominio final.</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sitemap.xml</w:t>
            </w:r>
          </w:p>
        </w:tc>
        <w:tc>
          <w:tcPr>
            <w:tcW w:type="dxa" w:w="3250"/>
            <w:tcMar>
              <w:top w:w="80" w:type="dxa"/>
              <w:start w:w="120" w:type="dxa"/>
              <w:bottom w:w="80" w:type="dxa"/>
              <w:end w:w="120" w:type="dxa"/>
            </w:tcMar>
            <w:vAlign w:val="center"/>
          </w:tcPr>
          <w:p>
            <w:pPr>
              <w:spacing w:after="0" w:line="252" w:lineRule="auto"/>
            </w:pPr>
            <w:r>
              <w:rPr>
                <w:rFonts w:ascii="Calibri" w:hAnsi="Calibri"/>
                <w:b w:val="0"/>
                <w:color w:val="12233F"/>
                <w:sz w:val="18"/>
              </w:rPr>
              <w:t>Cinco URLs victiker.com</w:t>
            </w:r>
          </w:p>
        </w:tc>
        <w:tc>
          <w:tcPr>
            <w:tcW w:type="dxa" w:w="4010"/>
            <w:tcMar>
              <w:top w:w="80" w:type="dxa"/>
              <w:start w:w="120" w:type="dxa"/>
              <w:bottom w:w="80" w:type="dxa"/>
              <w:end w:w="120" w:type="dxa"/>
            </w:tcMar>
            <w:vAlign w:val="center"/>
          </w:tcPr>
          <w:p>
            <w:pPr>
              <w:spacing w:after="0" w:line="252" w:lineRule="auto"/>
            </w:pPr>
            <w:r>
              <w:rPr>
                <w:rFonts w:ascii="Calibri" w:hAnsi="Calibri"/>
                <w:b w:val="0"/>
                <w:color w:val="12233F"/>
                <w:sz w:val="18"/>
              </w:rPr>
              <w:t>Regenerar con el dominio definitivo.</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robots.txt</w:t>
            </w:r>
          </w:p>
        </w:tc>
        <w:tc>
          <w:tcPr>
            <w:tcW w:type="dxa" w:w="3250"/>
            <w:tcMar>
              <w:top w:w="80" w:type="dxa"/>
              <w:start w:w="120" w:type="dxa"/>
              <w:bottom w:w="80" w:type="dxa"/>
              <w:end w:w="120" w:type="dxa"/>
            </w:tcMar>
            <w:vAlign w:val="center"/>
          </w:tcPr>
          <w:p>
            <w:pPr>
              <w:spacing w:after="0" w:line="252" w:lineRule="auto"/>
            </w:pPr>
            <w:r>
              <w:rPr>
                <w:rFonts w:ascii="Calibri" w:hAnsi="Calibri"/>
                <w:b w:val="0"/>
                <w:color w:val="12233F"/>
                <w:sz w:val="18"/>
              </w:rPr>
              <w:t>Sitemap en victiker.com</w:t>
            </w:r>
          </w:p>
        </w:tc>
        <w:tc>
          <w:tcPr>
            <w:tcW w:type="dxa" w:w="4010"/>
            <w:tcMar>
              <w:top w:w="80" w:type="dxa"/>
              <w:start w:w="120" w:type="dxa"/>
              <w:bottom w:w="80" w:type="dxa"/>
              <w:end w:w="120" w:type="dxa"/>
            </w:tcMar>
            <w:vAlign w:val="center"/>
          </w:tcPr>
          <w:p>
            <w:pPr>
              <w:spacing w:after="0" w:line="252" w:lineRule="auto"/>
            </w:pPr>
            <w:r>
              <w:rPr>
                <w:rFonts w:ascii="Calibri" w:hAnsi="Calibri"/>
                <w:b w:val="0"/>
                <w:color w:val="12233F"/>
                <w:sz w:val="18"/>
              </w:rPr>
              <w:t>Apuntar al sitemap definitivo.</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Imagen social</w:t>
            </w:r>
          </w:p>
        </w:tc>
        <w:tc>
          <w:tcPr>
            <w:tcW w:type="dxa" w:w="3250"/>
            <w:tcMar>
              <w:top w:w="80" w:type="dxa"/>
              <w:start w:w="120" w:type="dxa"/>
              <w:bottom w:w="80" w:type="dxa"/>
              <w:end w:w="120" w:type="dxa"/>
            </w:tcMar>
            <w:vAlign w:val="center"/>
          </w:tcPr>
          <w:p>
            <w:pPr>
              <w:spacing w:after="0" w:line="252" w:lineRule="auto"/>
            </w:pPr>
            <w:r>
              <w:rPr>
                <w:rFonts w:ascii="Calibri" w:hAnsi="Calibri"/>
                <w:b w:val="0"/>
                <w:color w:val="12233F"/>
                <w:sz w:val="18"/>
              </w:rPr>
              <w:t>https://victiker.com/assets/victiker-hero.png</w:t>
            </w:r>
          </w:p>
        </w:tc>
        <w:tc>
          <w:tcPr>
            <w:tcW w:type="dxa" w:w="4010"/>
            <w:tcMar>
              <w:top w:w="80" w:type="dxa"/>
              <w:start w:w="120" w:type="dxa"/>
              <w:bottom w:w="80" w:type="dxa"/>
              <w:end w:w="120" w:type="dxa"/>
            </w:tcMar>
            <w:vAlign w:val="center"/>
          </w:tcPr>
          <w:p>
            <w:pPr>
              <w:spacing w:after="0" w:line="252" w:lineRule="auto"/>
            </w:pPr>
            <w:r>
              <w:rPr>
                <w:rFonts w:ascii="Calibri" w:hAnsi="Calibri"/>
                <w:b w:val="0"/>
                <w:color w:val="12233F"/>
                <w:sz w:val="18"/>
              </w:rPr>
              <w:t>Comprobar que existe en el nuevo dominio.</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color w:val="12233F"/>
                <w:sz w:val="18"/>
              </w:rPr>
              <w:t>Proveedor de hosting</w:t>
            </w:r>
          </w:p>
        </w:tc>
        <w:tc>
          <w:tcPr>
            <w:tcW w:type="dxa" w:w="3250"/>
            <w:tcMar>
              <w:top w:w="80" w:type="dxa"/>
              <w:start w:w="120" w:type="dxa"/>
              <w:bottom w:w="80" w:type="dxa"/>
              <w:end w:w="120" w:type="dxa"/>
            </w:tcMar>
            <w:vAlign w:val="center"/>
          </w:tcPr>
          <w:p>
            <w:pPr>
              <w:spacing w:after="0" w:line="252" w:lineRule="auto"/>
            </w:pPr>
            <w:r>
              <w:rPr>
                <w:rFonts w:ascii="Calibri" w:hAnsi="Calibri"/>
                <w:b w:val="0"/>
                <w:color w:val="12233F"/>
                <w:sz w:val="18"/>
              </w:rPr>
              <w:t>Dominio todavía por conectar</w:t>
            </w:r>
          </w:p>
        </w:tc>
        <w:tc>
          <w:tcPr>
            <w:tcW w:type="dxa" w:w="4010"/>
            <w:tcMar>
              <w:top w:w="80" w:type="dxa"/>
              <w:start w:w="120" w:type="dxa"/>
              <w:bottom w:w="80" w:type="dxa"/>
              <w:end w:w="120" w:type="dxa"/>
            </w:tcMar>
            <w:vAlign w:val="center"/>
          </w:tcPr>
          <w:p>
            <w:pPr>
              <w:spacing w:after="0" w:line="252" w:lineRule="auto"/>
            </w:pPr>
            <w:r>
              <w:rPr>
                <w:rFonts w:ascii="Calibri" w:hAnsi="Calibri"/>
                <w:b w:val="0"/>
                <w:color w:val="12233F"/>
                <w:sz w:val="18"/>
              </w:rPr>
              <w:t>Añadir dominio, verificar DNS y forzar HTTPS.</w:t>
            </w:r>
          </w:p>
        </w:tc>
      </w:tr>
    </w:tbl>
    <w:p>
      <w:pPr>
        <w:spacing w:after="40"/>
      </w:pPr>
    </w:p>
    <w:p>
      <w:pPr>
        <w:pStyle w:val="Heading2"/>
        <w:keepNext/>
      </w:pPr>
      <w:r>
        <w:t>8.2 Elementos SEO ya preparados</w:t>
      </w:r>
    </w:p>
    <w:p>
      <w:pPr>
        <w:numPr>
          <w:ilvl w:val="0"/>
          <w:numId w:val="10"/>
        </w:numPr>
      </w:pPr>
      <w:r>
        <w:rPr>
          <w:rFonts w:ascii="Calibri" w:hAnsi="Calibri"/>
          <w:color w:val="12233F"/>
        </w:rPr>
        <w:t>Título y descripción propios para Inicio, Servicios, Taller móvil, Catálogo, Contacto y Administración.</w:t>
      </w:r>
    </w:p>
    <w:p>
      <w:pPr>
        <w:numPr>
          <w:ilvl w:val="0"/>
          <w:numId w:val="10"/>
        </w:numPr>
      </w:pPr>
      <w:r>
        <w:rPr>
          <w:rFonts w:ascii="Calibri" w:hAnsi="Calibri"/>
          <w:color w:val="12233F"/>
        </w:rPr>
        <w:t>Etiquetas Open Graph y Twitter para compartir enlaces.</w:t>
      </w:r>
    </w:p>
    <w:p>
      <w:pPr>
        <w:numPr>
          <w:ilvl w:val="0"/>
          <w:numId w:val="10"/>
        </w:numPr>
      </w:pPr>
      <w:r>
        <w:rPr>
          <w:rFonts w:ascii="Calibri" w:hAnsi="Calibri"/>
          <w:color w:val="12233F"/>
        </w:rPr>
        <w:t>Datos estructurados LocalBusiness con nombre, teléfono, imagen, Instagram y tipos de servicio.</w:t>
      </w:r>
    </w:p>
    <w:p>
      <w:pPr>
        <w:numPr>
          <w:ilvl w:val="0"/>
          <w:numId w:val="10"/>
        </w:numPr>
      </w:pPr>
      <w:r>
        <w:rPr>
          <w:rFonts w:ascii="Calibri" w:hAnsi="Calibri"/>
          <w:color w:val="12233F"/>
        </w:rPr>
        <w:t>Sitemap público sin la ruta /admin.</w:t>
      </w:r>
    </w:p>
    <w:p>
      <w:pPr>
        <w:numPr>
          <w:ilvl w:val="0"/>
          <w:numId w:val="10"/>
        </w:numPr>
      </w:pPr>
      <w:r>
        <w:rPr>
          <w:rFonts w:ascii="Calibri" w:hAnsi="Calibri"/>
          <w:color w:val="12233F"/>
        </w:rPr>
        <w:t>Bloqueo de /admin en robots.txt y etiqueta noindex,nofollow.</w:t>
      </w:r>
    </w:p>
    <w:p>
      <w:pPr>
        <w:numPr>
          <w:ilvl w:val="0"/>
          <w:numId w:val="10"/>
        </w:numPr>
      </w:pPr>
      <w:r>
        <w:rPr>
          <w:rFonts w:ascii="Calibri" w:hAnsi="Calibri"/>
          <w:color w:val="12233F"/>
        </w:rPr>
        <w:t>Idioma español y tarjetas sociales con imagen grande.</w:t>
      </w:r>
    </w:p>
    <w:p>
      <w:pPr>
        <w:pStyle w:val="Heading2"/>
        <w:keepNext/>
      </w:pPr>
      <w:r>
        <w:t>8.3 Comprobaciones después del cambio</w:t>
      </w:r>
    </w:p>
    <w:p>
      <w:pPr>
        <w:numPr>
          <w:ilvl w:val="0"/>
          <w:numId w:val="19"/>
        </w:numPr>
      </w:pPr>
      <w:r>
        <w:rPr>
          <w:rFonts w:ascii="Calibri" w:hAnsi="Calibri"/>
          <w:color w:val="12233F"/>
        </w:rPr>
        <w:t>Abrir todas las rutas con y sin www, y confirmar que una única versión redirige a la canónica.</w:t>
      </w:r>
    </w:p>
    <w:p>
      <w:pPr>
        <w:numPr>
          <w:ilvl w:val="0"/>
          <w:numId w:val="19"/>
        </w:numPr>
      </w:pPr>
      <w:r>
        <w:rPr>
          <w:rFonts w:ascii="Calibri" w:hAnsi="Calibri"/>
          <w:color w:val="12233F"/>
        </w:rPr>
        <w:t>Verificar el certificado HTTPS.</w:t>
      </w:r>
    </w:p>
    <w:p>
      <w:pPr>
        <w:numPr>
          <w:ilvl w:val="0"/>
          <w:numId w:val="19"/>
        </w:numPr>
      </w:pPr>
      <w:r>
        <w:rPr>
          <w:rFonts w:ascii="Calibri" w:hAnsi="Calibri"/>
          <w:color w:val="12233F"/>
        </w:rPr>
        <w:t>Abrir el sitemap y robots.txt desde el dominio final.</w:t>
      </w:r>
    </w:p>
    <w:p>
      <w:pPr>
        <w:numPr>
          <w:ilvl w:val="0"/>
          <w:numId w:val="19"/>
        </w:numPr>
      </w:pPr>
      <w:r>
        <w:rPr>
          <w:rFonts w:ascii="Calibri" w:hAnsi="Calibri"/>
          <w:color w:val="12233F"/>
        </w:rPr>
        <w:t>Compartir una URL de prueba y revisar título, descripción e imagen.</w:t>
      </w:r>
    </w:p>
    <w:p>
      <w:pPr>
        <w:numPr>
          <w:ilvl w:val="0"/>
          <w:numId w:val="19"/>
        </w:numPr>
      </w:pPr>
      <w:r>
        <w:rPr>
          <w:rFonts w:ascii="Calibri" w:hAnsi="Calibri"/>
          <w:color w:val="12233F"/>
        </w:rPr>
        <w:t>Comprobar que /api/requests responde en el mismo dominio.</w:t>
      </w:r>
    </w:p>
    <w:p>
      <w:pPr>
        <w:numPr>
          <w:ilvl w:val="0"/>
          <w:numId w:val="19"/>
        </w:numPr>
      </w:pPr>
      <w:r>
        <w:rPr>
          <w:rFonts w:ascii="Calibri" w:hAnsi="Calibri"/>
          <w:color w:val="12233F"/>
        </w:rPr>
        <w:t>Dar de alta o actualizar la propiedad en Google Search Console y enviar el sitemap.</w:t>
      </w:r>
    </w:p>
    <w:p>
      <w:pPr>
        <w:pStyle w:val="Heading1"/>
        <w:keepNext/>
        <w:pageBreakBefore/>
      </w:pPr>
      <w:r>
        <w:t>9. Configuración de los correos</w:t>
      </w:r>
    </w:p>
    <w:p>
      <w:r>
        <w:rPr>
          <w:rFonts w:ascii="Calibri" w:hAnsi="Calibri"/>
          <w:color w:val="12233F"/>
        </w:rPr>
        <w:t>El envío utiliza Resend. Hay tres piezas distintas que deben quedar correctamente configuradas: la clave de servicio, el remitente autorizado y el destinatario interno.</w:t>
      </w:r>
    </w:p>
    <w:tbl>
      <w:tblPr>
        <w:tblStyle w:val="TableGrid"/>
        <w:tblW w:type="dxa" w:w="9360"/>
        <w:tblLayout w:type="fixed"/>
        <w:tblLook w:firstColumn="1" w:firstRow="1" w:lastColumn="0" w:lastRow="0" w:noHBand="0" w:noVBand="1" w:val="04A0"/>
        <w:jc w:val="left"/>
        <w:tblInd w:w="120" w:type="dxa"/>
      </w:tblPr>
      <w:tblGrid>
        <w:gridCol w:w="1900"/>
        <w:gridCol w:w="3450"/>
        <w:gridCol w:w="4010"/>
      </w:tblGrid>
      <w:tr>
        <w:trPr>
          <w:tblHeader w:val="true"/>
          <w:cantSplit/>
        </w:trPr>
        <w:tc>
          <w:tcPr>
            <w:tcW w:type="dxa" w:w="19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Elemento</w:t>
            </w:r>
          </w:p>
        </w:tc>
        <w:tc>
          <w:tcPr>
            <w:tcW w:type="dxa" w:w="345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Situación actual</w:t>
            </w:r>
          </w:p>
        </w:tc>
        <w:tc>
          <w:tcPr>
            <w:tcW w:type="dxa" w:w="401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Configuración final</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Clave Resend</w:t>
            </w:r>
          </w:p>
        </w:tc>
        <w:tc>
          <w:tcPr>
            <w:tcW w:type="dxa" w:w="3450"/>
            <w:tcMar>
              <w:top w:w="80" w:type="dxa"/>
              <w:start w:w="120" w:type="dxa"/>
              <w:bottom w:w="80" w:type="dxa"/>
              <w:end w:w="120" w:type="dxa"/>
            </w:tcMar>
            <w:vAlign w:val="center"/>
          </w:tcPr>
          <w:p>
            <w:pPr>
              <w:spacing w:after="0" w:line="252" w:lineRule="auto"/>
            </w:pPr>
            <w:r>
              <w:rPr>
                <w:rFonts w:ascii="Calibri" w:hAnsi="Calibri"/>
                <w:b w:val="0"/>
                <w:color w:val="12233F"/>
                <w:sz w:val="18"/>
              </w:rPr>
              <w:t>Configurada localmente mediante RESEND_API_KEY.</w:t>
            </w:r>
          </w:p>
        </w:tc>
        <w:tc>
          <w:tcPr>
            <w:tcW w:type="dxa" w:w="4010"/>
            <w:tcMar>
              <w:top w:w="80" w:type="dxa"/>
              <w:start w:w="120" w:type="dxa"/>
              <w:bottom w:w="80" w:type="dxa"/>
              <w:end w:w="120" w:type="dxa"/>
            </w:tcMar>
            <w:vAlign w:val="center"/>
          </w:tcPr>
          <w:p>
            <w:pPr>
              <w:spacing w:after="0" w:line="252" w:lineRule="auto"/>
            </w:pPr>
            <w:r>
              <w:rPr>
                <w:rFonts w:ascii="Calibri" w:hAnsi="Calibri"/>
                <w:b w:val="0"/>
                <w:color w:val="12233F"/>
                <w:sz w:val="18"/>
              </w:rPr>
              <w:t>Crear o confirmar la clave de producción en el alojamiento.</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Remitente</w:t>
            </w:r>
          </w:p>
        </w:tc>
        <w:tc>
          <w:tcPr>
            <w:tcW w:type="dxa" w:w="3450"/>
            <w:tcMar>
              <w:top w:w="80" w:type="dxa"/>
              <w:start w:w="120" w:type="dxa"/>
              <w:bottom w:w="80" w:type="dxa"/>
              <w:end w:w="120" w:type="dxa"/>
            </w:tcMar>
            <w:vAlign w:val="center"/>
          </w:tcPr>
          <w:p>
            <w:pPr>
              <w:spacing w:after="0" w:line="252" w:lineRule="auto"/>
            </w:pPr>
            <w:r>
              <w:rPr>
                <w:rFonts w:ascii="Calibri" w:hAnsi="Calibri"/>
                <w:b w:val="0"/>
                <w:color w:val="12233F"/>
                <w:sz w:val="18"/>
              </w:rPr>
              <w:t>Variable RESEND_FROM_EMAIL.</w:t>
            </w:r>
          </w:p>
        </w:tc>
        <w:tc>
          <w:tcPr>
            <w:tcW w:type="dxa" w:w="4010"/>
            <w:tcMar>
              <w:top w:w="80" w:type="dxa"/>
              <w:start w:w="120" w:type="dxa"/>
              <w:bottom w:w="80" w:type="dxa"/>
              <w:end w:w="120" w:type="dxa"/>
            </w:tcMar>
            <w:vAlign w:val="center"/>
          </w:tcPr>
          <w:p>
            <w:pPr>
              <w:spacing w:after="0" w:line="252" w:lineRule="auto"/>
            </w:pPr>
            <w:r>
              <w:rPr>
                <w:rFonts w:ascii="Calibri" w:hAnsi="Calibri"/>
                <w:b w:val="0"/>
                <w:color w:val="12233F"/>
                <w:sz w:val="18"/>
              </w:rPr>
              <w:t>Usar una cuenta del dominio verificado, por ejemplo Victiker &lt;avisos@DOMINIO_FINAL&gt;.</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color w:val="12233F"/>
                <w:sz w:val="18"/>
              </w:rPr>
              <w:t>Destinatario</w:t>
            </w:r>
          </w:p>
        </w:tc>
        <w:tc>
          <w:tcPr>
            <w:tcW w:type="dxa" w:w="3450"/>
            <w:tcMar>
              <w:top w:w="80" w:type="dxa"/>
              <w:start w:w="120" w:type="dxa"/>
              <w:bottom w:w="80" w:type="dxa"/>
              <w:end w:w="120" w:type="dxa"/>
            </w:tcMar>
            <w:vAlign w:val="center"/>
          </w:tcPr>
          <w:p>
            <w:pPr>
              <w:spacing w:after="0" w:line="252" w:lineRule="auto"/>
            </w:pPr>
            <w:r>
              <w:rPr>
                <w:rFonts w:ascii="Calibri" w:hAnsi="Calibri"/>
                <w:b w:val="0"/>
                <w:color w:val="12233F"/>
                <w:sz w:val="18"/>
              </w:rPr>
              <w:t>marcpujolapps@gmail.com fijado en el worker.</w:t>
            </w:r>
          </w:p>
        </w:tc>
        <w:tc>
          <w:tcPr>
            <w:tcW w:type="dxa" w:w="4010"/>
            <w:tcMar>
              <w:top w:w="80" w:type="dxa"/>
              <w:start w:w="120" w:type="dxa"/>
              <w:bottom w:w="80" w:type="dxa"/>
              <w:end w:w="120" w:type="dxa"/>
            </w:tcMar>
            <w:vAlign w:val="center"/>
          </w:tcPr>
          <w:p>
            <w:pPr>
              <w:spacing w:after="0" w:line="252" w:lineRule="auto"/>
            </w:pPr>
            <w:r>
              <w:rPr>
                <w:rFonts w:ascii="Calibri" w:hAnsi="Calibri"/>
                <w:b w:val="0"/>
                <w:color w:val="12233F"/>
                <w:sz w:val="18"/>
              </w:rPr>
              <w:t>Sustituir por la cuenta operativa que recibirá citas y repuestos.</w:t>
            </w:r>
          </w:p>
        </w:tc>
      </w:tr>
    </w:tbl>
    <w:p>
      <w:pPr>
        <w:spacing w:after="40"/>
      </w:pPr>
    </w:p>
    <w:p>
      <w:pPr>
        <w:pStyle w:val="Heading2"/>
        <w:keepNext/>
      </w:pPr>
      <w:r>
        <w:t>9.1 Proceso recomendado</w:t>
      </w:r>
    </w:p>
    <w:p>
      <w:pPr>
        <w:numPr>
          <w:ilvl w:val="0"/>
          <w:numId w:val="20"/>
        </w:numPr>
      </w:pPr>
      <w:r>
        <w:rPr>
          <w:rFonts w:ascii="Calibri" w:hAnsi="Calibri"/>
          <w:color w:val="12233F"/>
        </w:rPr>
        <w:t>Verificar el dominio final en Resend mediante los registros DNS solicitados.</w:t>
      </w:r>
    </w:p>
    <w:p>
      <w:pPr>
        <w:numPr>
          <w:ilvl w:val="0"/>
          <w:numId w:val="20"/>
        </w:numPr>
      </w:pPr>
      <w:r>
        <w:rPr>
          <w:rFonts w:ascii="Calibri" w:hAnsi="Calibri"/>
          <w:color w:val="12233F"/>
        </w:rPr>
        <w:t>Crear una dirección de remitente del negocio y definirla como RESEND_FROM_EMAIL en producción.</w:t>
      </w:r>
    </w:p>
    <w:p>
      <w:pPr>
        <w:numPr>
          <w:ilvl w:val="0"/>
          <w:numId w:val="20"/>
        </w:numPr>
      </w:pPr>
      <w:r>
        <w:rPr>
          <w:rFonts w:ascii="Calibri" w:hAnsi="Calibri"/>
          <w:color w:val="12233F"/>
        </w:rPr>
        <w:t>Cambiar el destinatario provisional en el worker por el correo operativo definitivo. Como mejora de mantenimiento, conviene convertirlo también en una variable de entorno, por ejemplo NOTIFICATION_EMAIL.</w:t>
      </w:r>
    </w:p>
    <w:p>
      <w:pPr>
        <w:numPr>
          <w:ilvl w:val="0"/>
          <w:numId w:val="20"/>
        </w:numPr>
      </w:pPr>
      <w:r>
        <w:rPr>
          <w:rFonts w:ascii="Calibri" w:hAnsi="Calibri"/>
          <w:color w:val="12233F"/>
        </w:rPr>
        <w:t>Desplegar de nuevo el worker o servicio de hosting.</w:t>
      </w:r>
    </w:p>
    <w:p>
      <w:pPr>
        <w:numPr>
          <w:ilvl w:val="0"/>
          <w:numId w:val="20"/>
        </w:numPr>
      </w:pPr>
      <w:r>
        <w:rPr>
          <w:rFonts w:ascii="Calibri" w:hAnsi="Calibri"/>
          <w:color w:val="12233F"/>
        </w:rPr>
        <w:t>Enviar una cita y una solicitud de repuestos de prueba.</w:t>
      </w:r>
    </w:p>
    <w:p>
      <w:pPr>
        <w:numPr>
          <w:ilvl w:val="0"/>
          <w:numId w:val="20"/>
        </w:numPr>
      </w:pPr>
      <w:r>
        <w:rPr>
          <w:rFonts w:ascii="Calibri" w:hAnsi="Calibri"/>
          <w:color w:val="12233F"/>
        </w:rPr>
        <w:t>Verificar bandeja de entrada, spam, asunto, datos y visualización en móvil.</w:t>
      </w:r>
    </w:p>
    <w:p>
      <w:pPr>
        <w:pStyle w:val="Callout"/>
        <w:shd w:val="clear" w:fill="FFF2E6"/>
        <w:pBdr>
          <w:left w:val="single" w:sz="18" w:space="8" w:color="F28C28"/>
        </w:pBdr>
      </w:pPr>
      <w:r>
        <w:rPr>
          <w:rFonts w:ascii="Calibri" w:hAnsi="Calibri"/>
          <w:b/>
          <w:color w:val="F28C28"/>
          <w:sz w:val="18"/>
        </w:rPr>
        <w:t xml:space="preserve">CRITERIO DE ACEPTACIÓN  </w:t>
      </w:r>
      <w:r>
        <w:rPr>
          <w:rFonts w:ascii="Calibri" w:hAnsi="Calibri"/>
          <w:color w:val="12233F"/>
          <w:sz w:val="21"/>
        </w:rPr>
        <w:t>La puesta en producción no debe darse por cerrada hasta que las dos clases de solicitud aparezcan en Administración y lleguen al buzón definitivo con el remitente del dominio final.</w:t>
      </w:r>
    </w:p>
    <w:p>
      <w:pPr>
        <w:spacing w:before="0" w:after="40" w:line="120" w:lineRule="auto"/>
      </w:pPr>
    </w:p>
    <w:p>
      <w:pPr>
        <w:pStyle w:val="Heading2"/>
        <w:keepNext/>
      </w:pPr>
      <w:r>
        <w:t>9.2 Qué recibe y qué no recibe el cliente</w:t>
      </w:r>
    </w:p>
    <w:p>
      <w:r>
        <w:rPr>
          <w:rFonts w:ascii="Calibri" w:hAnsi="Calibri"/>
          <w:color w:val="12233F"/>
        </w:rPr>
        <w:t>El cliente ve una confirmación en pantalla. La web no solicita su correo electrónico y, por tanto, no envía una respuesta automática. El seguimiento se realiza por teléfono o WhatsApp. Si en el futuro se desea confirmación por email, habrá que añadir el campo, su validación, el consentimiento correspondiente y una plantilla dirigida al cliente.</w:t>
      </w:r>
    </w:p>
    <w:p>
      <w:pPr>
        <w:pStyle w:val="Heading1"/>
        <w:keepNext/>
      </w:pPr>
      <w:r>
        <w:t>10. Operación, mantenimiento y resolución de incidencias</w:t>
      </w:r>
    </w:p>
    <w:p>
      <w:pPr>
        <w:pStyle w:val="Heading2"/>
        <w:keepNext/>
      </w:pPr>
      <w:r>
        <w:t>10.1 Rutina diaria recomendada</w:t>
      </w:r>
    </w:p>
    <w:p>
      <w:pPr>
        <w:numPr>
          <w:ilvl w:val="0"/>
          <w:numId w:val="21"/>
        </w:numPr>
      </w:pPr>
      <w:r>
        <w:rPr>
          <w:rFonts w:ascii="Calibri" w:hAnsi="Calibri"/>
          <w:color w:val="12233F"/>
        </w:rPr>
        <w:t>Entrar en /admin y revisar Pedidos &gt; Repuestos y Pedidos &gt; Citas.</w:t>
      </w:r>
    </w:p>
    <w:p>
      <w:pPr>
        <w:numPr>
          <w:ilvl w:val="0"/>
          <w:numId w:val="21"/>
        </w:numPr>
      </w:pPr>
      <w:r>
        <w:rPr>
          <w:rFonts w:ascii="Calibri" w:hAnsi="Calibri"/>
          <w:color w:val="12233F"/>
        </w:rPr>
        <w:t>Contactar primero las solicitudes con estado Nueva.</w:t>
      </w:r>
    </w:p>
    <w:p>
      <w:pPr>
        <w:numPr>
          <w:ilvl w:val="0"/>
          <w:numId w:val="21"/>
        </w:numPr>
      </w:pPr>
      <w:r>
        <w:rPr>
          <w:rFonts w:ascii="Calibri" w:hAnsi="Calibri"/>
          <w:color w:val="12233F"/>
        </w:rPr>
        <w:t>Añadir una nota breve y cambiar a En curso.</w:t>
      </w:r>
    </w:p>
    <w:p>
      <w:pPr>
        <w:numPr>
          <w:ilvl w:val="0"/>
          <w:numId w:val="21"/>
        </w:numPr>
      </w:pPr>
      <w:r>
        <w:rPr>
          <w:rFonts w:ascii="Calibri" w:hAnsi="Calibri"/>
          <w:color w:val="12233F"/>
        </w:rPr>
        <w:t>Al terminar, marcar Completada o Cancelada.</w:t>
      </w:r>
    </w:p>
    <w:p>
      <w:pPr>
        <w:numPr>
          <w:ilvl w:val="0"/>
          <w:numId w:val="21"/>
        </w:numPr>
      </w:pPr>
      <w:r>
        <w:rPr>
          <w:rFonts w:ascii="Calibri" w:hAnsi="Calibri"/>
          <w:color w:val="12233F"/>
        </w:rPr>
        <w:t>Revisar si ha llegado el mismo aviso por correo; ante diferencias, priorizar el registro del panel.</w:t>
      </w:r>
    </w:p>
    <w:p>
      <w:pPr>
        <w:pStyle w:val="Heading2"/>
        <w:keepNext/>
      </w:pPr>
      <w:r>
        <w:t>10.2 Rutina semanal</w:t>
      </w:r>
    </w:p>
    <w:p>
      <w:pPr>
        <w:numPr>
          <w:ilvl w:val="0"/>
          <w:numId w:val="10"/>
        </w:numPr>
      </w:pPr>
      <w:r>
        <w:rPr>
          <w:rFonts w:ascii="Calibri" w:hAnsi="Calibri"/>
          <w:color w:val="12233F"/>
        </w:rPr>
        <w:t>El lunes, comprobar en Importaciones que Bihr ha terminado correctamente después de las 05:30.</w:t>
      </w:r>
    </w:p>
    <w:p>
      <w:pPr>
        <w:numPr>
          <w:ilvl w:val="0"/>
          <w:numId w:val="10"/>
        </w:numPr>
      </w:pPr>
      <w:r>
        <w:rPr>
          <w:rFonts w:ascii="Calibri" w:hAnsi="Calibri"/>
          <w:color w:val="12233F"/>
        </w:rPr>
        <w:t>Revisar nuevas, modificadas y archivadas; investigar estados Error o Interrumpida.</w:t>
      </w:r>
    </w:p>
    <w:p>
      <w:pPr>
        <w:numPr>
          <w:ilvl w:val="0"/>
          <w:numId w:val="10"/>
        </w:numPr>
      </w:pPr>
      <w:r>
        <w:rPr>
          <w:rFonts w:ascii="Calibri" w:hAnsi="Calibri"/>
          <w:color w:val="12233F"/>
        </w:rPr>
        <w:t>Comprobar varias referencias y sus imágenes en el catálogo público.</w:t>
      </w:r>
    </w:p>
    <w:p>
      <w:pPr>
        <w:numPr>
          <w:ilvl w:val="0"/>
          <w:numId w:val="10"/>
        </w:numPr>
      </w:pPr>
      <w:r>
        <w:rPr>
          <w:rFonts w:ascii="Calibri" w:hAnsi="Calibri"/>
          <w:color w:val="12233F"/>
        </w:rPr>
        <w:t>Preparar y subir el CSV de barco cuando haya cambios; conservar el archivo fuente.</w:t>
      </w:r>
    </w:p>
    <w:p>
      <w:pPr>
        <w:pStyle w:val="Heading2"/>
        <w:keepNext/>
      </w:pPr>
      <w:r>
        <w:t>10.3 Incidencias frecuentes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Síntoma</w:t>
            </w:r>
          </w:p>
        </w:tc>
        <w:tc>
          <w:tcPr>
            <w:tcW w:type="dxa" w:w="716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Comprobación y respuesta</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color w:val="12233F"/>
                <w:sz w:val="18"/>
              </w:rPr>
              <w:t>No llega el correo</w:t>
            </w:r>
          </w:p>
        </w:tc>
        <w:tc>
          <w:tcPr>
            <w:tcW w:type="dxa" w:w="7160"/>
            <w:tcMar>
              <w:top w:w="80" w:type="dxa"/>
              <w:start w:w="120" w:type="dxa"/>
              <w:bottom w:w="80" w:type="dxa"/>
              <w:end w:w="120" w:type="dxa"/>
            </w:tcMar>
            <w:vAlign w:val="center"/>
          </w:tcPr>
          <w:p>
            <w:pPr>
              <w:spacing w:after="0" w:line="252" w:lineRule="auto"/>
            </w:pPr>
            <w:r>
              <w:rPr>
                <w:rFonts w:ascii="Calibri" w:hAnsi="Calibri"/>
                <w:b w:val="0"/>
                <w:color w:val="12233F"/>
                <w:sz w:val="18"/>
              </w:rPr>
              <w:t>Revisar primero Pedidos. Confirmar RESEND_API_KEY, RESEND_FROM_EMAIL, destinatario, dominio verificado y logs del worker.</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color w:val="12233F"/>
                <w:sz w:val="18"/>
              </w:rPr>
              <w:t>No aparece la solicitud</w:t>
            </w:r>
          </w:p>
        </w:tc>
        <w:tc>
          <w:tcPr>
            <w:tcW w:type="dxa" w:w="7160"/>
            <w:tcMar>
              <w:top w:w="80" w:type="dxa"/>
              <w:start w:w="120" w:type="dxa"/>
              <w:bottom w:w="80" w:type="dxa"/>
              <w:end w:w="120" w:type="dxa"/>
            </w:tcMar>
            <w:vAlign w:val="center"/>
          </w:tcPr>
          <w:p>
            <w:pPr>
              <w:spacing w:after="0" w:line="252" w:lineRule="auto"/>
            </w:pPr>
            <w:r>
              <w:rPr>
                <w:rFonts w:ascii="Calibri" w:hAnsi="Calibri"/>
                <w:b w:val="0"/>
                <w:color w:val="12233F"/>
                <w:sz w:val="18"/>
              </w:rPr>
              <w:t>Confirmar Firebase, conexión y reglas. Revisar el mensaje mostrado al cliente.</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color w:val="12233F"/>
                <w:sz w:val="18"/>
              </w:rPr>
              <w:t>No carga el catálogo</w:t>
            </w:r>
          </w:p>
        </w:tc>
        <w:tc>
          <w:tcPr>
            <w:tcW w:type="dxa" w:w="7160"/>
            <w:tcMar>
              <w:top w:w="80" w:type="dxa"/>
              <w:start w:w="120" w:type="dxa"/>
              <w:bottom w:w="80" w:type="dxa"/>
              <w:end w:w="120" w:type="dxa"/>
            </w:tcMar>
            <w:vAlign w:val="center"/>
          </w:tcPr>
          <w:p>
            <w:pPr>
              <w:spacing w:after="0" w:line="252" w:lineRule="auto"/>
            </w:pPr>
            <w:r>
              <w:rPr>
                <w:rFonts w:ascii="Calibri" w:hAnsi="Calibri"/>
                <w:b w:val="0"/>
                <w:color w:val="12233F"/>
                <w:sz w:val="18"/>
              </w:rPr>
              <w:t>Comprobar configuración VITE_FIREBASE_*, índices de Firestore y estado de las referencias.</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color w:val="12233F"/>
                <w:sz w:val="18"/>
              </w:rPr>
              <w:t>Una imagen no aparece</w:t>
            </w:r>
          </w:p>
        </w:tc>
        <w:tc>
          <w:tcPr>
            <w:tcW w:type="dxa" w:w="7160"/>
            <w:tcMar>
              <w:top w:w="80" w:type="dxa"/>
              <w:start w:w="120" w:type="dxa"/>
              <w:bottom w:w="80" w:type="dxa"/>
              <w:end w:w="120" w:type="dxa"/>
            </w:tcMar>
            <w:vAlign w:val="center"/>
          </w:tcPr>
          <w:p>
            <w:pPr>
              <w:spacing w:after="0" w:line="252" w:lineRule="auto"/>
            </w:pPr>
            <w:r>
              <w:rPr>
                <w:rFonts w:ascii="Calibri" w:hAnsi="Calibri"/>
                <w:b w:val="0"/>
                <w:color w:val="12233F"/>
                <w:sz w:val="18"/>
              </w:rPr>
              <w:t>La URL externa puede haber cambiado; la web mostrará un marcador. En manual, corregir la URL; en Bihr, esperar o revisar la sincronización.</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color w:val="12233F"/>
                <w:sz w:val="18"/>
              </w:rPr>
              <w:t>Bihr figura interrumpida</w:t>
            </w:r>
          </w:p>
        </w:tc>
        <w:tc>
          <w:tcPr>
            <w:tcW w:type="dxa" w:w="7160"/>
            <w:tcMar>
              <w:top w:w="80" w:type="dxa"/>
              <w:start w:w="120" w:type="dxa"/>
              <w:bottom w:w="80" w:type="dxa"/>
              <w:end w:w="120" w:type="dxa"/>
            </w:tcMar>
            <w:vAlign w:val="center"/>
          </w:tcPr>
          <w:p>
            <w:pPr>
              <w:spacing w:after="0" w:line="252" w:lineRule="auto"/>
            </w:pPr>
            <w:r>
              <w:rPr>
                <w:rFonts w:ascii="Calibri" w:hAnsi="Calibri"/>
                <w:b w:val="0"/>
                <w:color w:val="12233F"/>
                <w:sz w:val="18"/>
              </w:rPr>
              <w:t>Esperar el desbloqueo automático de 35 minutos y revisar la siguiente tarea o los logs técnicos.</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color w:val="12233F"/>
                <w:sz w:val="18"/>
              </w:rPr>
              <w:t>CSV con rechazadas</w:t>
            </w:r>
          </w:p>
        </w:tc>
        <w:tc>
          <w:tcPr>
            <w:tcW w:type="dxa" w:w="7160"/>
            <w:tcMar>
              <w:top w:w="80" w:type="dxa"/>
              <w:start w:w="120" w:type="dxa"/>
              <w:bottom w:w="80" w:type="dxa"/>
              <w:end w:w="120" w:type="dxa"/>
            </w:tcMar>
            <w:vAlign w:val="center"/>
          </w:tcPr>
          <w:p>
            <w:pPr>
              <w:spacing w:after="0" w:line="252" w:lineRule="auto"/>
            </w:pPr>
            <w:r>
              <w:rPr>
                <w:rFonts w:ascii="Calibri" w:hAnsi="Calibri"/>
                <w:b w:val="0"/>
                <w:color w:val="12233F"/>
                <w:sz w:val="18"/>
              </w:rPr>
              <w:t>Revisar encabezados, referencia, precio y descuento. Corregir las filas indicadas y volver a importar.</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color w:val="12233F"/>
                <w:sz w:val="18"/>
              </w:rPr>
              <w:t>Usuario no autorizado</w:t>
            </w:r>
          </w:p>
        </w:tc>
        <w:tc>
          <w:tcPr>
            <w:tcW w:type="dxa" w:w="7160"/>
            <w:tcMar>
              <w:top w:w="80" w:type="dxa"/>
              <w:start w:w="120" w:type="dxa"/>
              <w:bottom w:w="80" w:type="dxa"/>
              <w:end w:w="120" w:type="dxa"/>
            </w:tcMar>
            <w:vAlign w:val="center"/>
          </w:tcPr>
          <w:p>
            <w:pPr>
              <w:spacing w:after="0" w:line="252" w:lineRule="auto"/>
            </w:pPr>
            <w:r>
              <w:rPr>
                <w:rFonts w:ascii="Calibri" w:hAnsi="Calibri"/>
                <w:b w:val="0"/>
                <w:color w:val="12233F"/>
                <w:sz w:val="18"/>
              </w:rPr>
              <w:t>Crear/verificar la cuenta y conceder el rol admin activo mediante el procedimiento técnico.</w:t>
            </w:r>
          </w:p>
        </w:tc>
      </w:tr>
    </w:tbl>
    <w:p>
      <w:pPr>
        <w:spacing w:after="40"/>
      </w:pPr>
    </w:p>
    <w:p>
      <w:pPr>
        <w:pStyle w:val="Heading2"/>
        <w:keepNext/>
        <w:pageBreakBefore/>
      </w:pPr>
      <w:r>
        <w:t>10.4 Cambios que requieren soporte técnico</w:t>
      </w:r>
    </w:p>
    <w:p>
      <w:pPr>
        <w:numPr>
          <w:ilvl w:val="0"/>
          <w:numId w:val="10"/>
        </w:numPr>
      </w:pPr>
      <w:r>
        <w:rPr>
          <w:rFonts w:ascii="Calibri" w:hAnsi="Calibri"/>
          <w:color w:val="12233F"/>
        </w:rPr>
        <w:t>Dominio, hosting, variables de entorno o despliegues.</w:t>
      </w:r>
    </w:p>
    <w:p>
      <w:pPr>
        <w:numPr>
          <w:ilvl w:val="0"/>
          <w:numId w:val="10"/>
        </w:numPr>
      </w:pPr>
      <w:r>
        <w:rPr>
          <w:rFonts w:ascii="Calibri" w:hAnsi="Calibri"/>
          <w:color w:val="12233F"/>
        </w:rPr>
        <w:t>Altas y bajas de administradores.</w:t>
      </w:r>
    </w:p>
    <w:p>
      <w:pPr>
        <w:numPr>
          <w:ilvl w:val="0"/>
          <w:numId w:val="10"/>
        </w:numPr>
      </w:pPr>
      <w:r>
        <w:rPr>
          <w:rFonts w:ascii="Calibri" w:hAnsi="Calibri"/>
          <w:color w:val="12233F"/>
        </w:rPr>
        <w:t>Cambios en reglas de seguridad, estructura de datos o integraciones.</w:t>
      </w:r>
    </w:p>
    <w:p>
      <w:pPr>
        <w:numPr>
          <w:ilvl w:val="0"/>
          <w:numId w:val="10"/>
        </w:numPr>
      </w:pPr>
      <w:r>
        <w:rPr>
          <w:rFonts w:ascii="Calibri" w:hAnsi="Calibri"/>
          <w:color w:val="12233F"/>
        </w:rPr>
        <w:t>Modificación del destinatario fijo del correo en la versión actual.</w:t>
      </w:r>
    </w:p>
    <w:p>
      <w:pPr>
        <w:numPr>
          <w:ilvl w:val="0"/>
          <w:numId w:val="10"/>
        </w:numPr>
      </w:pPr>
      <w:r>
        <w:rPr>
          <w:rFonts w:ascii="Calibri" w:hAnsi="Calibri"/>
          <w:color w:val="12233F"/>
        </w:rPr>
        <w:t>Recuperación tras borrados o restauración de copias de seguridad.</w:t>
      </w:r>
    </w:p>
    <w:p>
      <w:pPr>
        <w:pStyle w:val="Heading1"/>
        <w:keepNext/>
      </w:pPr>
      <w:r>
        <w:t>11. Lista de puesta en producción y entrega</w:t>
      </w:r>
    </w:p>
    <w:p>
      <w:r>
        <w:rPr>
          <w:rFonts w:ascii="Calibri" w:hAnsi="Calibri"/>
          <w:color w:val="12233F"/>
        </w:rPr>
        <w:t>Esta lista permite cerrar la entrega sin omitir dependencias externas. Debe conservarse una evidencia de cada comprobación.</w:t>
      </w:r>
    </w:p>
    <w:tbl>
      <w:tblPr>
        <w:tblStyle w:val="TableGrid"/>
        <w:tblW w:type="dxa" w:w="9360"/>
        <w:tblLayout w:type="fixed"/>
        <w:tblLook w:firstColumn="1" w:firstRow="1" w:lastColumn="0" w:lastRow="0" w:noHBand="0" w:noVBand="1" w:val="04A0"/>
        <w:jc w:val="left"/>
        <w:tblInd w:w="120" w:type="dxa"/>
      </w:tblPr>
      <w:tblGrid>
        <w:gridCol w:w="1350"/>
        <w:gridCol w:w="6100"/>
        <w:gridCol w:w="1910"/>
      </w:tblGrid>
      <w:tr>
        <w:trPr>
          <w:tblHeader w:val="true"/>
          <w:cantSplit/>
        </w:trPr>
        <w:tc>
          <w:tcPr>
            <w:tcW w:type="dxa" w:w="135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Estado</w:t>
            </w:r>
          </w:p>
        </w:tc>
        <w:tc>
          <w:tcPr>
            <w:tcW w:type="dxa" w:w="61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Comprobación</w:t>
            </w:r>
          </w:p>
        </w:tc>
        <w:tc>
          <w:tcPr>
            <w:tcW w:type="dxa" w:w="191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Responsable</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Pendiente</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Confirmar el dominio final y la versión canónica con o sin www.</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Propietario + técnico</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Pendiente</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Configurar DNS, HTTPS y asociación del dominio en el hosting.</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Técnico</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Pendiente</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Sustituir el dominio en metadatos, datos estructurados, sitemap y robots.</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Técnico</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Pendiente</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Verificar el dominio de envío en Resend.</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Propietario + técnico</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Pendiente</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Definir RESEND_FROM_EMAIL definitivo.</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Técnico</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Pendiente</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Cambiar el destinatario provisional por el buzón operativo final.</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Propietario + técnico</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Pendiente</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Realizar pruebas reales de cita y repuestos.</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Propietario</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Pendiente</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Confirmar las cuentas administradoras y retirar accesos de prueba.</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Propietario + técnico</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Pendiente</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Publicar y enlazar los textos legales necesarios.</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Propietario + asesor</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Completado</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Compilación de producción.</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Verificación 30/08/2026</w:t>
            </w:r>
          </w:p>
        </w:tc>
      </w:tr>
      <w:tr>
        <w:trPr>
          <w:cantSplit/>
        </w:trPr>
        <w:tc>
          <w:tcPr>
            <w:tcW w:type="dxa" w:w="1350"/>
            <w:tcMar>
              <w:top w:w="80" w:type="dxa"/>
              <w:start w:w="120" w:type="dxa"/>
              <w:bottom w:w="80" w:type="dxa"/>
              <w:end w:w="120" w:type="dxa"/>
            </w:tcMar>
            <w:vAlign w:val="center"/>
          </w:tcPr>
          <w:p>
            <w:pPr>
              <w:spacing w:after="0" w:line="252" w:lineRule="auto"/>
            </w:pPr>
            <w:r>
              <w:rPr>
                <w:rFonts w:ascii="Calibri" w:hAnsi="Calibri"/>
                <w:b/>
                <w:color w:val="12233F"/>
                <w:sz w:val="18"/>
              </w:rPr>
              <w:t>Completado</w:t>
            </w:r>
          </w:p>
        </w:tc>
        <w:tc>
          <w:tcPr>
            <w:tcW w:type="dxa" w:w="6100"/>
            <w:tcMar>
              <w:top w:w="80" w:type="dxa"/>
              <w:start w:w="120" w:type="dxa"/>
              <w:bottom w:w="80" w:type="dxa"/>
              <w:end w:w="120" w:type="dxa"/>
            </w:tcMar>
            <w:vAlign w:val="center"/>
          </w:tcPr>
          <w:p>
            <w:pPr>
              <w:spacing w:after="0" w:line="252" w:lineRule="auto"/>
            </w:pPr>
            <w:r>
              <w:rPr>
                <w:rFonts w:ascii="Calibri" w:hAnsi="Calibri"/>
                <w:b w:val="0"/>
                <w:color w:val="12233F"/>
                <w:sz w:val="18"/>
              </w:rPr>
              <w:t>12 pruebas de catálogo/importaciones y 6 pruebas del worker/hosting.</w:t>
            </w:r>
          </w:p>
        </w:tc>
        <w:tc>
          <w:tcPr>
            <w:tcW w:type="dxa" w:w="1910"/>
            <w:tcMar>
              <w:top w:w="80" w:type="dxa"/>
              <w:start w:w="120" w:type="dxa"/>
              <w:bottom w:w="80" w:type="dxa"/>
              <w:end w:w="120" w:type="dxa"/>
            </w:tcMar>
            <w:vAlign w:val="center"/>
          </w:tcPr>
          <w:p>
            <w:pPr>
              <w:spacing w:after="0" w:line="252" w:lineRule="auto"/>
            </w:pPr>
            <w:r>
              <w:rPr>
                <w:rFonts w:ascii="Calibri" w:hAnsi="Calibri"/>
                <w:b w:val="0"/>
                <w:color w:val="12233F"/>
                <w:sz w:val="18"/>
              </w:rPr>
              <w:t>Verificación 30/08/2026</w:t>
            </w:r>
          </w:p>
        </w:tc>
      </w:tr>
    </w:tbl>
    <w:p>
      <w:pPr>
        <w:spacing w:after="40"/>
      </w:pPr>
    </w:p>
    <w:p>
      <w:pPr>
        <w:pStyle w:val="Callout"/>
        <w:shd w:val="clear" w:fill="E8EEF5"/>
        <w:pBdr>
          <w:left w:val="single" w:sz="18" w:space="8" w:color="277A52"/>
        </w:pBdr>
      </w:pPr>
      <w:r>
        <w:rPr>
          <w:rFonts w:ascii="Calibri" w:hAnsi="Calibri"/>
          <w:b/>
          <w:color w:val="277A52"/>
          <w:sz w:val="18"/>
        </w:rPr>
        <w:t xml:space="preserve">ENTREGA ACEPTADA  </w:t>
      </w:r>
      <w:r>
        <w:rPr>
          <w:rFonts w:ascii="Calibri" w:hAnsi="Calibri"/>
          <w:color w:val="12233F"/>
          <w:sz w:val="21"/>
        </w:rPr>
        <w:t>Se recomienda firmar la aceptación cuando los elementos pendientes estén completados, el propietario haya accedido a /admin y las dos solicitudes de prueba hayan sido recibidas y gestionadas de principio a fin.</w:t>
      </w:r>
    </w:p>
    <w:p>
      <w:pPr>
        <w:spacing w:before="0" w:after="40" w:line="120" w:lineRule="auto"/>
      </w:pPr>
    </w:p>
    <w:p>
      <w:pPr>
        <w:pStyle w:val="Heading1"/>
        <w:keepNext/>
      </w:pPr>
      <w:r>
        <w:t>12. Anexo técnico de referencia</w:t>
      </w:r>
    </w:p>
    <w:p>
      <w:pPr>
        <w:pStyle w:val="Heading2"/>
        <w:keepNext/>
      </w:pPr>
      <w:r>
        <w:t>12.1 Variables de entorno</w:t>
      </w:r>
    </w:p>
    <w:tbl>
      <w:tblPr>
        <w:tblStyle w:val="TableGrid"/>
        <w:tblW w:type="dxa" w:w="9360"/>
        <w:tblLayout w:type="fixed"/>
        <w:tblLook w:firstColumn="1" w:firstRow="1" w:lastColumn="0" w:lastRow="0" w:noHBand="0" w:noVBand="1" w:val="04A0"/>
        <w:jc w:val="left"/>
        <w:tblInd w:w="120" w:type="dxa"/>
      </w:tblPr>
      <w:tblGrid>
        <w:gridCol w:w="3300"/>
        <w:gridCol w:w="1700"/>
        <w:gridCol w:w="4360"/>
      </w:tblGrid>
      <w:tr>
        <w:trPr>
          <w:tblHeader w:val="true"/>
          <w:cantSplit/>
        </w:trPr>
        <w:tc>
          <w:tcPr>
            <w:tcW w:type="dxa" w:w="33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Variable</w:t>
            </w:r>
          </w:p>
        </w:tc>
        <w:tc>
          <w:tcPr>
            <w:tcW w:type="dxa" w:w="17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Ámbito</w:t>
            </w:r>
          </w:p>
        </w:tc>
        <w:tc>
          <w:tcPr>
            <w:tcW w:type="dxa" w:w="436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Función</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VITE_FIREBASE_API_KEY</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Cliente</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Identificación pública del proyecto Firebase.</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VITE_FIREBASE_AUTH_DOMAIN</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Cliente</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Dominio de autenticación.</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VITE_FIREBASE_PROJECT_ID</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Cliente</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Proyecto Firebase.</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VITE_FIREBASE_STORAGE_BUCKET</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Cliente</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Bucket de archivos.</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VITE_FIREBASE_MESSAGING_SENDER_ID</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Cliente</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Identificador Firebase.</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VITE_FIREBASE_APP_ID</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Cliente</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Identificador de la app web.</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VITE_FIREBASE_USE_EMULATORS</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Desarrollo</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true solo para emuladores locales; false u omitida en producción.</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RESEND_API_KEY</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Servidor</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Autorización para enviar correos.</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RESEND_FROM_EMAIL</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Servidor</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Remitente verificado.</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BIHR_USERNAME</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Functions</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Código de cliente Bihr.</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color w:val="12233F"/>
                <w:sz w:val="18"/>
              </w:rPr>
              <w:t>BIHR_PASSWORD</w:t>
            </w:r>
          </w:p>
        </w:tc>
        <w:tc>
          <w:tcPr>
            <w:tcW w:type="dxa" w:w="1700"/>
            <w:tcMar>
              <w:top w:w="80" w:type="dxa"/>
              <w:start w:w="120" w:type="dxa"/>
              <w:bottom w:w="80" w:type="dxa"/>
              <w:end w:w="120" w:type="dxa"/>
            </w:tcMar>
            <w:vAlign w:val="center"/>
          </w:tcPr>
          <w:p>
            <w:pPr>
              <w:spacing w:after="0" w:line="252" w:lineRule="auto"/>
            </w:pPr>
            <w:r>
              <w:rPr>
                <w:rFonts w:ascii="Calibri" w:hAnsi="Calibri"/>
                <w:b w:val="0"/>
                <w:color w:val="12233F"/>
                <w:sz w:val="18"/>
              </w:rPr>
              <w:t>Functions</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12233F"/>
                <w:sz w:val="18"/>
              </w:rPr>
              <w:t>MacKey de Bihr.</w:t>
            </w:r>
          </w:p>
        </w:tc>
      </w:tr>
    </w:tbl>
    <w:p>
      <w:pPr>
        <w:spacing w:after="40"/>
      </w:pPr>
    </w:p>
    <w:p>
      <w:pPr>
        <w:pStyle w:val="Small"/>
      </w:pPr>
      <w:r>
        <w:rPr>
          <w:rFonts w:ascii="Calibri" w:hAnsi="Calibri"/>
          <w:color w:val="12233F"/>
        </w:rPr>
        <w:t>Las variables con prefijo VITE_ forman parte de la configuración pública del cliente. Las claves de Resend y Bihr son privadas y nunca deben publicarse en el repositorio, capturas o documentación compartida.</w:t>
      </w:r>
    </w:p>
    <w:p>
      <w:pPr>
        <w:pStyle w:val="Heading2"/>
        <w:keepNext/>
      </w:pPr>
      <w:r>
        <w:t>12.2 Despliegues Firebase</w:t>
      </w:r>
    </w:p>
    <w:p>
      <w:r>
        <w:rPr>
          <w:rFonts w:ascii="Calibri" w:hAnsi="Calibri"/>
          <w:color w:val="12233F"/>
        </w:rPr>
        <w:t>Las funciones, reglas e índices pertenecen al proyecto Firebase victiker-taller y se ejecutan en europe-west1. El procesamiento CSV está vinculado al bucket victiker-taller.firebasestorage.app. Cualquier cambio de proyecto o bucket exige actualizar esa vinculación y volver a desplegar.</w:t>
      </w:r>
    </w:p>
    <w:p>
      <w:pPr>
        <w:pStyle w:val="Heading2"/>
        <w:keepNext/>
      </w:pPr>
      <w:r>
        <w:t>12.3 Comandos de verificación</w:t>
      </w:r>
    </w:p>
    <w:p>
      <w:pPr>
        <w:spacing w:after="100"/>
      </w:pPr>
      <w:r>
        <w:rPr>
          <w:rFonts w:ascii="Courier New" w:hAnsi="Courier New"/>
          <w:b/>
          <w:color w:val="092350"/>
          <w:sz w:val="18"/>
        </w:rPr>
        <w:t>npm run build</w:t>
      </w:r>
      <w:r>
        <w:rPr>
          <w:rFonts w:ascii="Calibri" w:hAnsi="Calibri"/>
          <w:color w:val="12233F"/>
          <w:sz w:val="20"/>
        </w:rPr>
        <w:t xml:space="preserve">  -  Compila la web y prepara el cliente y worker para el hosting.</w:t>
      </w:r>
    </w:p>
    <w:p>
      <w:pPr>
        <w:spacing w:after="100"/>
      </w:pPr>
      <w:r>
        <w:rPr>
          <w:rFonts w:ascii="Courier New" w:hAnsi="Courier New"/>
          <w:b/>
          <w:color w:val="092350"/>
          <w:sz w:val="18"/>
        </w:rPr>
        <w:t>npm --prefix functions test</w:t>
      </w:r>
      <w:r>
        <w:rPr>
          <w:rFonts w:ascii="Calibri" w:hAnsi="Calibri"/>
          <w:color w:val="12233F"/>
          <w:sz w:val="20"/>
        </w:rPr>
        <w:t xml:space="preserve">  -  Ejecuta las pruebas de Bihr y del CSV de muestra.</w:t>
      </w:r>
    </w:p>
    <w:p>
      <w:pPr>
        <w:spacing w:after="100"/>
      </w:pPr>
      <w:r>
        <w:rPr>
          <w:rFonts w:ascii="Courier New" w:hAnsi="Courier New"/>
          <w:b/>
          <w:color w:val="092350"/>
          <w:sz w:val="18"/>
        </w:rPr>
        <w:t>npm run test:sites</w:t>
      </w:r>
      <w:r>
        <w:rPr>
          <w:rFonts w:ascii="Calibri" w:hAnsi="Calibri"/>
          <w:color w:val="12233F"/>
          <w:sz w:val="20"/>
        </w:rPr>
        <w:t xml:space="preserve">  -  Verifica rutas SPA, endpoint de correo y empaquetado del hosting.</w:t>
      </w:r>
    </w:p>
    <w:p>
      <w:pPr>
        <w:spacing w:after="100"/>
      </w:pPr>
      <w:r>
        <w:rPr>
          <w:rFonts w:ascii="Courier New" w:hAnsi="Courier New"/>
          <w:b/>
          <w:color w:val="092350"/>
          <w:sz w:val="18"/>
        </w:rPr>
        <w:t>npm run firebase:grant-admin -- correo@empresa.com /ruta/service-account.json</w:t>
      </w:r>
      <w:r>
        <w:rPr>
          <w:rFonts w:ascii="Calibri" w:hAnsi="Calibri"/>
          <w:color w:val="12233F"/>
          <w:sz w:val="20"/>
        </w:rPr>
        <w:t xml:space="preserve">  -  Concede rol administrador a una cuenta existente; requiere credencial técnica autorizada.</w:t>
      </w:r>
    </w:p>
    <w:p>
      <w:pPr>
        <w:pStyle w:val="Heading2"/>
        <w:keepNext/>
      </w:pPr>
      <w:r>
        <w:t>12.4 Verificación realizada para este informe</w:t>
      </w:r>
    </w:p>
    <w:tbl>
      <w:tblPr>
        <w:tblStyle w:val="TableGrid"/>
        <w:tblW w:type="dxa" w:w="9360"/>
        <w:tblLayout w:type="fixed"/>
        <w:tblLook w:firstColumn="1" w:firstRow="1" w:lastColumn="0" w:lastRow="0" w:noHBand="0" w:noVBand="1" w:val="04A0"/>
        <w:jc w:val="left"/>
        <w:tblInd w:w="120" w:type="dxa"/>
      </w:tblPr>
      <w:tblGrid>
        <w:gridCol w:w="4300"/>
        <w:gridCol w:w="5060"/>
      </w:tblGrid>
      <w:tr>
        <w:trPr>
          <w:tblHeader w:val="true"/>
          <w:cantSplit/>
        </w:trPr>
        <w:tc>
          <w:tcPr>
            <w:tcW w:type="dxa" w:w="4300"/>
            <w:tcMar>
              <w:top w:w="80" w:type="dxa"/>
              <w:start w:w="120" w:type="dxa"/>
              <w:bottom w:w="80" w:type="dxa"/>
              <w:end w:w="120" w:type="dxa"/>
            </w:tcMar>
            <w:vAlign w:val="center"/>
            <w:shd w:fill="277A52" w:val="clear"/>
          </w:tcPr>
          <w:p>
            <w:pPr>
              <w:spacing w:after="0" w:line="252" w:lineRule="auto"/>
            </w:pPr>
            <w:r>
              <w:rPr>
                <w:rFonts w:ascii="Calibri" w:hAnsi="Calibri"/>
                <w:b/>
                <w:color w:val="12233F"/>
                <w:sz w:val="18"/>
              </w:rPr>
              <w:t>Prueba</w:t>
            </w:r>
          </w:p>
        </w:tc>
        <w:tc>
          <w:tcPr>
            <w:tcW w:type="dxa" w:w="5060"/>
            <w:tcMar>
              <w:top w:w="80" w:type="dxa"/>
              <w:start w:w="120" w:type="dxa"/>
              <w:bottom w:w="80" w:type="dxa"/>
              <w:end w:w="120" w:type="dxa"/>
            </w:tcMar>
            <w:vAlign w:val="center"/>
            <w:shd w:fill="277A52" w:val="clear"/>
          </w:tcPr>
          <w:p>
            <w:pPr>
              <w:spacing w:after="0" w:line="252" w:lineRule="auto"/>
            </w:pPr>
            <w:r>
              <w:rPr>
                <w:rFonts w:ascii="Calibri" w:hAnsi="Calibri"/>
                <w:b/>
                <w:color w:val="12233F"/>
                <w:sz w:val="18"/>
              </w:rPr>
              <w:t>Resultado</w:t>
            </w:r>
          </w:p>
        </w:tc>
      </w:tr>
      <w:tr>
        <w:trPr>
          <w:cantSplit/>
        </w:trPr>
        <w:tc>
          <w:tcPr>
            <w:tcW w:type="dxa" w:w="4300"/>
            <w:tcMar>
              <w:top w:w="80" w:type="dxa"/>
              <w:start w:w="120" w:type="dxa"/>
              <w:bottom w:w="80" w:type="dxa"/>
              <w:end w:w="120" w:type="dxa"/>
            </w:tcMar>
            <w:vAlign w:val="center"/>
          </w:tcPr>
          <w:p>
            <w:pPr>
              <w:spacing w:after="0" w:line="252" w:lineRule="auto"/>
            </w:pPr>
            <w:r>
              <w:rPr>
                <w:rFonts w:ascii="Calibri" w:hAnsi="Calibri"/>
                <w:b/>
                <w:color w:val="12233F"/>
                <w:sz w:val="18"/>
              </w:rPr>
              <w:t>Compilación Vite y empaquetado del worker</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12233F"/>
                <w:sz w:val="18"/>
              </w:rPr>
              <w:t>Correcto.</w:t>
            </w:r>
          </w:p>
        </w:tc>
      </w:tr>
      <w:tr>
        <w:trPr>
          <w:cantSplit/>
        </w:trPr>
        <w:tc>
          <w:tcPr>
            <w:tcW w:type="dxa" w:w="4300"/>
            <w:tcMar>
              <w:top w:w="80" w:type="dxa"/>
              <w:start w:w="120" w:type="dxa"/>
              <w:bottom w:w="80" w:type="dxa"/>
              <w:end w:w="120" w:type="dxa"/>
            </w:tcMar>
            <w:vAlign w:val="center"/>
          </w:tcPr>
          <w:p>
            <w:pPr>
              <w:spacing w:after="0" w:line="252" w:lineRule="auto"/>
            </w:pPr>
            <w:r>
              <w:rPr>
                <w:rFonts w:ascii="Calibri" w:hAnsi="Calibri"/>
                <w:b/>
                <w:color w:val="12233F"/>
                <w:sz w:val="18"/>
              </w:rPr>
              <w:t>Catálogo Bihr e importación CSV</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12233F"/>
                <w:sz w:val="18"/>
              </w:rPr>
              <w:t>12 de 12 pruebas superadas.</w:t>
            </w:r>
          </w:p>
        </w:tc>
      </w:tr>
      <w:tr>
        <w:trPr>
          <w:cantSplit/>
        </w:trPr>
        <w:tc>
          <w:tcPr>
            <w:tcW w:type="dxa" w:w="4300"/>
            <w:tcMar>
              <w:top w:w="80" w:type="dxa"/>
              <w:start w:w="120" w:type="dxa"/>
              <w:bottom w:w="80" w:type="dxa"/>
              <w:end w:w="120" w:type="dxa"/>
            </w:tcMar>
            <w:vAlign w:val="center"/>
          </w:tcPr>
          <w:p>
            <w:pPr>
              <w:spacing w:after="0" w:line="252" w:lineRule="auto"/>
            </w:pPr>
            <w:r>
              <w:rPr>
                <w:rFonts w:ascii="Calibri" w:hAnsi="Calibri"/>
                <w:b/>
                <w:color w:val="12233F"/>
                <w:sz w:val="18"/>
              </w:rPr>
              <w:t>Worker, rutas y correo</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12233F"/>
                <w:sz w:val="18"/>
              </w:rPr>
              <w:t>6 de 6 pruebas superadas.</w:t>
            </w:r>
          </w:p>
        </w:tc>
      </w:tr>
      <w:tr>
        <w:trPr>
          <w:cantSplit/>
        </w:trPr>
        <w:tc>
          <w:tcPr>
            <w:tcW w:type="dxa" w:w="4300"/>
            <w:tcMar>
              <w:top w:w="80" w:type="dxa"/>
              <w:start w:w="120" w:type="dxa"/>
              <w:bottom w:w="80" w:type="dxa"/>
              <w:end w:w="120" w:type="dxa"/>
            </w:tcMar>
            <w:vAlign w:val="center"/>
          </w:tcPr>
          <w:p>
            <w:pPr>
              <w:spacing w:after="0" w:line="252" w:lineRule="auto"/>
            </w:pPr>
            <w:r>
              <w:rPr>
                <w:rFonts w:ascii="Calibri" w:hAnsi="Calibri"/>
                <w:b/>
                <w:color w:val="12233F"/>
                <w:sz w:val="18"/>
              </w:rPr>
              <w:t>Estado del repositorio antes del informe</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12233F"/>
                <w:sz w:val="18"/>
              </w:rPr>
              <w:t>Sin cambios funcionales pendientes detectados en el árbol de trabajo.</w:t>
            </w:r>
          </w:p>
        </w:tc>
      </w:tr>
    </w:tbl>
    <w:p>
      <w:pPr>
        <w:spacing w:after="40"/>
      </w:pPr>
    </w:p>
    <w:p>
      <w:pPr>
        <w:pStyle w:val="Small"/>
      </w:pPr>
      <w:r>
        <w:rPr>
          <w:rFonts w:ascii="Calibri" w:hAnsi="Calibri"/>
          <w:color w:val="12233F"/>
        </w:rPr>
        <w:t>La compilación muestra una advertencia no bloqueante por el tamaño del paquete JavaScript principal (aprox. 1,0 MB minificado y 270 KB comprimido). La administración ya se carga de forma diferida. Como mejora futura, se puede dividir también el código de Firebase y catálogo para reducir la descarga inicial.</w:t>
      </w:r>
    </w:p>
    <w:p>
      <w:pPr>
        <w:pStyle w:val="Heading2"/>
        <w:keepNext/>
      </w:pPr>
      <w:r>
        <w:t>12.5 Limitaciones y mejoras recomendadas</w:t>
      </w:r>
    </w:p>
    <w:p>
      <w:pPr>
        <w:numPr>
          <w:ilvl w:val="0"/>
          <w:numId w:val="10"/>
        </w:numPr>
      </w:pPr>
      <w:r>
        <w:rPr>
          <w:rFonts w:ascii="Calibri" w:hAnsi="Calibri"/>
          <w:color w:val="12233F"/>
        </w:rPr>
        <w:t>Convertir el destinatario de correo en una variable de entorno para no editar código cuando cambie el buzón.</w:t>
      </w:r>
    </w:p>
    <w:p>
      <w:pPr>
        <w:numPr>
          <w:ilvl w:val="0"/>
          <w:numId w:val="10"/>
        </w:numPr>
      </w:pPr>
      <w:r>
        <w:rPr>
          <w:rFonts w:ascii="Calibri" w:hAnsi="Calibri"/>
          <w:color w:val="12233F"/>
        </w:rPr>
        <w:t>Evitar duplicados cuando el correo falla, usando un único endpoint servidor que guarde y notifique de forma idempotente.</w:t>
      </w:r>
    </w:p>
    <w:p>
      <w:pPr>
        <w:numPr>
          <w:ilvl w:val="0"/>
          <w:numId w:val="10"/>
        </w:numPr>
      </w:pPr>
      <w:r>
        <w:rPr>
          <w:rFonts w:ascii="Calibri" w:hAnsi="Calibri"/>
          <w:color w:val="12233F"/>
        </w:rPr>
        <w:t>Persistir temporalmente la selección de repuestos si se desea conservarla tras una recarga.</w:t>
      </w:r>
    </w:p>
    <w:p>
      <w:pPr>
        <w:numPr>
          <w:ilvl w:val="0"/>
          <w:numId w:val="10"/>
        </w:numPr>
      </w:pPr>
      <w:r>
        <w:rPr>
          <w:rFonts w:ascii="Calibri" w:hAnsi="Calibri"/>
          <w:color w:val="12233F"/>
        </w:rPr>
        <w:t>Añadir copias de seguridad y una política explícita de retención de solicitudes.</w:t>
      </w:r>
    </w:p>
    <w:p>
      <w:pPr>
        <w:numPr>
          <w:ilvl w:val="0"/>
          <w:numId w:val="10"/>
        </w:numPr>
      </w:pPr>
      <w:r>
        <w:rPr>
          <w:rFonts w:ascii="Calibri" w:hAnsi="Calibri"/>
          <w:color w:val="12233F"/>
        </w:rPr>
        <w:t>Exponer en el panel la sincronización manual de Bihr solo si el propietario necesita esa autonomía, con confirmaciones y permisos adecuados.</w:t>
      </w:r>
    </w:p>
    <w:p>
      <w:pPr>
        <w:numPr>
          <w:ilvl w:val="0"/>
          <w:numId w:val="10"/>
        </w:numPr>
      </w:pPr>
      <w:r>
        <w:rPr>
          <w:rFonts w:ascii="Calibri" w:hAnsi="Calibri"/>
          <w:color w:val="12233F"/>
        </w:rPr>
        <w:t>Incorporar textos legales y, si se añade analítica futura, gestión de consentimiento.</w:t>
      </w:r>
    </w:p>
    <w:p>
      <w:pPr>
        <w:pStyle w:val="Heading2"/>
        <w:keepNext/>
      </w:pPr>
      <w:r>
        <w:t>12.6 Referencia de archivos</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cantSplit/>
        </w:trPr>
        <w:tc>
          <w:tcPr>
            <w:tcW w:type="dxa" w:w="250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Área</w:t>
            </w:r>
          </w:p>
        </w:tc>
        <w:tc>
          <w:tcPr>
            <w:tcW w:type="dxa" w:w="6860"/>
            <w:tcMar>
              <w:top w:w="80" w:type="dxa"/>
              <w:start w:w="120" w:type="dxa"/>
              <w:bottom w:w="80" w:type="dxa"/>
              <w:end w:w="120" w:type="dxa"/>
            </w:tcMar>
            <w:vAlign w:val="center"/>
            <w:shd w:fill="092350" w:val="clear"/>
          </w:tcPr>
          <w:p>
            <w:pPr>
              <w:spacing w:after="0" w:line="252" w:lineRule="auto"/>
            </w:pPr>
            <w:r>
              <w:rPr>
                <w:rFonts w:ascii="Calibri" w:hAnsi="Calibri"/>
                <w:b/>
                <w:color w:val="FFFFFF"/>
                <w:sz w:val="18"/>
              </w:rPr>
              <w:t>Archivo o carpeta principal</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color w:val="12233F"/>
                <w:sz w:val="18"/>
              </w:rPr>
              <w:t>Aplicación y rutas</w:t>
            </w:r>
          </w:p>
        </w:tc>
        <w:tc>
          <w:tcPr>
            <w:tcW w:type="dxa" w:w="6860"/>
            <w:tcMar>
              <w:top w:w="80" w:type="dxa"/>
              <w:start w:w="120" w:type="dxa"/>
              <w:bottom w:w="80" w:type="dxa"/>
              <w:end w:w="120" w:type="dxa"/>
            </w:tcMar>
            <w:vAlign w:val="center"/>
          </w:tcPr>
          <w:p>
            <w:pPr>
              <w:spacing w:after="0" w:line="252" w:lineRule="auto"/>
            </w:pPr>
            <w:r>
              <w:rPr>
                <w:rFonts w:ascii="Calibri" w:hAnsi="Calibri"/>
                <w:b w:val="0"/>
                <w:color w:val="12233F"/>
                <w:sz w:val="18"/>
              </w:rPr>
              <w:t>src/App.jsx</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color w:val="12233F"/>
                <w:sz w:val="18"/>
              </w:rPr>
              <w:t>Páginas públicas</w:t>
            </w:r>
          </w:p>
        </w:tc>
        <w:tc>
          <w:tcPr>
            <w:tcW w:type="dxa" w:w="6860"/>
            <w:tcMar>
              <w:top w:w="80" w:type="dxa"/>
              <w:start w:w="120" w:type="dxa"/>
              <w:bottom w:w="80" w:type="dxa"/>
              <w:end w:w="120" w:type="dxa"/>
            </w:tcMar>
            <w:vAlign w:val="center"/>
          </w:tcPr>
          <w:p>
            <w:pPr>
              <w:spacing w:after="0" w:line="252" w:lineRule="auto"/>
            </w:pPr>
            <w:r>
              <w:rPr>
                <w:rFonts w:ascii="Calibri" w:hAnsi="Calibri"/>
                <w:b w:val="0"/>
                <w:color w:val="12233F"/>
                <w:sz w:val="18"/>
              </w:rPr>
              <w:t>src/pages/</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color w:val="12233F"/>
                <w:sz w:val="18"/>
              </w:rPr>
              <w:t>Panel de administración</w:t>
            </w:r>
          </w:p>
        </w:tc>
        <w:tc>
          <w:tcPr>
            <w:tcW w:type="dxa" w:w="6860"/>
            <w:tcMar>
              <w:top w:w="80" w:type="dxa"/>
              <w:start w:w="120" w:type="dxa"/>
              <w:bottom w:w="80" w:type="dxa"/>
              <w:end w:w="120" w:type="dxa"/>
            </w:tcMar>
            <w:vAlign w:val="center"/>
          </w:tcPr>
          <w:p>
            <w:pPr>
              <w:spacing w:after="0" w:line="252" w:lineRule="auto"/>
            </w:pPr>
            <w:r>
              <w:rPr>
                <w:rFonts w:ascii="Calibri" w:hAnsi="Calibri"/>
                <w:b w:val="0"/>
                <w:color w:val="12233F"/>
                <w:sz w:val="18"/>
              </w:rPr>
              <w:t>src/pages/AdminPage.jsx</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color w:val="12233F"/>
                <w:sz w:val="18"/>
              </w:rPr>
              <w:t>Catálogo y solicitudes</w:t>
            </w:r>
          </w:p>
        </w:tc>
        <w:tc>
          <w:tcPr>
            <w:tcW w:type="dxa" w:w="6860"/>
            <w:tcMar>
              <w:top w:w="80" w:type="dxa"/>
              <w:start w:w="120" w:type="dxa"/>
              <w:bottom w:w="80" w:type="dxa"/>
              <w:end w:w="120" w:type="dxa"/>
            </w:tcMar>
            <w:vAlign w:val="center"/>
          </w:tcPr>
          <w:p>
            <w:pPr>
              <w:spacing w:after="0" w:line="252" w:lineRule="auto"/>
            </w:pPr>
            <w:r>
              <w:rPr>
                <w:rFonts w:ascii="Calibri" w:hAnsi="Calibri"/>
                <w:b w:val="0"/>
                <w:color w:val="12233F"/>
                <w:sz w:val="18"/>
              </w:rPr>
              <w:t>src/lib/catalog.js, src/lib/requests.js</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color w:val="12233F"/>
                <w:sz w:val="18"/>
              </w:rPr>
              <w:t>Firebase cliente</w:t>
            </w:r>
          </w:p>
        </w:tc>
        <w:tc>
          <w:tcPr>
            <w:tcW w:type="dxa" w:w="6860"/>
            <w:tcMar>
              <w:top w:w="80" w:type="dxa"/>
              <w:start w:w="120" w:type="dxa"/>
              <w:bottom w:w="80" w:type="dxa"/>
              <w:end w:w="120" w:type="dxa"/>
            </w:tcMar>
            <w:vAlign w:val="center"/>
          </w:tcPr>
          <w:p>
            <w:pPr>
              <w:spacing w:after="0" w:line="252" w:lineRule="auto"/>
            </w:pPr>
            <w:r>
              <w:rPr>
                <w:rFonts w:ascii="Calibri" w:hAnsi="Calibri"/>
                <w:b w:val="0"/>
                <w:color w:val="12233F"/>
                <w:sz w:val="18"/>
              </w:rPr>
              <w:t>src/lib/firebase.js, src/lib/admin.js</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color w:val="12233F"/>
                <w:sz w:val="18"/>
              </w:rPr>
              <w:t>Correo y servidor web</w:t>
            </w:r>
          </w:p>
        </w:tc>
        <w:tc>
          <w:tcPr>
            <w:tcW w:type="dxa" w:w="6860"/>
            <w:tcMar>
              <w:top w:w="80" w:type="dxa"/>
              <w:start w:w="120" w:type="dxa"/>
              <w:bottom w:w="80" w:type="dxa"/>
              <w:end w:w="120" w:type="dxa"/>
            </w:tcMar>
            <w:vAlign w:val="center"/>
          </w:tcPr>
          <w:p>
            <w:pPr>
              <w:spacing w:after="0" w:line="252" w:lineRule="auto"/>
            </w:pPr>
            <w:r>
              <w:rPr>
                <w:rFonts w:ascii="Calibri" w:hAnsi="Calibri"/>
                <w:b w:val="0"/>
                <w:color w:val="12233F"/>
                <w:sz w:val="18"/>
              </w:rPr>
              <w:t>worker/index.js</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color w:val="12233F"/>
                <w:sz w:val="18"/>
              </w:rPr>
              <w:t>Importaciones y Bihr</w:t>
            </w:r>
          </w:p>
        </w:tc>
        <w:tc>
          <w:tcPr>
            <w:tcW w:type="dxa" w:w="6860"/>
            <w:tcMar>
              <w:top w:w="80" w:type="dxa"/>
              <w:start w:w="120" w:type="dxa"/>
              <w:bottom w:w="80" w:type="dxa"/>
              <w:end w:w="120" w:type="dxa"/>
            </w:tcMar>
            <w:vAlign w:val="center"/>
          </w:tcPr>
          <w:p>
            <w:pPr>
              <w:spacing w:after="0" w:line="252" w:lineRule="auto"/>
            </w:pPr>
            <w:r>
              <w:rPr>
                <w:rFonts w:ascii="Calibri" w:hAnsi="Calibri"/>
                <w:b w:val="0"/>
                <w:color w:val="12233F"/>
                <w:sz w:val="18"/>
              </w:rPr>
              <w:t>functions/index.js, functions/bihr.js</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color w:val="12233F"/>
                <w:sz w:val="18"/>
              </w:rPr>
              <w:t>Seguridad</w:t>
            </w:r>
          </w:p>
        </w:tc>
        <w:tc>
          <w:tcPr>
            <w:tcW w:type="dxa" w:w="6860"/>
            <w:tcMar>
              <w:top w:w="80" w:type="dxa"/>
              <w:start w:w="120" w:type="dxa"/>
              <w:bottom w:w="80" w:type="dxa"/>
              <w:end w:w="120" w:type="dxa"/>
            </w:tcMar>
            <w:vAlign w:val="center"/>
          </w:tcPr>
          <w:p>
            <w:pPr>
              <w:spacing w:after="0" w:line="252" w:lineRule="auto"/>
            </w:pPr>
            <w:r>
              <w:rPr>
                <w:rFonts w:ascii="Calibri" w:hAnsi="Calibri"/>
                <w:b w:val="0"/>
                <w:color w:val="12233F"/>
                <w:sz w:val="18"/>
              </w:rPr>
              <w:t>firestore.rules, storage.rules</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color w:val="12233F"/>
                <w:sz w:val="18"/>
              </w:rPr>
              <w:t>SEO</w:t>
            </w:r>
          </w:p>
        </w:tc>
        <w:tc>
          <w:tcPr>
            <w:tcW w:type="dxa" w:w="6860"/>
            <w:tcMar>
              <w:top w:w="80" w:type="dxa"/>
              <w:start w:w="120" w:type="dxa"/>
              <w:bottom w:w="80" w:type="dxa"/>
              <w:end w:w="120" w:type="dxa"/>
            </w:tcMar>
            <w:vAlign w:val="center"/>
          </w:tcPr>
          <w:p>
            <w:pPr>
              <w:spacing w:after="0" w:line="252" w:lineRule="auto"/>
            </w:pPr>
            <w:r>
              <w:rPr>
                <w:rFonts w:ascii="Calibri" w:hAnsi="Calibri"/>
                <w:b w:val="0"/>
                <w:color w:val="12233F"/>
                <w:sz w:val="18"/>
              </w:rPr>
              <w:t>index.html, public/robots.txt, public/sitemap.xml</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color w:val="12233F"/>
                <w:sz w:val="18"/>
              </w:rPr>
              <w:t>Muestra barco</w:t>
            </w:r>
          </w:p>
        </w:tc>
        <w:tc>
          <w:tcPr>
            <w:tcW w:type="dxa" w:w="6860"/>
            <w:tcMar>
              <w:top w:w="80" w:type="dxa"/>
              <w:start w:w="120" w:type="dxa"/>
              <w:bottom w:w="80" w:type="dxa"/>
              <w:end w:w="120" w:type="dxa"/>
            </w:tcMar>
            <w:vAlign w:val="center"/>
          </w:tcPr>
          <w:p>
            <w:pPr>
              <w:spacing w:after="0" w:line="252" w:lineRule="auto"/>
            </w:pPr>
            <w:r>
              <w:rPr>
                <w:rFonts w:ascii="Calibri" w:hAnsi="Calibri"/>
                <w:b w:val="0"/>
                <w:color w:val="12233F"/>
                <w:sz w:val="18"/>
              </w:rPr>
              <w:t>public/muestra-catalogo-barco.csv</w:t>
            </w:r>
          </w:p>
        </w:tc>
      </w:tr>
    </w:tbl>
    <w:p>
      <w:pPr>
        <w:spacing w:after="40"/>
      </w:pPr>
    </w:p>
    <w:p>
      <w:pPr>
        <w:pStyle w:val="Heading1"/>
        <w:keepNext/>
      </w:pPr>
      <w:r>
        <w:t>Cierre</w:t>
      </w:r>
    </w:p>
    <w:p>
      <w:pPr>
        <w:pStyle w:val="Lead"/>
      </w:pPr>
      <w:r>
        <w:rPr>
          <w:rFonts w:ascii="Calibri" w:hAnsi="Calibri"/>
          <w:color w:val="12233F"/>
        </w:rPr>
        <w:t>La web está preparada para operar como escaparate, catálogo y canal de captación de Victiker. El propietario dispone de control sobre las solicitudes y el catálogo, mientras las integraciones automatizan la parte más pesada del inventario de motos. Una vez completados el dominio, los correos y las comprobaciones legales y de entrega, el sistema puede pasar a explotación ordinaria siguiendo las rutinas descritas en este manual.</w:t>
      </w:r>
    </w:p>
    <w:p>
      <w:pPr>
        <w:pStyle w:val="Callout"/>
        <w:shd w:val="clear" w:fill="E8EEF5"/>
        <w:pBdr>
          <w:left w:val="single" w:sz="18" w:space="8" w:color="277A52"/>
        </w:pBdr>
      </w:pPr>
      <w:r>
        <w:rPr>
          <w:rFonts w:ascii="Calibri" w:hAnsi="Calibri"/>
          <w:b/>
          <w:color w:val="277A52"/>
          <w:sz w:val="18"/>
        </w:rPr>
        <w:t xml:space="preserve">PRIORIDADES INMEDIATAS  </w:t>
      </w:r>
      <w:r>
        <w:rPr>
          <w:rFonts w:ascii="Calibri" w:hAnsi="Calibri"/>
          <w:color w:val="12233F"/>
          <w:sz w:val="21"/>
        </w:rPr>
        <w:t>1) cerrar dominio y HTTPS; 2) configurar remitente y destinatario definitivos; 3) probar cita y repuestos de extremo a extremo; 4) confirmar administradores y textos legales.</w:t>
      </w:r>
    </w:p>
    <w:sectPr w:rsidR="00FC693F" w:rsidRPr="0006063C" w:rsidSect="00034616">
      <w:headerReference w:type="default" r:id="rId12"/>
      <w:footerReference w:type="default" r:id="rId13"/>
      <w:pgSz w:w="12240" w:h="15840"/>
      <w:pgMar w:top="1224"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526174"/>
        <w:sz w:val="18"/>
      </w:rPr>
      <w:t xml:space="preserve">Documento de entrega  •  Página </w:t>
    </w:r>
    <w:r>
      <w:rPr>
        <w:rFonts w:ascii="Calibri" w:hAnsi="Calibri"/>
        <w:color w:val="526174"/>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5" w:space="4" w:color="D8DEE8"/>
      </w:pBdr>
    </w:pPr>
    <w:r>
      <w:rPr>
        <w:rFonts w:ascii="Calibri" w:hAnsi="Calibri"/>
        <w:b/>
        <w:color w:val="526174"/>
        <w:sz w:val="16"/>
      </w:rPr>
      <w:t>VICTIKER  |  DOCUMENTACIÓN DE LA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color w:val="F28C28"/>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300" w:lineRule="auto"/>
      </w:pPr>
      <w:rPr>
        <w:rFonts w:ascii="Calibri" w:hAnsi="Calibri"/>
        <w:color w:val="2E74B5"/>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2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09235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line="264" w:lineRule="auto"/>
    </w:pPr>
    <w:rPr>
      <w:rFonts w:asciiTheme="majorHAnsi" w:eastAsiaTheme="majorEastAsia" w:hAnsiTheme="majorHAnsi" w:cstheme="majorBidi" w:ascii="Calibri" w:hAnsi="Calibri"/>
      <w:i/>
      <w:iCs/>
      <w:color w:val="5261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Calibri" w:hAnsi="Calibri"/>
      <w:b/>
      <w:color w:val="F28C28"/>
      <w:sz w:val="18"/>
    </w:rPr>
  </w:style>
  <w:style w:type="paragraph" w:customStyle="1" w:styleId="Lead">
    <w:name w:val="Lead"/>
    <w:pPr>
      <w:spacing w:after="200" w:line="300" w:lineRule="auto"/>
    </w:pPr>
    <w:rPr>
      <w:rFonts w:ascii="Calibri" w:hAnsi="Calibri"/>
      <w:color w:val="12233F"/>
      <w:sz w:val="25"/>
    </w:rPr>
  </w:style>
  <w:style w:type="paragraph" w:customStyle="1" w:styleId="Callout">
    <w:name w:val="Callout"/>
    <w:pPr>
      <w:spacing w:before="120" w:after="160" w:line="288" w:lineRule="auto"/>
      <w:ind w:left="173" w:right="173"/>
    </w:pPr>
    <w:rPr>
      <w:rFonts w:ascii="Calibri" w:hAnsi="Calibri"/>
      <w:sz w:val="21"/>
    </w:rPr>
  </w:style>
  <w:style w:type="paragraph" w:customStyle="1" w:styleId="Small">
    <w:name w:val="Small"/>
    <w:pPr>
      <w:spacing w:after="80" w:line="264" w:lineRule="auto"/>
    </w:pPr>
    <w:rPr>
      <w:rFonts w:ascii="Calibri" w:hAnsi="Calibri"/>
      <w:color w:val="5261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web y panel de administración de Victiker</dc:title>
  <dc:subject>Manual funcional, operativo y técnico de entrega</dc:subject>
  <dc:creator>Victiker</dc:creator>
  <cp:keywords>Victiker, web, administración, catálogo, repuestos, manual de entrega</cp:keywords>
  <dc:description>Documento preparado para la entrega al propietario.</dc:description>
  <cp:lastModifiedBy>Victiker</cp:lastModifiedBy>
  <cp:revision>1</cp:revision>
  <dcterms:created xsi:type="dcterms:W3CDTF">2013-12-23T23:15:00Z</dcterms:created>
  <dcterms:modified xsi:type="dcterms:W3CDTF">2013-12-23T23:15:00Z</dcterms:modified>
  <cp:category/>
</cp:coreProperties>
</file>