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Override PartName="/word/embeddings/openusd_figure2.pptx" ContentType="application/vnd.openxmlformats-officedocument.presentationml.presentation"/>
  <Override PartName="/word/embeddings/openusd_figure3.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OpenUSD</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0.5.0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OpenUSDPart 1 :OpenUSD Binding</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0.5.0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Alliance for OpenUSD</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Alliance for OpenUSD</w:t>
      </w:r>
      <w:r w:rsidRPr="004C388A">
        <w:rPr>
          <w:sz w:val="16"/>
          <w:szCs w:val="16"/>
        </w:rPr>
        <w:t xml:space="preserve"> specifications may require use of an invention covered by patent rights. OPC Foundation or </w:t>
      </w:r>
      <w:r w:rsidRPr="004C388A">
        <w:rPr>
          <w:color w:val="FF0000"/>
          <w:sz w:val="16"/>
          <w:szCs w:val="16"/>
        </w:rPr>
        <w:t xml:space="preserve">Alliance for OpenUSD</w:t>
      </w:r>
      <w:r w:rsidRPr="004C388A">
        <w:rPr>
          <w:sz w:val="16"/>
          <w:szCs w:val="16"/>
        </w:rPr>
        <w:t xml:space="preserve"> shall not be responsible for identifying patents for which a license may be required by any OPC or </w:t>
      </w:r>
      <w:r w:rsidRPr="004C388A">
        <w:rPr>
          <w:color w:val="FF0000"/>
          <w:sz w:val="16"/>
          <w:szCs w:val="16"/>
        </w:rPr>
        <w:t xml:space="preserve">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0.5.0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Binding</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pPr>
        <w:pStyle w:val="PARAGRAPH"/>
      </w:pPr>
      <w:r>
        <w:t xml:space="preserve">This specification defines a small, generic </w:t>
      </w:r>
      <w:r>
        <w:rPr>
          <w:b/>
        </w:rPr>
        <w:t xml:space="preserve">representation and binding layer</w:t>
      </w:r>
      <w:r>
        <w:t xml:space="preserve"> between an OPC UA address space and an OpenUSD model. It is deliberately domain-agnostic: it binds the Objects and Variables of </w:t>
      </w:r>
      <w:r>
        <w:rPr>
          <w:b/>
        </w:rPr>
        <w:t xml:space="preserve">any</w:t>
      </w:r>
      <w:r>
        <w:t xml:space="preserve"> companion specification (Pumps, Robotics, Machinery, …) to a USD scene, and it does not require modifying the USD asset.</w:t>
      </w:r>
    </w:p>
    <w:p>
      <w:pPr>
        <w:pStyle w:val="PARAGRAPH"/>
      </w:pPr>
      <w:r>
        <w:t xml:space="preserve">The model has five portable capability groups and one informative profile:</w:t>
      </w:r>
    </w:p>
    <w:p>
      <w:pPr>
        <w:pStyle w:val="ListBullet"/>
        <w:numPr>
          <w:ilvl w:val="0"/>
          <w:numId w:val="21"/>
        </w:numPr>
      </w:pPr>
      <w:r>
        <w:rPr>
          <w:b/>
        </w:rPr>
        <w:t xml:space="preserve">Representation (identity).</w:t>
      </w:r>
      <w:r>
        <w:t xml:space="preserve"> A mandatory, well-known discovery facility (</w:t>
      </w:r>
      <w:r>
        <w:rPr>
          <w:rStyle w:val="VARIABLE"/>
        </w:rPr>
        <w:t xml:space="preserve">Server/OpenUSD</w:t>
      </w:r>
      <w:r>
        <w:t xml:space="preserve">) plus an </w:t>
      </w:r>
      <w:r>
        <w:rPr>
          <w:rStyle w:val="VARIABLE"/>
        </w:rPr>
        <w:t xml:space="preserve">OpenUsdRepresentation</w:t>
      </w:r>
      <w:r>
        <w:t xml:space="preserve"> AddIn that ties an OPC UA Object to a canonical composed USD prim path on a named stage, with optional content-integrity metadata (digest/signature) so a referenced asset can be verified. Representation carries </w:t>
      </w:r>
      <w:r>
        <w:rPr>
          <w:b/>
        </w:rPr>
        <w:t xml:space="preserve">identity only</w:t>
      </w:r>
      <w:r>
        <w:t xml:space="preserve">; it does not carry values.</w:t>
      </w:r>
    </w:p>
    <w:p>
      <w:pPr>
        <w:pStyle w:val="ListBullet"/>
        <w:numPr>
          <w:ilvl w:val="0"/>
          <w:numId w:val="21"/>
        </w:numPr>
      </w:pPr>
      <w:r>
        <w:rPr>
          <w:b/>
        </w:rPr>
        <w:t xml:space="preserve">Live property binding (telemetry).</w:t>
      </w:r>
      <w:r>
        <w:t xml:space="preserve"> A read-only mapping from a source OPC UA </w:t>
      </w:r>
      <w:r>
        <w:rPr>
          <w:rStyle w:val="VARIABLE"/>
        </w:rPr>
        <w:t xml:space="preserve">Variable</w:t>
      </w:r>
      <w:r>
        <w:t xml:space="preserve"> </w:t>
      </w:r>
      <w:r>
        <w:rPr>
          <w:rStyle w:val="VARIABLE"/>
        </w:rPr>
        <w:t xml:space="preserve">Value</w:t>
      </w:r>
      <w:r>
        <w:t xml:space="preserve"> — resolved by NodeId, RelativePath, or </w:t>
      </w:r>
      <w:r>
        <w:rPr>
          <w:b/>
        </w:rPr>
        <w:t xml:space="preserve">semantic id</w:t>
      </w:r>
      <w:r>
        <w:t xml:space="preserve"> — to a target USD attribute, with conversion and with quality/timestamp/persistence </w:t>
      </w:r>
      <w:r>
        <w:rPr>
          <w:b/>
        </w:rPr>
        <w:t xml:space="preserve">hints</w:t>
      </w:r>
      <w:r>
        <w:t xml:space="preserve">. This binds </w:t>
      </w:r>
      <w:r>
        <w:rPr>
          <w:b/>
        </w:rPr>
        <w:t xml:space="preserve">existing</w:t>
      </w:r>
      <w:r>
        <w:t xml:space="preserve"> domain Variables; it does not duplicate process data. Event/alarm state and historical playback are expressed as additional intent profiles on the same binding type.</w:t>
      </w:r>
    </w:p>
    <w:p>
      <w:pPr>
        <w:pStyle w:val="ListBullet"/>
        <w:numPr>
          <w:ilvl w:val="0"/>
          <w:numId w:val="21"/>
        </w:numPr>
      </w:pPr>
      <w:r>
        <w:rPr>
          <w:b/>
        </w:rPr>
        <w:t xml:space="preserve">Command binding (control).</w:t>
      </w:r>
      <w:r>
        <w:t xml:space="preserve"> An </w:t>
      </w:r>
      <w:r>
        <w:rPr>
          <w:b/>
        </w:rPr>
        <w:t xml:space="preserve">opt-in</w:t>
      </w:r>
      <w:r>
        <w:t xml:space="preserve">, authorized, single-writer mapping from a USD-side intent to an OPC UA setpoint write or </w:t>
      </w:r>
      <w:r>
        <w:rPr>
          <w:rStyle w:val="VARIABLE"/>
        </w:rPr>
        <w:t xml:space="preserve">Method</w:t>
      </w:r>
      <w:r>
        <w:t xml:space="preserve"> call, so an agent or operator can act on the plant through the same declared, discoverable model. The opt-in is a matter of connector configuration and server </w:t>
      </w:r>
      <w:r>
        <w:rPr>
          <w:rStyle w:val="VARIABLE"/>
        </w:rPr>
        <w:t xml:space="preserve">RolePermissions</w:t>
      </w:r>
      <w:r>
        <w:t xml:space="preserve"> (not the </w:t>
      </w:r>
      <w:r>
        <w:rPr>
          <w:rStyle w:val="VARIABLE"/>
        </w:rPr>
        <w:t xml:space="preserve">Enabled</w:t>
      </w:r>
      <w:r>
        <w:t xml:space="preserve"> flag): a Server declares a command binding only deliberately and a conformant connector actuates it only when explicitly enabled and authorized, so the default posture of the model remains read-only.</w:t>
      </w:r>
    </w:p>
    <w:p>
      <w:pPr>
        <w:pStyle w:val="ListBullet"/>
        <w:numPr>
          <w:ilvl w:val="0"/>
          <w:numId w:val="21"/>
        </w:numPr>
      </w:pPr>
      <w:r>
        <w:rPr>
          <w:b/>
        </w:rPr>
        <w:t xml:space="preserve">Composition (aggregation).</w:t>
      </w:r>
      <w:r>
        <w:t xml:space="preserve"> A declarative mapping of an asset's </w:t>
      </w:r>
      <w:r>
        <w:rPr>
          <w:b/>
        </w:rPr>
        <w:t xml:space="preserve">components</w:t>
      </w:r>
      <w:r>
        <w:t xml:space="preserve"> onto the USD prim hierarchy — 1:1 or 1..n, inline child prims or referenced/instanced sub-assets, static or </w:t>
      </w:r>
      <w:r>
        <w:rPr>
          <w:b/>
        </w:rPr>
        <w:t xml:space="preserve">dynamic</w:t>
      </w:r>
      <w:r>
        <w:t xml:space="preserve"> (reconciled from model-change events), and even components hosted on </w:t>
      </w:r>
      <w:r>
        <w:rPr>
          <w:b/>
        </w:rPr>
        <w:t xml:space="preserve">another server</w:t>
      </w:r>
      <w:r>
        <w:t xml:space="preserve"> — so the visual twin mirrors the asset's </w:t>
      </w:r>
      <w:r>
        <w:rPr>
          <w:i/>
        </w:rPr>
        <w:t xml:space="preserve">is-composed-of</w:t>
      </w:r>
      <w:r>
        <w:t xml:space="preserve"> structure.</w:t>
      </w:r>
    </w:p>
    <w:p>
      <w:pPr>
        <w:pStyle w:val="ListBullet"/>
        <w:numPr>
          <w:ilvl w:val="0"/>
          <w:numId w:val="21"/>
        </w:numPr>
      </w:pPr>
      <w:r>
        <w:rPr>
          <w:b/>
        </w:rPr>
        <w:t xml:space="preserve">Asset content delivery.</w:t>
      </w:r>
      <w:r>
        <w:t xml:space="preserve"> An optional address-space facility by which a server serves the artist-authored USD root layer and its dependency closure through OPC UA Part 5 </w:t>
      </w:r>
      <w:r>
        <w:rPr>
          <w:rStyle w:val="VARIABLE"/>
        </w:rPr>
        <w:t xml:space="preserve">FileType</w:t>
      </w:r>
      <w:r>
        <w:t xml:space="preserve">, with per-layer digests, so a generic connector can download, verify, cache, compose, and render without external asset-repository setup. The facility is an </w:t>
      </w:r>
      <w:r>
        <w:rPr>
          <w:b/>
        </w:rPr>
        <w:t xml:space="preserve">xRegistry artifact registry</w:t>
      </w:r>
      <w:r>
        <w:t xml:space="preserve"> (</w:t>
      </w:r>
      <w:r>
        <w:t xml:space="preserve">§7.11</w:t>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 xml:space="preserve">ArResolver</w:t>
      </w:r>
      <w:r>
        <w:t xml:space="preserve"> backend.</w:t>
      </w:r>
    </w:p>
    <w:p>
      <w:pPr>
        <w:pStyle w:val="ListBullet"/>
        <w:numPr>
          <w:ilvl w:val="0"/>
          <w:numId w:val="21"/>
        </w:numPr>
      </w:pPr>
      <w:r>
        <w:rPr>
          <w:b/>
        </w:rPr>
        <w:t xml:space="preserve">Omniverse realization (informative).</w:t>
      </w:r>
      <w:r>
        <w:t xml:space="preserve"> How a connector realizes the model in NVIDIA Omniverse (Nucleus </w:t>
      </w:r>
      <w:r>
        <w:rPr>
          <w:rStyle w:val="VARIABLE"/>
        </w:rPr>
        <w:t xml:space="preserve">.live</w:t>
      </w:r>
      <w:r>
        <w:t xml:space="preserve"> layers, USDRT, OmniGraph, frame coalescing). This is a separate, vendor-governed profile and is </w:t>
      </w:r>
      <w:r>
        <w:rPr>
          <w:b/>
        </w:rPr>
        <w:t xml:space="preserve">not</w:t>
      </w:r>
      <w:r>
        <w:t xml:space="preserve"> part of the portable normative model.</w:t>
      </w:r>
    </w:p>
    <w:p>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 xml:space="preserve">normative but optional</w:t>
      </w:r>
      <w:r>
        <w:t xml:space="preserve"> capabilities a Server may choose not to implement.</w:t>
      </w:r>
    </w:p>
    <w:p>
      <w:pPr>
        <w:pStyle w:val="Heading2"/>
      </w:pPr>
      <w:bookmarkStart w:id="448" w:name="_Clause_c1_1"/>
      <w:r>
        <w:t xml:space="preserve">Motivation</w:t>
      </w:r>
      <w:bookmarkEnd w:id="448"/>
    </w:p>
    <w:p>
      <w:pPr>
        <w:pStyle w:val="PARAGRAPH"/>
      </w:pPr>
      <w:r>
        <w:t xml:space="preserve">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pPr>
        <w:pStyle w:val="PARAGRAPH"/>
      </w:pPr>
      <w:r>
        <w:t xml:space="preserve">The result is an </w:t>
      </w:r>
      <w:r>
        <w:rPr>
          <w:b/>
        </w:rPr>
        <w:t xml:space="preserve">N×M integration problem</w:t>
      </w:r>
      <w:r>
        <w:t xml:space="preserve">: </w:t>
      </w:r>
      <w:r>
        <w:rPr>
          <w:i/>
        </w:rPr>
        <w:t xml:space="preserve">N</w:t>
      </w:r>
      <w:r>
        <w:t xml:space="preserve"> servers (pumps, robots, machines, lines) each hand-crafted against </w:t>
      </w:r>
      <w:r>
        <w:rPr>
          <w:i/>
        </w:rPr>
        <w:t xml:space="preserve">M</w:t>
      </w:r>
      <w:r>
        <w:t xml:space="preserve"> visualization tools (Omniverse, </w:t>
      </w:r>
      <w:r>
        <w:rPr>
          <w:rStyle w:val="VARIABLE"/>
        </w:rPr>
        <w:t xml:space="preserve">usdview</w:t>
      </w:r>
      <w:r>
        <w:t xml:space="preserve">, web viewers, HMIs) require up to </w:t>
      </w:r>
      <w:r>
        <w:rPr>
          <w:i/>
        </w:rPr>
        <w:t xml:space="preserve">N×M</w:t>
      </w:r>
      <w:r>
        <w:t xml:space="preserve"> one-off bridges, none reusable. This specification collapses that to </w:t>
      </w:r>
      <w:r>
        <w:rPr>
          <w:b/>
        </w:rPr>
        <w:t xml:space="preserve">N + M</w:t>
      </w:r>
      <w:r>
        <w:t xml:space="preserve">: each server declares its mapping </w:t>
      </w:r>
      <w:r>
        <w:rPr>
          <w:b/>
        </w:rPr>
        <w:t xml:space="preserve">once</w:t>
      </w:r>
      <w:r>
        <w:t xml:space="preserve">, in its own address space, and each tool implements </w:t>
      </w:r>
      <w:r>
        <w:rPr>
          <w:b/>
        </w:rPr>
        <w:t xml:space="preserve">one</w:t>
      </w:r>
      <w:r>
        <w:t xml:space="preserve"> generic connector. The mapping becomes a first-class, browsable, versioned, authoritative part of the OPC UA model instead of hidden connector code, so a </w:t>
      </w:r>
      <w:r>
        <w:rPr>
          <w:b/>
        </w:rPr>
        <w:t xml:space="preserve">generic</w:t>
      </w:r>
      <w:r>
        <w:t xml:space="preserve"> connector can discover and apply it for any conforming server without prior knowledge of the domain.</w:t>
      </w:r>
    </w:p>
    <w:p>
      <w:pPr>
        <w:pStyle w:val="Heading2"/>
      </w:pPr>
      <w:bookmarkStart w:id="449" w:name="_Clause_c1_2"/>
      <w:r>
        <w:t xml:space="preserve">What it simplifies and what it enables</w:t>
      </w:r>
      <w:bookmarkEnd w:id="449"/>
    </w:p>
    <w:p>
      <w:pPr>
        <w:pStyle w:val="PARAGRAPH"/>
      </w:pPr>
      <w:r>
        <w:rPr>
          <w:b/>
        </w:rPr>
        <w:t xml:space="preserve">Simplifies.</w:t>
      </w:r>
    </w:p>
    <w:p>
      <w:pPr>
        <w:pStyle w:val="ListBullet"/>
        <w:numPr>
          <w:ilvl w:val="0"/>
          <w:numId w:val="21"/>
        </w:numPr>
      </w:pPr>
      <w:r>
        <w:rPr>
          <w:b/>
        </w:rPr>
        <w:t xml:space="preserve">One declaration, not N×M bridges.</w:t>
      </w:r>
      <w:r>
        <w:t xml:space="preserve"> The value/identity mapping is authored once in the server and consumed by any conforming connector; adding a viewer no longer means writing another bridge.</w:t>
      </w:r>
    </w:p>
    <w:p>
      <w:pPr>
        <w:pStyle w:val="ListBullet"/>
        <w:numPr>
          <w:ilvl w:val="0"/>
          <w:numId w:val="21"/>
        </w:numPr>
      </w:pPr>
      <w:r>
        <w:rPr>
          <w:b/>
        </w:rPr>
        <w:t xml:space="preserve">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pPr>
        <w:pStyle w:val="ListBullet"/>
        <w:numPr>
          <w:ilvl w:val="0"/>
          <w:numId w:val="21"/>
        </w:numPr>
      </w:pPr>
      <w:r>
        <w:rPr>
          <w:b/>
        </w:rPr>
        <w:t xml:space="preserve">Deterministic onboarding.</w:t>
      </w:r>
      <w:r>
        <w:t xml:space="preserve"> Discovery starts at a single well-known entry point (</w:t>
      </w:r>
      <w:r>
        <w:rPr>
          <w:rStyle w:val="VARIABLE"/>
        </w:rPr>
        <w:t xml:space="preserve">Server/OpenUSD/Representations</w:t>
      </w:r>
      <w:r>
        <w:t xml:space="preserve">), so bringing a new asset online is "browse and go" rather than "find out which NodeIds the artist hard-coded".</w:t>
      </w:r>
    </w:p>
    <w:p>
      <w:pPr>
        <w:pStyle w:val="ListBullet"/>
        <w:numPr>
          <w:ilvl w:val="0"/>
          <w:numId w:val="21"/>
        </w:numPr>
      </w:pPr>
      <w:r>
        <w:rPr>
          <w:b/>
        </w:rPr>
        <w:t xml:space="preserve">Identity separated from values.</w:t>
      </w:r>
      <w:r>
        <w:t xml:space="preserve"> A server can publish </w:t>
      </w:r>
      <w:r>
        <w:rPr>
          <w:i/>
        </w:rPr>
        <w:t xml:space="preserve">which</w:t>
      </w:r>
      <w:r>
        <w:t xml:space="preserve"> prim represents </w:t>
      </w:r>
      <w:r>
        <w:rPr>
          <w:i/>
        </w:rPr>
        <w:t xml:space="preserve">which</w:t>
      </w:r>
      <w:r>
        <w:t xml:space="preserve"> Object (Part 1) before any live values are wired, and add value bindings (Part 2) later, without breaking consumers.</w:t>
      </w:r>
    </w:p>
    <w:p>
      <w:pPr>
        <w:pStyle w:val="ListBullet"/>
        <w:numPr>
          <w:ilvl w:val="0"/>
          <w:numId w:val="21"/>
        </w:numPr>
      </w:pPr>
      <w:r>
        <w:rPr>
          <w:b/>
        </w:rPr>
        <w:t xml:space="preserve">Reuses existing models unchanged.</w:t>
      </w:r>
      <w:r>
        <w:t xml:space="preserve"> Bindings </w:t>
      </w:r>
      <w:r>
        <w:rPr>
          <w:i/>
        </w:rPr>
        <w:t xml:space="preserve">reference</w:t>
      </w:r>
      <w:r>
        <w:t xml:space="preserve"> the Variables that domain companion specs (Pumps, Robotics, Machinery, …) already expose; they do not duplicate or re-model process data.</w:t>
      </w:r>
    </w:p>
    <w:p>
      <w:pPr>
        <w:pStyle w:val="PARAGRAPH"/>
      </w:pPr>
      <w:r>
        <w:rPr>
          <w:b/>
        </w:rPr>
        <w:t xml:space="preserve">Enables.</w:t>
      </w:r>
    </w:p>
    <w:p>
      <w:pPr>
        <w:pStyle w:val="ListBullet"/>
        <w:numPr>
          <w:ilvl w:val="0"/>
          <w:numId w:val="21"/>
        </w:numPr>
      </w:pPr>
      <w:r>
        <w:rPr>
          <w:b/>
        </w:rPr>
        <w:t xml:space="preserve">Interchangeable connectors and renderers.</w:t>
      </w:r>
      <w:r>
        <w:t xml:space="preserve"> Competing tools — NVIDIA Omniverse, open-source </w:t>
      </w:r>
      <w:r>
        <w:rPr>
          <w:rStyle w:val="VARIABLE"/>
        </w:rPr>
        <w:t xml:space="preserve">usdview</w:t>
      </w:r>
      <w:r>
        <w:t xml:space="preserve">, web viewers — operate over the same declared contract, so servers and viewers evolve independently.</w:t>
      </w:r>
    </w:p>
    <w:p>
      <w:pPr>
        <w:pStyle w:val="ListBullet"/>
        <w:numPr>
          <w:ilvl w:val="0"/>
          <w:numId w:val="21"/>
        </w:numPr>
      </w:pPr>
      <w:r>
        <w:rPr>
          <w:b/>
        </w:rPr>
        <w:t xml:space="preserve">Vendor-neutral, auditable digital twins.</w:t>
      </w:r>
      <w:r>
        <w:t xml:space="preserve"> Because the mapping is authoritative, versioned, and part of the model, it can be reviewed, diffed, validated, and governed like any other engineering artifact.</w:t>
      </w:r>
    </w:p>
    <w:p>
      <w:pPr>
        <w:pStyle w:val="ListBullet"/>
        <w:numPr>
          <w:ilvl w:val="0"/>
          <w:numId w:val="21"/>
        </w:numPr>
      </w:pPr>
      <w:r>
        <w:rPr>
          <w:b/>
        </w:rPr>
        <w:t xml:space="preserve">Toolable pipelines.</w:t>
      </w:r>
      <w:r>
        <w:t xml:space="preserve"> The mapping is machine-readable, so it can be generated from engineering data, checked in CI, and migrated across versions (override/tombstone matching via </w:t>
      </w:r>
      <w:r>
        <w:rPr>
          <w:rStyle w:val="VARIABLE"/>
        </w:rPr>
        <w:t xml:space="preserve">BindingDefinitionId</w:t>
      </w:r>
      <w:r>
        <w:t xml:space="preserve">).</w:t>
      </w:r>
    </w:p>
    <w:p>
      <w:pPr>
        <w:pStyle w:val="ListBullet"/>
        <w:numPr>
          <w:ilvl w:val="0"/>
          <w:numId w:val="21"/>
        </w:numPr>
      </w:pPr>
      <w:r>
        <w:rPr>
          <w:b/>
        </w:rPr>
        <w:t xml:space="preserve">Incremental adoption and clean evolution.</w:t>
      </w:r>
      <w:r>
        <w:t xml:space="preserve"> Servers implement the representation core alone first, add value bindings when ready, and refine bindings over time without invalidating previously deployed connectors.</w:t>
      </w:r>
    </w:p>
    <w:p>
      <w:pPr>
        <w:pStyle w:val="ListBullet"/>
        <w:numPr>
          <w:ilvl w:val="0"/>
          <w:numId w:val="21"/>
        </w:numPr>
      </w:pPr>
      <w:r>
        <w:rPr>
          <w:b/>
        </w:rPr>
        <w:t xml:space="preserve">An ecosystem division of labour.</w:t>
      </w:r>
      <w:r>
        <w:t xml:space="preserve"> Asset authors, machine OEMs, integrators, connector vendors, and visualization operators collaborate through the model as a shared contract rather than through private, point-to-point agreements (see </w:t>
      </w:r>
      <w:r>
        <w:rPr>
          <w:b/>
        </w:rPr>
        <w:t xml:space="preserve">Annex D</w:t>
      </w:r>
      <w:r>
        <w:t xml:space="preserve">).</w:t>
      </w:r>
    </w:p>
    <w:p>
      <w:pPr>
        <w:pStyle w:val="Heading2"/>
      </w:pPr>
      <w:bookmarkStart w:id="450" w:name="_Clause_c1_3"/>
      <w:r>
        <w:t xml:space="preserve">Capabilities and conformance</w:t>
      </w:r>
      <w:bookmarkEnd w:id="450"/>
    </w:p>
    <w:p>
      <w:pPr>
        <w:pStyle w:val="PARAGRAPH"/>
      </w:pPr>
      <w:r>
        <w:t xml:space="preserve">Only the representation core — the </w:t>
      </w:r>
      <w:r>
        <w:rPr>
          <w:rStyle w:val="VARIABLE"/>
        </w:rPr>
        <w:t xml:space="preserve">Server/OpenUSD</w:t>
      </w:r>
      <w:r>
        <w:t xml:space="preserve"> discovery facility, </w:t>
      </w:r>
      <w:r>
        <w:rPr>
          <w:rStyle w:val="VARIABLE"/>
        </w:rPr>
        <w:t xml:space="preserve">OpenUsdStageType</w:t>
      </w:r>
      <w:r>
        <w:t xml:space="preserve">, and the </w:t>
      </w:r>
      <w:r>
        <w:rPr>
          <w:rStyle w:val="VARIABLE"/>
        </w:rPr>
        <w:t xml:space="preserve">OpenUsdRepresentation</w:t>
      </w:r>
      <w:r>
        <w:t xml:space="preserve"> AddIn — is mandatory. Every other capability in </w:t>
      </w:r>
      <w:r>
        <w:fldChar w:fldCharType="begin"/>
      </w:r>
      <w:r>
        <w:instrText xml:space="preserve"> REF _Clause_c1 \r \h </w:instrText>
      </w:r>
      <w:r>
        <w:fldChar w:fldCharType="separate"/>
      </w:r>
      <w:r>
        <w:rPr>
          <w:noProof/>
        </w:rPr>
        <w:t xml:space="preserve">1</w:t>
      </w:r>
      <w:r>
        <w:fldChar w:fldCharType="end"/>
      </w:r>
      <w:r>
        <w:t xml:space="preserve"> is </w:t>
      </w:r>
      <w:r>
        <w:rPr>
          <w:b/>
        </w:rPr>
        <w:t xml:space="preserve">normative but optional</w:t>
      </w:r>
      <w:r>
        <w:t xml:space="preserve"> and is gated by its own conformance unit (</w:t>
      </w:r>
      <w:r>
        <w:fldChar w:fldCharType="begin"/>
      </w:r>
      <w:r>
        <w:instrText xml:space="preserve"> REF _Clause_c9 \r \h </w:instrText>
      </w:r>
      <w:r>
        <w:fldChar w:fldCharType="separate"/>
      </w:r>
      <w:r>
        <w:rPr>
          <w:noProof/>
        </w:rPr>
        <w:t xml:space="preserve">9</w:t>
      </w:r>
      <w:r>
        <w:fldChar w:fldCharType="end"/>
      </w:r>
      <w:r>
        <w:t xml:space="preserve">), so a Server implements exactly what it needs and a Client discovers what a Server offers rather than assuming it.</w:t>
      </w:r>
    </w:p>
    <w:p>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Pr>
          <w:noProof/>
        </w:rPr>
        <w:t xml:space="preserve">9</w:t>
      </w:r>
      <w:r>
        <w:fldChar w:fldCharType="end"/>
      </w:r>
      <w:r>
        <w:t xml:space="preserve"> group them into the combinations a real deployment tends to need.</w:t>
      </w:r>
    </w:p>
    <w:p>
      <w:pPr>
        <w:pStyle w:val="PARAGRAPH"/>
      </w:pPr>
      <w:r>
        <w:rPr>
          <w:b/>
        </w:rPr>
        <w:t xml:space="preserve">Live bindings are typed by intent.</w:t>
      </w:r>
      <w:r>
        <w:t xml:space="preserve"> </w:t>
      </w:r>
      <w:r>
        <w:rPr>
          <w:rStyle w:val="VARIABLE"/>
        </w:rPr>
        <w:t xml:space="preserve">OpenUsdLiveBindingType</w:t>
      </w:r>
      <w:r>
        <w:t xml:space="preserve"> is abstract; a binding's intent is carried by its concrete subtype — </w:t>
      </w:r>
      <w:r>
        <w:rPr>
          <w:rStyle w:val="VARIABLE"/>
        </w:rPr>
        <w:t xml:space="preserve">OpenUsdValueChangeBindingType</w:t>
      </w:r>
      <w:r>
        <w:t xml:space="preserve"> for read-only telemetry, </w:t>
      </w:r>
      <w:r>
        <w:rPr>
          <w:rStyle w:val="VARIABLE"/>
        </w:rPr>
        <w:t xml:space="preserve">OpenUsdAlarmBindingType</w:t>
      </w:r>
      <w:r>
        <w:t xml:space="preserve">, </w:t>
      </w:r>
      <w:r>
        <w:rPr>
          <w:rStyle w:val="VARIABLE"/>
        </w:rPr>
        <w:t xml:space="preserve">OpenUsdHistoryBindingType</w:t>
      </w:r>
      <w:r>
        <w:t xml:space="preserve"> and </w:t>
      </w:r>
      <w:r>
        <w:rPr>
          <w:rStyle w:val="VARIABLE"/>
        </w:rPr>
        <w:t xml:space="preserve">OpenUsdCommandBindingType</w:t>
      </w:r>
      <w:r>
        <w:t xml:space="preserve"> (</w:t>
      </w:r>
      <w:r>
        <w:fldChar w:fldCharType="begin"/>
      </w:r>
      <w:r>
        <w:instrText xml:space="preserve"> REF _Clause_c7_4 \r \h </w:instrText>
      </w:r>
      <w:r>
        <w:fldChar w:fldCharType="separate"/>
      </w:r>
      <w:r>
        <w:rPr>
          <w:noProof/>
        </w:rPr>
        <w:t xml:space="preserve">7.4</w:t>
      </w:r>
      <w:r>
        <w:fldChar w:fldCharType="end"/>
      </w:r>
      <w:r>
        <w:t xml:space="preserve">). A connector therefore determines intent from </w:t>
      </w:r>
      <w:r>
        <w:rPr>
          <w:rStyle w:val="VARIABLE"/>
        </w:rPr>
        <w:t xml:space="preserve">HasTypeDefinition</w:t>
      </w:r>
      <w:r>
        <w:t xml:space="preserve"> rather than from a discriminating enumeration value, and a Server that does not implement an intent simply never instantiates its subtype.</w:t>
      </w:r>
    </w:p>
    <w:p>
      <w:pPr>
        <w:pStyle w:val="PARAGRAPH"/>
      </w:pPr>
      <w:r>
        <w:rPr>
          <w:b/>
        </w:rPr>
        <w:t xml:space="preserve">One dependency beyond base OPC UA.</w:t>
      </w:r>
      <w:r>
        <w:t xml:space="preserve"> Asset content delivery (</w:t>
      </w:r>
      <w:r>
        <w:t xml:space="preserve">§7.11</w:t>
      </w:r>
      <w:r>
        <w:t xml:space="preserve">) builds on </w:t>
      </w:r>
      <w:r>
        <w:rPr>
          <w:i/>
        </w:rPr>
        <w:t xml:space="preserve">OPC UA — xRegistry</w:t>
      </w:r>
      <w:r>
        <w:t xml:space="preserve">, which is a </w:t>
      </w:r>
      <w:r>
        <w:rPr>
          <w:rStyle w:val="VARIABLE"/>
        </w:rPr>
        <w:t xml:space="preserve">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 xml:space="preserve">ResourceType</w:t>
      </w:r>
      <w:r>
        <w:t xml:space="preserve"> is itself a Part 5 </w:t>
      </w:r>
      <w:r>
        <w:rPr>
          <w:rStyle w:val="VARIABLE"/>
        </w:rPr>
        <w:t xml:space="preserve">FileType</w:t>
      </w:r>
      <w:r>
        <w:t xml:space="preserve">, the dependency costs a consumer nothing structurally — an artifact node </w:t>
      </w:r>
      <w:r>
        <w:rPr>
          <w:b/>
        </w:rPr>
        <w:t xml:space="preserve">is</w:t>
      </w:r>
      <w:r>
        <w:t xml:space="preserve"> the file, read with its own </w:t>
      </w:r>
      <w:r>
        <w:rPr>
          <w:rStyle w:val="VARIABLE"/>
        </w:rPr>
        <w:t xml:space="preserve">Open</w:t>
      </w:r>
      <w:r>
        <w:t xml:space="preserve">/</w:t>
      </w:r>
      <w:r>
        <w:rPr>
          <w:rStyle w:val="VARIABLE"/>
        </w:rPr>
        <w:t xml:space="preserve">Read</w:t>
      </w:r>
      <w:r>
        <w:t xml:space="preserve">/</w:t>
      </w:r>
      <w:r>
        <w:rPr>
          <w:rStyle w:val="VARIABLE"/>
        </w:rPr>
        <w:t xml:space="preserve">Close</w:t>
      </w:r>
      <w:r>
        <w:t xml:space="preserve">. A Server that does not serve artifacts is unaffected by it.</w:t>
      </w:r>
    </w:p>
    <w:p>
      <w:pPr>
        <w:pStyle w:val="PARAGRAPH"/>
      </w:pPr>
      <w:r>
        <w:rPr>
          <w:b/>
        </w:rPr>
        <w:t xml:space="preserve">Companion — Part 2 (Scene Materialization).</w:t>
      </w:r>
      <w:r>
        <w:t xml:space="preserve"> This document (Part 1) binds OPC UA Objects to prims on an </w:t>
      </w:r>
      <w:r>
        <w:rPr>
          <w:b/>
        </w:rPr>
        <w:t xml:space="preserve">external</w:t>
      </w:r>
      <w:r>
        <w:t xml:space="preserve"> USD stage. A companion draft, </w:t>
      </w:r>
      <w:r>
        <w:rPr>
          <w:i/>
        </w:rPr>
        <w:t xml:space="preserve">OPC UA — OpenUSD Scene Materialization (Part 2)</w:t>
      </w:r>
      <w:r>
        <w:t xml:space="preserve"> (</w:t>
      </w:r>
      <w:r>
        <w:rPr>
          <w:rStyle w:val="VARIABLE"/>
        </w:rPr>
        <w:t xml:space="preserve">../openusd-scene/OPC-UA-OpenUSD-Scene-Materialization.md</w:t>
      </w:r>
      <w:r>
        <w:t xml:space="preserve">, namespace </w:t>
      </w:r>
      <w:r>
        <w:rPr>
          <w:rStyle w:val="VARIABLE"/>
        </w:rPr>
        <w:t xml:space="preserve">http://opcfoundation.org/UA/OpenUSD/Scene/</w:t>
      </w:r>
      <w:r>
        <w:t xml:space="preserve">), instead </w:t>
      </w:r>
      <w:r>
        <w:rPr>
          <w:b/>
        </w:rPr>
        <w:t xml:space="preserve">materializes the composed USD scene graph natively as an OPC UA address space</w:t>
      </w:r>
      <w:r>
        <w:t xml:space="preserve"> (Stage/Prim/Attribute/Relationship/typed+API schemas), and is round-trippable to/from </w:t>
      </w:r>
      <w:r>
        <w:rPr>
          <w:rStyle w:val="VARIABLE"/>
        </w:rPr>
        <w:t xml:space="preserve">.usd</w:t>
      </w:r>
      <w:r>
        <w:t xml:space="preserve">. Part 2 is </w:t>
      </w:r>
      <w:r>
        <w:rPr>
          <w:b/>
        </w:rPr>
        <w:t xml:space="preserve">self-contained</w:t>
      </w:r>
      <w:r>
        <w:t xml:space="preserve">: it neither changes nor requires this model, and it does </w:t>
      </w:r>
      <w:r>
        <w:rPr>
          <w:b/>
        </w:rPr>
        <w:t xml:space="preserve">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 xml:space="preserve">Server/OpenUSD/Stages</w:t>
      </w:r>
      <w:r>
        <w:t xml:space="preserve">.</w:t>
      </w:r>
    </w:p>
    <w:p>
      <w:pPr>
        <w:pStyle w:val="NOTE"/>
      </w:pPr>
      <w:r>
        <w:t xml:space="preserve">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Alliance for OpenUSD</w:t>
      </w:r>
    </w:p>
    <w:p w14:paraId="3FCBD290" w14:textId="77777777" w:rsidR="00F95EC5" w:rsidRPr="00EC120D" w:rsidRDefault="00F95EC5" w:rsidP="00F95EC5">
      <w:pPr>
        <w:pStyle w:val="Heading1"/>
      </w:pPr>
      <w:bookmarkStart w:id="451"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51"/>
    </w:p>
    <w:p>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pPr>
        <w:pStyle w:val="NOTE"/>
      </w:pPr>
      <w:r>
        <w:t xml:space="preserve">NOTE   </w:t>
      </w:r>
      <w:r>
        <w:t xml:space="preserve">The OPC UA core specifications are regularly published as IEC 62541.</w:t>
      </w:r>
    </w:p>
    <w:p>
      <w:pPr>
        <w:pStyle w:val="ReferenceDocuments"/>
      </w:pPr>
      <w:bookmarkStart w:id="452" w:name="UAPart1"/>
      <w:r>
        <w:t xml:space="preserve">OPC 10000-1, OPC Unified Architecture - Part 1: Overview and Concepts</w:t>
      </w:r>
      <w:bookmarkEnd w:id="452"/>
    </w:p>
    <w:p>
      <w:pPr>
        <w:pStyle w:val="ReferenceDocuments"/>
      </w:pPr>
      <w:r>
        <w:t xml:space="preserve">http://www.opcfoundation.org/documents/10000-1/</w:t>
      </w:r>
    </w:p>
    <w:p>
      <w:pPr>
        <w:pStyle w:val="ReferenceDocuments"/>
      </w:pPr>
      <w:bookmarkStart w:id="453" w:name="UAPart2"/>
      <w:r>
        <w:t xml:space="preserve">OPC 10000-2, OPC Unified Architecture - Part 2: Security Model</w:t>
      </w:r>
      <w:bookmarkEnd w:id="453"/>
    </w:p>
    <w:p>
      <w:pPr>
        <w:pStyle w:val="ReferenceDocuments"/>
      </w:pPr>
      <w:r>
        <w:t xml:space="preserve">http://www.opcfoundation.org/documents/10000-2/</w:t>
      </w:r>
    </w:p>
    <w:p>
      <w:pPr>
        <w:pStyle w:val="ReferenceDocuments"/>
      </w:pPr>
      <w:bookmarkStart w:id="454" w:name="UAPart3"/>
      <w:r>
        <w:t xml:space="preserve">OPC 10000-3, OPC Unified Architecture - Part 3: Address Space Model</w:t>
      </w:r>
      <w:bookmarkEnd w:id="454"/>
    </w:p>
    <w:p>
      <w:pPr>
        <w:pStyle w:val="ReferenceDocuments"/>
      </w:pPr>
      <w:r>
        <w:t xml:space="preserve">http://www.opcfoundation.org/documents/10000-3/</w:t>
      </w:r>
    </w:p>
    <w:p>
      <w:pPr>
        <w:pStyle w:val="ReferenceDocuments"/>
      </w:pPr>
      <w:bookmarkStart w:id="455" w:name="UAPart4"/>
      <w:r>
        <w:t xml:space="preserve">OPC 10000-4, OPC Unified Architecture - Part 4: Services</w:t>
      </w:r>
      <w:bookmarkEnd w:id="455"/>
    </w:p>
    <w:p>
      <w:pPr>
        <w:pStyle w:val="ReferenceDocuments"/>
      </w:pPr>
      <w:r>
        <w:t xml:space="preserve">http://www.opcfoundation.org/documents/10000-4/</w:t>
      </w:r>
    </w:p>
    <w:p>
      <w:pPr>
        <w:pStyle w:val="ReferenceDocuments"/>
      </w:pPr>
      <w:bookmarkStart w:id="456" w:name="UAPart5"/>
      <w:r>
        <w:t xml:space="preserve">OPC 10000-5, OPC Unified Architecture - Part 5: Information Model</w:t>
      </w:r>
      <w:bookmarkEnd w:id="456"/>
    </w:p>
    <w:p>
      <w:pPr>
        <w:pStyle w:val="ReferenceDocuments"/>
      </w:pPr>
      <w:r>
        <w:t xml:space="preserve">http://www.opcfoundation.org/documents/10000-5/</w:t>
      </w:r>
    </w:p>
    <w:p>
      <w:pPr>
        <w:pStyle w:val="ReferenceDocuments"/>
      </w:pPr>
      <w:bookmarkStart w:id="457" w:name="UAPart6"/>
      <w:r>
        <w:t xml:space="preserve">OPC 10000-6, OPC Unified Architecture - Part 6: Mappings</w:t>
      </w:r>
      <w:bookmarkEnd w:id="457"/>
    </w:p>
    <w:p>
      <w:pPr>
        <w:pStyle w:val="ReferenceDocuments"/>
      </w:pPr>
      <w:r>
        <w:t xml:space="preserve">http://www.opcfoundation.org/documents/10000-6/</w:t>
      </w:r>
    </w:p>
    <w:p>
      <w:pPr>
        <w:pStyle w:val="ReferenceDocuments"/>
      </w:pPr>
      <w:bookmarkStart w:id="458" w:name="UAPart7"/>
      <w:r>
        <w:t xml:space="preserve">OPC 10000-7, OPC Unified Architecture - Part 7: Profiles</w:t>
      </w:r>
      <w:bookmarkEnd w:id="458"/>
    </w:p>
    <w:p>
      <w:pPr>
        <w:pStyle w:val="ReferenceDocuments"/>
      </w:pPr>
      <w:r>
        <w:t xml:space="preserve">http://www.opcfoundation.org/documents/10000-7/</w:t>
      </w:r>
    </w:p>
    <w:p>
      <w:pPr>
        <w:pStyle w:val="ReferenceDocuments"/>
      </w:pPr>
      <w:bookmarkStart w:id="459" w:name="UAPart8"/>
      <w:r>
        <w:t xml:space="preserve">OPC 10000-8, OPC Unified Architecture - Part 8: Data Access</w:t>
      </w:r>
      <w:bookmarkEnd w:id="459"/>
    </w:p>
    <w:p>
      <w:pPr>
        <w:pStyle w:val="ReferenceDocuments"/>
      </w:pPr>
      <w:r>
        <w:t xml:space="preserve">http://www.opcfoundation.org/documents/10000-8/</w:t>
      </w:r>
    </w:p>
    <w:p>
      <w:pPr>
        <w:pStyle w:val="ReferenceDocuments"/>
      </w:pPr>
      <w:bookmarkStart w:id="460" w:name="UAPart9"/>
      <w:r>
        <w:t xml:space="preserve">OPC 10000-9, OPC Unified Architecture - Part 9: Alarms and Conditions</w:t>
      </w:r>
      <w:bookmarkEnd w:id="460"/>
    </w:p>
    <w:p>
      <w:pPr>
        <w:pStyle w:val="ReferenceDocuments"/>
      </w:pPr>
      <w:r>
        <w:t xml:space="preserve">http://www.opcfoundation.org/documents/10000-9/</w:t>
      </w:r>
    </w:p>
    <w:p>
      <w:pPr>
        <w:pStyle w:val="ReferenceDocuments"/>
      </w:pPr>
      <w:bookmarkStart w:id="461" w:name="UAPart11"/>
      <w:r>
        <w:t xml:space="preserve">OPC 10000-11, OPC Unified Architecture - Part 11: Historical Access</w:t>
      </w:r>
      <w:bookmarkEnd w:id="461"/>
    </w:p>
    <w:p>
      <w:pPr>
        <w:pStyle w:val="ReferenceDocuments"/>
      </w:pPr>
      <w:r>
        <w:t xml:space="preserve">http://www.opcfoundation.org/documents/10000-11/</w:t>
      </w:r>
    </w:p>
    <w:p>
      <w:pPr>
        <w:pStyle w:val="ReferenceDocuments"/>
      </w:pPr>
      <w:bookmarkStart w:id="462" w:name="UAPart12"/>
      <w:r>
        <w:t xml:space="preserve">OPC 10000-12, OPC Unified Architecture - Part 12: Discovery and Global Services</w:t>
      </w:r>
      <w:bookmarkEnd w:id="462"/>
    </w:p>
    <w:p>
      <w:pPr>
        <w:pStyle w:val="ReferenceDocuments"/>
      </w:pPr>
      <w:r>
        <w:t xml:space="preserve">http://www.opcfoundation.org/documents/10000-12/</w:t>
      </w:r>
    </w:p>
    <w:p>
      <w:pPr>
        <w:pStyle w:val="ReferenceDocuments"/>
      </w:pPr>
      <w:bookmarkStart w:id="463" w:name="UAPart18"/>
      <w:r>
        <w:t xml:space="preserve">OPC 10000-18, OPC Unified Architecture - Part 18: Role-Based Security</w:t>
      </w:r>
      <w:bookmarkEnd w:id="463"/>
    </w:p>
    <w:p>
      <w:pPr>
        <w:pStyle w:val="ReferenceDocuments"/>
      </w:pPr>
      <w:r>
        <w:t xml:space="preserve">http://www.opcfoundation.org/documents/10000-18/</w:t>
      </w:r>
    </w:p>
    <w:p>
      <w:pPr>
        <w:pStyle w:val="ReferenceDocuments"/>
      </w:pPr>
      <w:bookmarkStart w:id="464" w:name="UAPart19"/>
      <w:r>
        <w:t xml:space="preserve">OPC 10000-19, OPC Unified Architecture - Part 19: Dictionary References</w:t>
      </w:r>
      <w:bookmarkEnd w:id="464"/>
    </w:p>
    <w:p>
      <w:pPr>
        <w:pStyle w:val="ReferenceDocuments"/>
      </w:pPr>
      <w:r>
        <w:t xml:space="preserve">http://www.opcfoundation.org/documents/10000-19/</w:t>
      </w:r>
    </w:p>
    <w:p>
      <w:pPr>
        <w:pStyle w:val="ReferenceDocuments"/>
      </w:pPr>
      <w:bookmarkStart w:id="465" w:name="UAPart20"/>
      <w:r>
        <w:t xml:space="preserve">OPC 10000-20, OPC Unified Architecture - Part 20: File Transfer</w:t>
      </w:r>
      <w:bookmarkEnd w:id="465"/>
    </w:p>
    <w:p>
      <w:pPr>
        <w:pStyle w:val="ReferenceDocuments"/>
      </w:pPr>
      <w:r>
        <w:t xml:space="preserve">http://www.opcfoundation.org/documents/10000-20/</w:t>
      </w:r>
    </w:p>
    <w:p>
      <w:pPr>
        <w:pStyle w:val="ReferenceDocuments"/>
      </w:pPr>
      <w:bookmarkStart w:id="466" w:name="UAPart210"/>
      <w:r>
        <w:t xml:space="preserve">OPC 10000-210, OPC Unified Architecture - Part 210: Relative Spatial Location</w:t>
      </w:r>
      <w:bookmarkEnd w:id="466"/>
    </w:p>
    <w:p>
      <w:pPr>
        <w:pStyle w:val="ReferenceDocuments"/>
      </w:pPr>
      <w:r>
        <w:t xml:space="preserve">http://www.opcfoundation.org/documents/10000-210/</w:t>
      </w:r>
    </w:p>
    <w:p>
      <w:pPr>
        <w:pStyle w:val="ReferenceDocuments"/>
      </w:pPr>
      <w:bookmarkStart w:id="467" w:name="UAPart211"/>
      <w:r>
        <w:t xml:space="preserve">OPC 10000-211, OPC Unified Architecture - Part 211: Global Positioning</w:t>
      </w:r>
      <w:bookmarkEnd w:id="467"/>
    </w:p>
    <w:p>
      <w:pPr>
        <w:pStyle w:val="ReferenceDocuments"/>
      </w:pPr>
      <w:r>
        <w:t xml:space="preserve">http://www.opcfoundation.org/documents/10000-211/</w:t>
      </w:r>
    </w:p>
    <w:p>
      <w:pPr>
        <w:pStyle w:val="ReferenceDocuments"/>
      </w:pPr>
      <w:bookmarkStart w:id="468" w:name="UA11030"/>
      <w:r>
        <w:t xml:space="preserve">OPC 11030, OPC UA Modelling Best Practices</w:t>
      </w:r>
      <w:bookmarkEnd w:id="468"/>
    </w:p>
    <w:p>
      <w:pPr>
        <w:pStyle w:val="ReferenceDocuments"/>
      </w:pPr>
      <w:r>
        <w:t xml:space="preserve">http://www.opcfoundation.org/documents/11030/</w:t>
      </w:r>
    </w:p>
    <w:p>
      <w:pPr>
        <w:pStyle w:val="ReferenceDocuments"/>
      </w:pPr>
      <w:bookmarkStart w:id="469" w:name="UAxRegistry"/>
      <w:r>
        <w:t xml:space="preserve">OPC UA - xRegistry, OPC Unified Architecture - xRegistry: the abstract registry base model. A RequiredModel of this document.</w:t>
      </w:r>
      <w:bookmarkEnd w:id="469"/>
    </w:p>
    <w:p>
      <w:pPr>
        <w:pStyle w:val="ReferenceDocuments"/>
      </w:pPr>
      <w:bookmarkStart w:id="470" w:name="xRegistryCore"/>
      <w:r>
        <w:t xml:space="preserve">xRegistry Core specification, v1.0-rc3, The registry / group / resource / version / attribute model, xid, epoch and labels that the OPC UA base model realizes.</w:t>
      </w:r>
      <w:bookmarkEnd w:id="470"/>
    </w:p>
    <w:p>
      <w:pPr>
        <w:pStyle w:val="ReferenceDocuments"/>
      </w:pPr>
      <w:r>
        <w:t xml:space="preserve">https://github.com/xregistry/spec/blob/v1.0-rc3/core/spec.md</w:t>
      </w:r>
    </w:p>
    <w:p>
      <w:pPr>
        <w:pStyle w:val="ReferenceDocuments"/>
      </w:pPr>
      <w:bookmarkStart w:id="471" w:name="AOUSD"/>
      <w:r>
        <w:t xml:space="preserve">AOUSD OpenUSD Core Specification 1.0.1, Alliance for OpenUSD - normative for USD paths, composition, layers and identity.</w:t>
      </w:r>
      <w:bookmarkEnd w:id="471"/>
    </w:p>
    <w:p>
      <w:pPr>
        <w:pStyle w:val="ReferenceDocuments"/>
      </w:pPr>
      <w:r>
        <w:t xml:space="preserve">https://aousd.org/</w:t>
      </w:r>
    </w:p>
    <w:p w14:paraId="7BE15FFD" w14:textId="77777777" w:rsidR="00F95EC5" w:rsidRPr="00EC120D" w:rsidRDefault="00F95EC5" w:rsidP="00F95EC5">
      <w:pPr>
        <w:pStyle w:val="Heading1"/>
      </w:pPr>
      <w:bookmarkStart w:id="472"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72"/>
    </w:p>
    <w:p w14:paraId="102C7103" w14:textId="77777777" w:rsidR="002A08F9" w:rsidRPr="00EC120D" w:rsidRDefault="002A08F9" w:rsidP="002A08F9">
      <w:pPr>
        <w:pStyle w:val="Heading2"/>
        <w:ind w:left="0" w:firstLine="0"/>
      </w:pPr>
      <w:bookmarkStart w:id="473" w:name="_Clause_c3_1"/>
      <w:bookmarkStart w:id="58" w:name="_Toc184116964"/>
      <w:r w:rsidRPr="00EC120D">
        <w:t>Overview</w:t>
      </w:r>
      <w:bookmarkEnd w:id="58"/>
      <w:bookmarkEnd w:id="473"/>
    </w:p>
    <w:p w14:paraId="40F7B99A" w14:textId="3BD15142" w:rsidR="00E12745" w:rsidRDefault="002A08F9" w:rsidP="00121B8E">
      <w:pPr>
        <w:pStyle w:val="Heading2"/>
        <w:ind w:left="0" w:firstLine="0"/>
      </w:pPr>
      <w:bookmarkStart w:id="474"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OpenUSD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74"/>
    </w:p>
    <w:p>
      <w:pPr>
        <w:pStyle w:val="PARAGRAPH"/>
      </w:pPr>
      <w:r>
        <w:t xml:space="preserve">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75"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75"/>
    </w:p>
    <w:p>
      <w:pPr>
        <w:pStyle w:val="TERM-number3"/>
      </w:pPr>
    </w:p>
    <w:p>
      <w:pPr>
        <w:pStyle w:val="TERM"/>
      </w:pPr>
      <w:r>
        <w:t xml:space="preserve">Prim</w:t>
      </w:r>
    </w:p>
    <w:p>
      <w:pPr>
        <w:pStyle w:val="TERM-definition"/>
      </w:pPr>
      <w:r>
        <w:t xml:space="preserve">A primitive: the primary container object in an OpenUSD namespace hierarchy.</w:t>
      </w:r>
    </w:p>
    <w:p>
      <w:pPr>
        <w:pStyle w:val="TERM-number3"/>
      </w:pPr>
    </w:p>
    <w:p>
      <w:pPr>
        <w:pStyle w:val="TERM"/>
      </w:pPr>
      <w:r>
        <w:t xml:space="preserve">Stage</w:t>
      </w:r>
    </w:p>
    <w:p>
      <w:pPr>
        <w:pStyle w:val="TERM-definition"/>
      </w:pPr>
      <w:r>
        <w:t xml:space="preserve">The fully composed, live view of a set of OpenUSD layers.</w:t>
      </w:r>
    </w:p>
    <w:p>
      <w:pPr>
        <w:pStyle w:val="TERM-number3"/>
      </w:pPr>
    </w:p>
    <w:p>
      <w:pPr>
        <w:pStyle w:val="TERM"/>
      </w:pPr>
      <w:r>
        <w:t xml:space="preserve">Root layer identifier</w:t>
      </w:r>
    </w:p>
    <w:p>
      <w:pPr>
        <w:pStyle w:val="TERM-definition"/>
      </w:pPr>
      <w:r>
        <w:t xml:space="preserve">The opaque authored identifier of a stage's root layer (not necessarily a URI).</w:t>
      </w:r>
    </w:p>
    <w:p>
      <w:pPr>
        <w:pStyle w:val="TERM-number3"/>
      </w:pPr>
    </w:p>
    <w:p>
      <w:pPr>
        <w:pStyle w:val="TERM"/>
      </w:pPr>
      <w:r>
        <w:t xml:space="preserve">SdfPath / prim path</w:t>
      </w:r>
    </w:p>
    <w:p>
      <w:pPr>
        <w:pStyle w:val="TERM-definition"/>
      </w:pPr>
      <w:r>
        <w:t xml:space="preserve">The canonical path identifying a prim on a stage, e.g. </w:t>
      </w:r>
      <w:r>
        <w:rPr>
          <w:rStyle w:val="VARIABLE"/>
        </w:rPr>
        <w:t xml:space="preserve">/Plant/Pumps/P101</w:t>
      </w:r>
      <w:r>
        <w:t xml:space="preserve">.</w:t>
      </w:r>
    </w:p>
    <w:p>
      <w:pPr>
        <w:pStyle w:val="TERM-number3"/>
      </w:pPr>
    </w:p>
    <w:p>
      <w:pPr>
        <w:pStyle w:val="TERM"/>
      </w:pPr>
      <w:r>
        <w:t xml:space="preserve">Representation</w:t>
      </w:r>
    </w:p>
    <w:p>
      <w:pPr>
        <w:pStyle w:val="TERM-definition"/>
      </w:pPr>
      <w:r>
        <w:t xml:space="preserve">A binding of an OPC UA Object to a prim path on a stage.</w:t>
      </w:r>
    </w:p>
    <w:p>
      <w:pPr>
        <w:pStyle w:val="TERM-number3"/>
      </w:pPr>
    </w:p>
    <w:p>
      <w:pPr>
        <w:pStyle w:val="TERM"/>
      </w:pPr>
      <w:r>
        <w:t xml:space="preserve">Live binding</w:t>
      </w:r>
    </w:p>
    <w:p>
      <w:pPr>
        <w:pStyle w:val="TERM-definition"/>
      </w:pPr>
      <w:r>
        <w:t xml:space="preserve">A read-only mapping of a source Variable value to a target USD attribute.</w:t>
      </w:r>
    </w:p>
    <w:p>
      <w:pPr>
        <w:pStyle w:val="TERM-number3"/>
      </w:pPr>
    </w:p>
    <w:p>
      <w:pPr>
        <w:pStyle w:val="TERM"/>
      </w:pPr>
      <w:r>
        <w:t xml:space="preserve">BindingDefinitionId</w:t>
      </w:r>
    </w:p>
    <w:p>
      <w:pPr>
        <w:pStyle w:val="TERM-definition"/>
      </w:pPr>
      <w:r>
        <w:t xml:space="preserve">The stable declaration identifier of a live binding, used for override/tombstone matching.</w:t>
      </w:r>
    </w:p>
    <w:p>
      <w:pPr>
        <w:pStyle w:val="TERM-number3"/>
      </w:pPr>
    </w:p>
    <w:p>
      <w:pPr>
        <w:pStyle w:val="TERM"/>
      </w:pPr>
      <w:r>
        <w:t xml:space="preserve">Connector</w:t>
      </w:r>
    </w:p>
    <w:p>
      <w:pPr>
        <w:pStyle w:val="TERM-definition"/>
      </w:pPr>
      <w:r>
        <w:t xml:space="preserve">The runtime component that Browses the model, subscribes to sources, and writes USD targets.</w:t>
      </w:r>
    </w:p>
    <w:p>
      <w:pPr>
        <w:pStyle w:val="TERM-number3"/>
      </w:pPr>
    </w:p>
    <w:p>
      <w:pPr>
        <w:pStyle w:val="TERM"/>
      </w:pPr>
      <w:r>
        <w:t xml:space="preserve">Render target</w:t>
      </w:r>
    </w:p>
    <w:p>
      <w:pPr>
        <w:pStyle w:val="TERM-definition"/>
      </w:pPr>
      <w:r>
        <w:t xml:space="preserve">The USD attribute a live value drives (transform, color, visibility, …).</w:t>
      </w:r>
    </w:p>
    <w:p w14:paraId="444B922C" w14:textId="77777777" w:rsidR="005444A2" w:rsidRPr="00EC120D" w:rsidRDefault="005444A2" w:rsidP="005444A2">
      <w:pPr>
        <w:pStyle w:val="Heading2"/>
        <w:ind w:left="0" w:firstLine="0"/>
      </w:pPr>
      <w:bookmarkStart w:id="476" w:name="_Clause_c3_4"/>
      <w:bookmarkStart w:id="87" w:name="_Toc184116967"/>
      <w:r w:rsidRPr="00EC120D">
        <w:t>Conventions used in this document</w:t>
      </w:r>
      <w:bookmarkEnd w:id="84"/>
      <w:bookmarkEnd w:id="85"/>
      <w:bookmarkEnd w:id="86"/>
      <w:bookmarkEnd w:id="87"/>
      <w:bookmarkEnd w:id="476"/>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77"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OpenUSD and OPC UA</w:t>
      </w:r>
      <w:r w:rsidRPr="00EC120D">
        <w:rPr>
          <w:color w:val="FF0000"/>
        </w:rPr>
        <w:t xml:space="preserve"/>
      </w:r>
      <w:r w:rsidRPr="00EC120D">
        <w:t/>
      </w:r>
      <w:bookmarkEnd w:id="187"/>
      <w:bookmarkEnd w:id="188"/>
      <w:bookmarkEnd w:id="189"/>
      <w:bookmarkEnd w:id="477"/>
    </w:p>
    <w:p w14:paraId="5E4E1B10" w14:textId="77777777" w:rsidR="00F95EC5" w:rsidRPr="00EC120D" w:rsidRDefault="00831FE3" w:rsidP="00F95EC5">
      <w:pPr>
        <w:pStyle w:val="Heading2"/>
        <w:ind w:left="0" w:firstLine="0"/>
      </w:pPr>
      <w:bookmarkStart w:id="478" w:name="_Clause_c4_1"/>
      <w:bookmarkStart w:id="190" w:name="_Toc442691850"/>
      <w:bookmarkStart w:id="191" w:name="_Toc29911975"/>
      <w:bookmarkStart w:id="192" w:name="_Toc184116979"/>
      <w:r w:rsidRPr="00EC120D">
        <w:t xml:space="preserve">Introduction to OpenUSD</w:t>
      </w:r>
      <w:bookmarkEnd w:id="190"/>
      <w:r w:rsidRPr="00EC120D">
        <w:rPr>
          <w:color w:val="FF0000"/>
        </w:rPr>
        <w:t/>
      </w:r>
      <w:bookmarkEnd w:id="191"/>
      <w:bookmarkEnd w:id="192"/>
      <w:bookmarkEnd w:id="478"/>
    </w:p>
    <w:p>
      <w:pPr>
        <w:pStyle w:val="PARAGRAPH"/>
      </w:pPr>
      <w:r>
        <w:t xml:space="preserve">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pPr>
        <w:pStyle w:val="PARAGRAPH"/>
      </w:pPr>
      <w:r>
        <w:t xml:space="preserve">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pPr>
        <w:pStyle w:val="PARAGRAPH"/>
      </w:pPr>
      <w:r>
        <w:t xml:space="preserve">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479"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7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OpenUSD</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80" w:name="_Clause_c5"/>
      <w:bookmarkStart w:id="217" w:name="_Toc184116984"/>
      <w:r w:rsidRPr="00EC120D">
        <w:t xml:space="preserve">Use </w:t>
      </w:r>
      <w:r w:rsidR="00BE7277" w:rsidRPr="00EC120D">
        <w:t>c</w:t>
      </w:r>
      <w:r w:rsidRPr="00EC120D">
        <w:t>ases</w:t>
      </w:r>
      <w:bookmarkEnd w:id="217"/>
      <w:bookmarkEnd w:id="480"/>
    </w:p>
    <w:p>
      <w:pPr>
        <w:pStyle w:val="ListBullet"/>
        <w:numPr>
          <w:ilvl w:val="0"/>
          <w:numId w:val="21"/>
        </w:numPr>
      </w:pPr>
      <w:r>
        <w:t xml:space="preserve">Render a live factory line: pump speed drives a rotating impeller, a bearing temperature drives an emissive glow, a running state drives visibility.</w:t>
      </w:r>
    </w:p>
    <w:p>
      <w:pPr>
        <w:pStyle w:val="ListBullet"/>
        <w:numPr>
          <w:ilvl w:val="0"/>
          <w:numId w:val="21"/>
        </w:numPr>
      </w:pPr>
      <w:r>
        <w:t xml:space="preserve">Render a live robot cell: OPC 40010 Axis </w:t>
      </w:r>
      <w:r>
        <w:rPr>
          <w:rStyle w:val="VARIABLE"/>
        </w:rPr>
        <w:t xml:space="preserve">ActualPosition</w:t>
      </w:r>
      <w:r>
        <w:t xml:space="preserve"> values drive nested OpenUSD joint rotate ops for independently articulated robots, while safety and tool-mount state compose live.</w:t>
      </w:r>
    </w:p>
    <w:p>
      <w:pPr>
        <w:pStyle w:val="ListBullet"/>
        <w:numPr>
          <w:ilvl w:val="0"/>
          <w:numId w:val="21"/>
        </w:numPr>
      </w:pPr>
      <w:r>
        <w:t xml:space="preserve">Position assets in a scene: an RSL 3D frame drives a prim transform.</w:t>
      </w:r>
    </w:p>
    <w:p>
      <w:pPr>
        <w:pStyle w:val="ListBullet"/>
        <w:numPr>
          <w:ilvl w:val="0"/>
          <w:numId w:val="21"/>
        </w:numPr>
      </w:pPr>
      <w:r>
        <w:t xml:space="preserve">Bridge to Omniverse: a connector Browses </w:t>
      </w:r>
      <w:r>
        <w:rPr>
          <w:rStyle w:val="VARIABLE"/>
        </w:rPr>
        <w:t xml:space="preserve">Server/OpenUSD</w:t>
      </w:r>
      <w:r>
        <w:t xml:space="preserve">, subscribes to the bound Variables, and writes the mapped USD attributes into a Nucleus </w:t>
      </w:r>
      <w:r>
        <w:rPr>
          <w:rStyle w:val="VARIABLE"/>
        </w:rPr>
        <w:t xml:space="preserve">.live</w:t>
      </w:r>
      <w:r>
        <w:t xml:space="preserve"> layer for RTX rendering.</w:t>
      </w:r>
    </w:p>
    <w:p w14:paraId="1C9E1362" w14:textId="11C9A06E" w:rsidR="000E4B7A" w:rsidRPr="00EC120D" w:rsidRDefault="000E4B7A" w:rsidP="000E4B7A">
      <w:pPr>
        <w:pStyle w:val="Heading1"/>
      </w:pPr>
      <w:bookmarkStart w:id="481" w:name="_Clause_c6"/>
      <w:bookmarkStart w:id="218" w:name="_Toc442691855"/>
      <w:bookmarkStart w:id="219" w:name="_Toc29911984"/>
      <w:bookmarkStart w:id="220" w:name="_Toc184116985"/>
      <w:r w:rsidRPr="00EC120D">
        <w:rPr>
          <w:color w:val="FF0000"/>
        </w:rPr>
        <w:lastRenderedPageBreak/>
        <w:t>OpenUSD information model overview</w:t>
      </w:r>
      <w:r w:rsidRPr="00EC120D">
        <w:t xml:space="preserve"/>
      </w:r>
      <w:bookmarkEnd w:id="218"/>
      <w:bookmarkEnd w:id="219"/>
      <w:bookmarkEnd w:id="220"/>
      <w:bookmarkEnd w:id="481"/>
    </w:p>
    <w:p>
      <w:pPr>
        <w:pStyle w:val="Heading2"/>
      </w:pPr>
      <w:bookmarkStart w:id="482" w:name="_Clause_c6_1"/>
      <w:r>
        <w:t xml:space="preserve">Layered contract</w:t>
      </w:r>
      <w:bookmarkEnd w:id="482"/>
    </w:p>
    <w:p>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 xml:space="preserve">single mapping authority</w:t>
      </w:r>
      <w:r>
        <w:t xml:space="preserve">; the USD asset is not modified by this specification.</w:t>
      </w:r>
    </w:p>
    <w:p>
      <w:pPr>
        <w:pStyle w:val="Heading2"/>
      </w:pPr>
      <w:bookmarkStart w:id="483" w:name="_Clause_c6_2"/>
      <w:r>
        <w:t xml:space="preserve">Discovery</w:t>
      </w:r>
      <w:bookmarkEnd w:id="483"/>
    </w:p>
    <w:p>
      <w:pPr>
        <w:pStyle w:val="PARAGRAPH"/>
      </w:pPr>
      <w:r>
        <w:t xml:space="preserve">A conforming Server </w:t>
      </w:r>
      <w:r>
        <w:rPr>
          <w:b/>
        </w:rPr>
        <w:t xml:space="preserve">shall</w:t>
      </w:r>
      <w:r>
        <w:t xml:space="preserve"> expose exactly one well-known Object </w:t>
      </w:r>
      <w:r>
        <w:rPr>
          <w:rStyle w:val="VARIABLE"/>
        </w:rPr>
        <w:t xml:space="preserve">OpenUSD</w:t>
      </w:r>
      <w:r>
        <w:t xml:space="preserve"> of type </w:t>
      </w:r>
      <w:r>
        <w:rPr>
          <w:rStyle w:val="VARIABLE"/>
        </w:rPr>
        <w:t xml:space="preserve">OpenUsdRootType</w:t>
      </w:r>
      <w:r>
        <w:t xml:space="preserve"> as a component of the Server Object (</w:t>
      </w:r>
      <w:r>
        <w:rPr>
          <w:rStyle w:val="VARIABLE"/>
        </w:rPr>
        <w:t xml:space="preserve">i=2253</w:t>
      </w:r>
      <w:r>
        <w:t xml:space="preserve">), with BrowseName </w:t>
      </w:r>
      <w:r>
        <w:rPr>
          <w:rStyle w:val="VARIABLE"/>
        </w:rPr>
        <w:t xml:space="preserve">1:OpenUSD</w:t>
      </w:r>
      <w:r>
        <w:t xml:space="preserve">. It </w:t>
      </w:r>
      <w:r>
        <w:rPr>
          <w:b/>
        </w:rPr>
        <w:t xml:space="preserve">shall</w:t>
      </w:r>
      <w:r>
        <w:t xml:space="preserve"> contain two Folders:</w:t>
      </w:r>
    </w:p>
    <w:p>
      <w:pPr>
        <w:pStyle w:val="ListBullet"/>
        <w:numPr>
          <w:ilvl w:val="0"/>
          <w:numId w:val="21"/>
        </w:numPr>
      </w:pPr>
      <w:r>
        <w:rPr>
          <w:rStyle w:val="VARIABLE"/>
        </w:rPr>
        <w:t xml:space="preserve">Stages</w:t>
      </w:r>
      <w:r>
        <w:t xml:space="preserve"> — Organizes/contains the </w:t>
      </w:r>
      <w:r>
        <w:rPr>
          <w:rStyle w:val="VARIABLE"/>
        </w:rPr>
        <w:t xml:space="preserve">OpenUsdStageType</w:t>
      </w:r>
      <w:r>
        <w:t xml:space="preserve"> instances the Server knows about.</w:t>
      </w:r>
    </w:p>
    <w:p>
      <w:pPr>
        <w:pStyle w:val="ListBullet"/>
        <w:numPr>
          <w:ilvl w:val="0"/>
          <w:numId w:val="21"/>
        </w:numPr>
      </w:pPr>
      <w:r>
        <w:rPr>
          <w:rStyle w:val="VARIABLE"/>
        </w:rPr>
        <w:t xml:space="preserve">Representations</w:t>
      </w:r>
      <w:r>
        <w:t xml:space="preserve"> — Organizes every </w:t>
      </w:r>
      <w:r>
        <w:rPr>
          <w:rStyle w:val="VARIABLE"/>
        </w:rPr>
        <w:t xml:space="preserve">OpenUsdRepresentation</w:t>
      </w:r>
      <w:r>
        <w:t xml:space="preserve"> AddIn present in the Server, so a connector can enumerate all representations from a single, deterministic entry point.</w:t>
      </w:r>
    </w:p>
    <w:p>
      <w:pPr>
        <w:pStyle w:val="PARAGRAPH"/>
      </w:pPr>
      <w:r>
        <w:t xml:space="preserve">A connector therefore starts at </w:t>
      </w:r>
      <w:r>
        <w:rPr>
          <w:rStyle w:val="VARIABLE"/>
        </w:rPr>
        <w:t xml:space="preserve">Server/OpenUSD/Representations</w:t>
      </w:r>
      <w:r>
        <w:t xml:space="preserve">, follows </w:t>
      </w:r>
      <w:r>
        <w:rPr>
          <w:rStyle w:val="VARIABLE"/>
        </w:rPr>
        <w:t xml:space="preserve">Organizes</w:t>
      </w:r>
      <w:r>
        <w:t xml:space="preserve"> to each representation AddIn, reads the target stage and prim path, and (for Part 2) reads the representation's child bindings.</w:t>
      </w:r>
    </w:p>
    <w:p>
      <w:pPr>
        <w:pStyle w:val="Heading2"/>
      </w:pPr>
      <w:bookmarkStart w:id="484" w:name="_Clause_c6_3"/>
      <w:r>
        <w:t xml:space="preserve">Identity and the stage-open contract</w:t>
      </w:r>
      <w:bookmarkEnd w:id="484"/>
    </w:p>
    <w:p>
      <w:pPr>
        <w:pStyle w:val="PARAGRAPH"/>
      </w:pPr>
      <w:r>
        <w:t xml:space="preserve">The identity of a represented prim is the pair:</w:t>
      </w:r>
    </w:p>
    <w:p>
      <w:pPr>
        <w:pStyle w:val="CODE"/>
      </w:pPr>
      <w:r>
        <w:t xml:space="preserve">OpenUsdStageType instance  +  OpenUsdRepresentationType.PrimPath</w:t>
      </w:r>
    </w:p>
    <w:p>
      <w:pPr>
        <w:pStyle w:val="PARAGRAPH"/>
      </w:pPr>
      <w:r>
        <w:rPr>
          <w:rStyle w:val="VARIABLE"/>
        </w:rPr>
        <w:t xml:space="preserve">PrimPath</w:t>
      </w:r>
      <w:r>
        <w:t xml:space="preserve"> </w:t>
      </w:r>
      <w:r>
        <w:rPr>
          <w:b/>
        </w:rPr>
        <w:t xml:space="preserve">shall</w:t>
      </w:r>
      <w:r>
        <w:t xml:space="preserve"> be a canonical, absolute, composed-stage prim path (valid </w:t>
      </w:r>
      <w:r>
        <w:rPr>
          <w:rStyle w:val="VARIABLE"/>
        </w:rPr>
        <w:t xml:space="preserve">SdfPath</w:t>
      </w:r>
      <w:r>
        <w:t xml:space="preserve">, absolute, a prim path — not a property path — with no variant selection and no prototype path, and stable under </w:t>
      </w:r>
      <w:r>
        <w:rPr>
          <w:rStyle w:val="VARIABLE"/>
        </w:rPr>
        <w:t xml:space="preserve">serialize(parse(value)) == value</w:t>
      </w:r>
      <w:r>
        <w:t xml:space="preserve">). Because it is an absolute instance path, </w:t>
      </w:r>
      <w:r>
        <w:rPr>
          <w:rStyle w:val="VARIABLE"/>
        </w:rPr>
        <w:t xml:space="preserve">PrimPath</w:t>
      </w:r>
      <w:r>
        <w:t xml:space="preserve"> is </w:t>
      </w:r>
      <w:r>
        <w:rPr>
          <w:b/>
        </w:rPr>
        <w:t xml:space="preserve">instance-level</w:t>
      </w:r>
      <w:r>
        <w:t xml:space="preserve">: a reusable ObjectType cannot supply a meaningful absolute path for its instances.</w:t>
      </w:r>
    </w:p>
    <w:p>
      <w:pPr>
        <w:pStyle w:val="PARAGRAPH"/>
      </w:pPr>
      <w:r>
        <w:t xml:space="preserve">A stage's identity is more than its root layer. </w:t>
      </w:r>
      <w:r>
        <w:rPr>
          <w:rStyle w:val="VARIABLE"/>
        </w:rPr>
        <w:t xml:space="preserve">OpenUsdStageType</w:t>
      </w:r>
      <w:r>
        <w:t xml:space="preserve"> therefore carries </w:t>
      </w:r>
      <w:r>
        <w:rPr>
          <w:rStyle w:val="VARIABLE"/>
        </w:rPr>
        <w:t xml:space="preserve">RootLayerIdentifier</w:t>
      </w:r>
      <w:r>
        <w:t xml:space="preserve"> (mandatory, opaque), and, where they affect the composed result, </w:t>
      </w:r>
      <w:r>
        <w:rPr>
          <w:rStyle w:val="VARIABLE"/>
        </w:rPr>
        <w:t xml:space="preserve">SessionLayerIdentifier</w:t>
      </w:r>
      <w:r>
        <w:t xml:space="preserve"> and </w:t>
      </w:r>
      <w:r>
        <w:rPr>
          <w:rStyle w:val="VARIABLE"/>
        </w:rPr>
        <w:t xml:space="preserve">ResolverContext</w:t>
      </w:r>
      <w:r>
        <w:t xml:space="preserve">. A connector opening the stage </w:t>
      </w:r>
      <w:r>
        <w:rPr>
          <w:b/>
        </w:rPr>
        <w:t xml:space="preserve">shall</w:t>
      </w:r>
      <w:r>
        <w:t xml:space="preserve"> use the root layer, the session layer (if present), and the resolver context together; </w:t>
      </w:r>
      <w:r>
        <w:rPr>
          <w:rStyle w:val="VARIABLE"/>
        </w:rPr>
        <w:t xml:space="preserve">ResolvedRootLayerUri</w:t>
      </w:r>
      <w:r>
        <w:t xml:space="preserve"> is informative only.</w:t>
      </w:r>
    </w:p>
    <w:p>
      <w:pPr>
        <w:pStyle w:val="PARAGRAPH"/>
      </w:pPr>
      <w:r>
        <w:t xml:space="preserve">The root layer may be obtained either by external resolution of </w:t>
      </w:r>
      <w:r>
        <w:rPr>
          <w:rStyle w:val="VARIABLE"/>
        </w:rPr>
        <w:t xml:space="preserve">RootLayerIdentifier</w:t>
      </w:r>
      <w:r>
        <w:t xml:space="preserve"> under the connector's resolver policy, or, when the stage advertises </w:t>
      </w:r>
      <w:r>
        <w:rPr>
          <w:rStyle w:val="VARIABLE"/>
        </w:rPr>
        <w:t xml:space="preserve">Assets</w:t>
      </w:r>
      <w:r>
        <w:t xml:space="preserve"> (</w:t>
      </w:r>
      <w:r>
        <w:fldChar w:fldCharType="begin"/>
      </w:r>
      <w:r>
        <w:instrText xml:space="preserve"> REF _Clause_c7_11 \r \h </w:instrText>
      </w:r>
      <w:r>
        <w:fldChar w:fldCharType="separate"/>
      </w:r>
      <w:r>
        <w:rPr>
          <w:noProof/>
        </w:rPr>
        <w:t xml:space="preserve">7.11</w:t>
      </w:r>
      <w:r>
        <w:fldChar w:fldCharType="end"/>
      </w:r>
      <w:r>
        <w:t xml:space="preserve">), by streaming the served </w:t>
      </w:r>
      <w:r>
        <w:rPr>
          <w:rStyle w:val="VARIABLE"/>
        </w:rPr>
        <w:t xml:space="preserve">OpenUsdAssetType</w:t>
      </w:r>
      <w:r>
        <w:t xml:space="preserve"> whose </w:t>
      </w:r>
      <w:r>
        <w:rPr>
          <w:rStyle w:val="VARIABLE"/>
        </w:rPr>
        <w:t xml:space="preserve">AssetKind = RootLayer</w:t>
      </w:r>
      <w:r>
        <w:t xml:space="preserve"> through its Part 5 </w:t>
      </w:r>
      <w:r>
        <w:rPr>
          <w:rStyle w:val="VARIABLE"/>
        </w:rPr>
        <w:t xml:space="preserve">FileType</w:t>
      </w:r>
      <w:r>
        <w:t xml:space="preserve"> and verifying it against its </w:t>
      </w:r>
      <w:r>
        <w:rPr>
          <w:rStyle w:val="VARIABLE"/>
        </w:rPr>
        <w:t xml:space="preserve">Digest</w:t>
      </w:r>
      <w:r>
        <w:t xml:space="preserve"> before composition. In both cases </w:t>
      </w:r>
      <w:r>
        <w:rPr>
          <w:rStyle w:val="VARIABLE"/>
        </w:rPr>
        <w:t xml:space="preserve">RootLayerIdentifier</w:t>
      </w:r>
      <w:r>
        <w:t xml:space="preserve"> remains the authored identity used by USD resolution; the delivery mechanism does not change the stage identity.</w:t>
      </w:r>
    </w:p>
    <w:p>
      <w:pPr>
        <w:pStyle w:val="Heading2"/>
      </w:pPr>
      <w:bookmarkStart w:id="485" w:name="_Clause_c6_4"/>
      <w:r>
        <w:t xml:space="preserve">Architecture</w:t>
      </w:r>
      <w:bookmarkEnd w:id="485"/>
    </w:p>
    <w:p>
      <w:pPr>
        <w:pStyle w:val="FIGURE"/>
      </w:pPr>
      <w:r>
        <w:object w:dxaOrig="14895" w:dyaOrig="90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00pt;height:262.42pt" o:ole="">
            <v:imagedata r:id="rId130" o:title=""/>
          </v:shape>
          <o:OLEObject Type="Embed" ProgID="PowerPoint.Show.12" ShapeID="_x0000_i1025" DrawAspect="Content" ObjectID="_1900000001" r:id="rId131"/>
        </w:object>
      </w:r>
    </w:p>
    <w:p>
      <w:pPr>
        <w:pStyle w:val="FIGURE-title"/>
      </w:pPr>
      <w:bookmarkStart w:id="486" w:name="_Fig_fig_architecture"/>
      <w:r>
        <w:t xml:space="preserve">Figure </w:t>
      </w:r>
      <w:r>
        <w:fldChar w:fldCharType="begin"/>
      </w:r>
      <w:r>
        <w:instrText xml:space="preserve"> SEQ Figure \* ARABIC </w:instrText>
      </w:r>
      <w:r>
        <w:fldChar w:fldCharType="separate"/>
      </w:r>
      <w:r>
        <w:rPr>
          <w:noProof/>
        </w:rPr>
        <w:t xml:space="preserve">1</w:t>
      </w:r>
      <w:r>
        <w:fldChar w:fldCharType="end"/>
      </w:r>
      <w:r>
        <w:t xml:space="preserve"> – OpenUSD binding architecture</w:t>
      </w:r>
      <w:bookmarkEnd w:id="486"/>
    </w:p>
    <w:p>
      <w:pPr>
        <w:pStyle w:val="Heading2"/>
      </w:pPr>
      <w:bookmarkStart w:id="487" w:name="_Clause_c6_5"/>
      <w:r>
        <w:t xml:space="preserve">Organisation of the model</w:t>
      </w:r>
      <w:bookmarkEnd w:id="487"/>
    </w:p>
    <w:p>
      <w:pPr>
        <w:pStyle w:val="PARAGRAPH"/>
      </w:pPr>
      <w:r>
        <w:t xml:space="preserve">All types are in the namespace </w:t>
      </w:r>
      <w:r>
        <w:rPr>
          <w:rStyle w:val="VARIABLE"/>
        </w:rPr>
        <w:t xml:space="preserve">http://opcfoundation.org/UA/OpenUSD/</w:t>
      </w:r>
      <w:r>
        <w:t xml:space="preserve"> (index </w:t>
      </w:r>
      <w:r>
        <w:rPr>
          <w:b/>
        </w:rPr>
        <w:t xml:space="preserve">2</w:t>
      </w:r>
      <w:r>
        <w:t xml:space="preserve">; index 1 is the RequiredModel </w:t>
      </w:r>
      <w:r>
        <w:rPr>
          <w:rStyle w:val="VARIABLE"/>
        </w:rPr>
        <w:t xml:space="preserve">http://opcfoundation.org/UA/xRegistry/</w:t>
      </w:r>
      <w:r>
        <w:t xml:space="preserve">). Numeric NodeIds are </w:t>
      </w:r>
      <w:r>
        <w:rPr>
          <w:b/>
        </w:rPr>
        <w:t xml:space="preserve">provisional</w:t>
      </w:r>
      <w:r>
        <w:t xml:space="preserve">: ObjectTypes </w:t>
      </w:r>
      <w:r>
        <w:rPr>
          <w:rStyle w:val="VARIABLE"/>
        </w:rPr>
        <w:t xml:space="preserve">1001–1099</w:t>
      </w:r>
      <w:r>
        <w:t xml:space="preserve">, Interfaces </w:t>
      </w:r>
      <w:r>
        <w:rPr>
          <w:rStyle w:val="VARIABLE"/>
        </w:rPr>
        <w:t xml:space="preserve">1010+</w:t>
      </w:r>
      <w:r>
        <w:t xml:space="preserve">, DataTypes/Enumerations </w:t>
      </w:r>
      <w:r>
        <w:rPr>
          <w:rStyle w:val="VARIABLE"/>
        </w:rPr>
        <w:t xml:space="preserve">3001+</w:t>
      </w:r>
      <w:r>
        <w:t xml:space="preserve"> (with EnumStrings at </w:t>
      </w:r>
      <w:r>
        <w:rPr>
          <w:rStyle w:val="VARIABLE"/>
        </w:rPr>
        <w:t xml:space="preserve">datatype-id + 900</w:t>
      </w:r>
      <w:r>
        <w:t xml:space="preserve">), and all remaining instance declarations sequentially from </w:t>
      </w:r>
      <w:r>
        <w:rPr>
          <w:rStyle w:val="VARIABLE"/>
        </w:rPr>
        <w:t xml:space="preserve">6001</w:t>
      </w:r>
      <w:r>
        <w:t xml:space="preserve">. The NodeSet has two RequiredModels — the base UA namespace and xRegistry (</w:t>
      </w:r>
      <w:r>
        <w:t xml:space="preserve">§7.11</w:t>
      </w:r>
      <w:r>
        <w:t xml:space="preserve">); a Server that adopts only the representation + telemetry core needs neither RSL nor DI. The full generated node table is Annex A.</w:t>
      </w:r>
    </w:p>
    <w:p>
      <w:pPr>
        <w:pStyle w:val="Heading1"/>
      </w:pPr>
      <w:bookmarkStart w:id="488" w:name="_Clause_c7"/>
      <w:r>
        <w:t xml:space="preserve">OPC UA ObjectTypes</w:t>
      </w:r>
      <w:bookmarkEnd w:id="488"/>
    </w:p>
    <w:p>
      <w:pPr>
        <w:pStyle w:val="Heading2"/>
      </w:pPr>
      <w:bookmarkStart w:id="489" w:name="_Clause_c7_1"/>
      <w:r>
        <w:t xml:space="preserve">OpenUsdRootType</w:t>
      </w:r>
      <w:bookmarkEnd w:id="489"/>
    </w:p>
    <w:p>
      <w:pPr>
        <w:pStyle w:val="PARAGRAPH"/>
      </w:pPr>
      <w:r>
        <w:t xml:space="preserve">The well-known instance </w:t>
      </w:r>
      <w:r>
        <w:rPr>
          <w:rStyle w:val="VARIABLE"/>
        </w:rPr>
        <w:t xml:space="preserve">Server/OpenUSD</w:t>
      </w:r>
      <w:r>
        <w:t xml:space="preserve"> is of this type (</w:t>
      </w:r>
      <w:r>
        <w:fldChar w:fldCharType="begin"/>
      </w:r>
      <w:r>
        <w:instrText xml:space="preserve"> REF _Clause_c6_2 \r \h </w:instrText>
      </w:r>
      <w:r>
        <w:fldChar w:fldCharType="separate"/>
      </w:r>
      <w:r>
        <w:rPr>
          <w:noProof/>
        </w:rPr>
        <w:t xml:space="preserve">6.2</w:t>
      </w:r>
      <w:r>
        <w:fldChar w:fldCharType="end"/>
      </w:r>
      <w:r>
        <w:t xml:space="preserve">).</w:t>
      </w:r>
    </w:p>
    <w:p>
      <w:pPr>
        <w:pStyle w:val="TABLE-title"/>
        <w:keepNext/>
      </w:pPr>
      <w:bookmarkStart w:id="490" w:name="_Tab_c7_1_tab"/>
      <w:r>
        <w:t xml:space="preserve">Table </w:t>
      </w:r>
      <w:r>
        <w:fldChar w:fldCharType="begin"/>
      </w:r>
      <w:r>
        <w:instrText xml:space="preserve"> SEQ Table \* ARABIC </w:instrText>
      </w:r>
      <w:r>
        <w:fldChar w:fldCharType="separate"/>
      </w:r>
      <w:r>
        <w:rPr>
          <w:noProof/>
        </w:rPr>
        <w:t xml:space="preserve">1</w:t>
      </w:r>
      <w:r>
        <w:fldChar w:fldCharType="end"/>
      </w:r>
      <w:r>
        <w:t xml:space="preserve"> – OpenUsdRootType definition</w:t>
      </w:r>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2:OpenUsdRootType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Stages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Representations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Artifacts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OpenUsdArtifactRegistryType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OU-Discovery</w:t>
            </w:r>
          </w:p>
        </w:tc>
      </w:tr>
    </w:tbl>
    <w:p>
      <w:pPr>
        <w:pStyle w:val="spacer"/>
      </w:pPr>
    </w:p>
    <w:p>
      <w:pPr>
        <w:pStyle w:val="Heading2"/>
      </w:pPr>
      <w:bookmarkStart w:id="491" w:name="_Clause_c7_2"/>
      <w:r>
        <w:t xml:space="preserve">OpenUsdStageType</w:t>
      </w:r>
      <w:bookmarkEnd w:id="491"/>
    </w:p>
    <w:p>
      <w:pPr>
        <w:pStyle w:val="PARAGRAPH"/>
      </w:pPr>
      <w:r>
        <w:t xml:space="preserve">The Stage Object's own NodeId is its same-server identity; a </w:t>
      </w:r>
      <w:r>
        <w:rPr>
          <w:rStyle w:val="VARIABLE"/>
        </w:rPr>
        <w:t xml:space="preserve">Representation</w:t>
      </w:r>
      <w:r>
        <w:t xml:space="preserve"> references it by NodeId. </w:t>
      </w:r>
      <w:r>
        <w:rPr>
          <w:rStyle w:val="VARIABLE"/>
        </w:rPr>
        <w:t xml:space="preserve">RootLayerDigest</w:t>
      </w:r>
      <w:r>
        <w:t xml:space="preserve"> is computed over the </w:t>
      </w:r>
      <w:r>
        <w:rPr>
          <w:b/>
        </w:rPr>
        <w:t xml:space="preserve">resolved root-layer content</w:t>
      </w:r>
      <w:r>
        <w:t xml:space="preserve"> (the layer bytes the resolver returns for </w:t>
      </w:r>
      <w:r>
        <w:rPr>
          <w:rStyle w:val="VARIABLE"/>
        </w:rPr>
        <w:t xml:space="preserve">RootLayerIdentifier</w:t>
      </w:r>
      <w:r>
        <w:t xml:space="preserve">), not over the identifier string. When it is present a connector </w:t>
      </w:r>
      <w:r>
        <w:rPr>
          <w:b/>
        </w:rPr>
        <w:t xml:space="preserve">shall</w:t>
      </w:r>
      <w:r>
        <w:t xml:space="preserve"> obtain the resolved layer, verify it against the digest (using </w:t>
      </w:r>
      <w:r>
        <w:rPr>
          <w:rStyle w:val="VARIABLE"/>
        </w:rPr>
        <w:t xml:space="preserve">RootLayerDigestAlgorithm</w:t>
      </w:r>
      <w:r>
        <w:t xml:space="preserve">) before composing the stage, and </w:t>
      </w:r>
      <w:r>
        <w:rPr>
          <w:b/>
        </w:rPr>
        <w:t xml:space="preserve">shall</w:t>
      </w:r>
      <w:r>
        <w:t xml:space="preserve"> refuse to open a layer whose digest does not match; this is the model's content-integrity anchor for the vision's signed </w:t>
      </w:r>
      <w:r>
        <w:rPr>
          <w:i/>
        </w:rPr>
        <w:t xml:space="preserve">Twin BOM</w:t>
      </w:r>
      <w:r>
        <w:t xml:space="preserve"> (§C.2).</w:t>
      </w:r>
    </w:p>
    <w:p>
      <w:pPr>
        <w:pStyle w:val="TABLE-title"/>
        <w:keepNext/>
      </w:pPr>
      <w:bookmarkStart w:id="492" w:name="_Tab_c7_2_tab"/>
      <w:r>
        <w:t xml:space="preserve">Table </w:t>
      </w:r>
      <w:r>
        <w:fldChar w:fldCharType="begin"/>
      </w:r>
      <w:r>
        <w:instrText xml:space="preserve"> SEQ Table \* ARABIC </w:instrText>
      </w:r>
      <w:r>
        <w:fldChar w:fldCharType="separate"/>
      </w:r>
      <w:r>
        <w:rPr>
          <w:noProof/>
        </w:rPr>
        <w:t xml:space="preserve">2</w:t>
      </w:r>
      <w:r>
        <w:fldChar w:fldCharType="end"/>
      </w:r>
      <w:r>
        <w:t xml:space="preserve"> – OpenUsdStageType definition</w:t>
      </w:r>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2:OpenUsdStageType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RootLayerIdentifier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SessionLayerIdentifier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ResolverContext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ResolvedRootLayerUri</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RootLayerDigest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0:ByteString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RootLayerDigestAlgorithm</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OpenUsdDigestAlgorithmEnum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Signature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0:ByteString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ProvenanceUri</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Assets</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OU-Stage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OU-Integrity</w:t>
            </w:r>
          </w:p>
        </w:tc>
      </w:tr>
    </w:tbl>
    <w:p>
      <w:pPr>
        <w:pStyle w:val="spacer"/>
      </w:pPr>
    </w:p>
    <w:p>
      <w:pPr>
        <w:pStyle w:val="Heading2"/>
      </w:pPr>
      <w:bookmarkStart w:id="493" w:name="_Clause_c7_3"/>
      <w:r>
        <w:t xml:space="preserve">OpenUsdRepresentationType</w:t>
      </w:r>
      <w:bookmarkEnd w:id="493"/>
    </w:p>
    <w:p>
      <w:pPr>
        <w:pStyle w:val="PARAGRAPH"/>
      </w:pPr>
      <w:r>
        <w:t xml:space="preserve">A domain Object gains a representation by composing this AddIn with </w:t>
      </w:r>
      <w:r>
        <w:rPr>
          <w:rStyle w:val="VARIABLE"/>
        </w:rPr>
        <w:t xml:space="preserve">HasAddIn</w:t>
      </w:r>
      <w:r>
        <w:t xml:space="preserve"> (Part 3 AddIn convention). The AddIn is </w:t>
      </w:r>
      <w:r>
        <w:rPr>
          <w:rStyle w:val="VARIABLE"/>
        </w:rPr>
        <w:t xml:space="preserve">Organizes</w:t>
      </w:r>
      <w:r>
        <w:t xml:space="preserve">-listed from </w:t>
      </w:r>
      <w:r>
        <w:rPr>
          <w:rStyle w:val="VARIABLE"/>
        </w:rPr>
        <w:t xml:space="preserve">Server/OpenUSD/Representations</w:t>
      </w:r>
      <w:r>
        <w:t xml:space="preserve">. The represented Object is the AddIn's </w:t>
      </w:r>
      <w:r>
        <w:rPr>
          <w:rStyle w:val="VARIABLE"/>
        </w:rPr>
        <w:t xml:space="preserve">HasAddIn</w:t>
      </w:r>
      <w:r>
        <w:t xml:space="preserve">-inverse parent; a connector computes the effective binding key as </w:t>
      </w:r>
      <w:r>
        <w:rPr>
          <w:rStyle w:val="VARIABLE"/>
        </w:rPr>
        <w:t xml:space="preserve">(represented Object, BindingDefinitionId)</w:t>
      </w:r>
      <w:r>
        <w:t xml:space="preserve">.</w:t>
      </w:r>
    </w:p>
    <w:p>
      <w:pPr>
        <w:pStyle w:val="TABLE-title"/>
        <w:keepNext/>
      </w:pPr>
      <w:bookmarkStart w:id="494" w:name="_Tab_c7_3_tab"/>
      <w:r>
        <w:t xml:space="preserve">Table </w:t>
      </w:r>
      <w:r>
        <w:fldChar w:fldCharType="begin"/>
      </w:r>
      <w:r>
        <w:instrText xml:space="preserve"> SEQ Table \* ARABIC </w:instrText>
      </w:r>
      <w:r>
        <w:fldChar w:fldCharType="separate"/>
      </w:r>
      <w:r>
        <w:rPr>
          <w:noProof/>
        </w:rPr>
        <w:t xml:space="preserve">3</w:t>
      </w:r>
      <w:r>
        <w:fldChar w:fldCharType="end"/>
      </w:r>
      <w:r>
        <w:t xml:space="preserve"> – OpenUsdRepresentationType definition</w:t>
      </w:r>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2:OpenUsdRepresentationType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DefaultInstanceBrowseName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0:QualifiedName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Stage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PrimPath</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&lt;Binding&gt;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OpenUsdLiveBindingType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&lt;Component&gt;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OpenUsdComponentBindingType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OU-Representation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OU-RepresentationRegistry</w:t>
            </w:r>
          </w:p>
        </w:tc>
      </w:tr>
    </w:tbl>
    <w:p>
      <w:pPr>
        <w:pStyle w:val="spacer"/>
      </w:pPr>
    </w:p>
    <w:p>
      <w:pPr>
        <w:pStyle w:val="Heading2"/>
      </w:pPr>
      <w:bookmarkStart w:id="495" w:name="_Clause_c7_4"/>
      <w:r>
        <w:t xml:space="preserve">OpenUsdLiveBindingType</w:t>
      </w:r>
      <w:bookmarkEnd w:id="495"/>
    </w:p>
    <w:p>
      <w:pPr>
        <w:pStyle w:val="PARAGRAPH"/>
      </w:pPr>
      <w:r>
        <w:rPr>
          <w:rStyle w:val="VARIABLE"/>
        </w:rPr>
        <w:t xml:space="preserve">OpenUsdLiveBindingType</w:t>
      </w:r>
      <w:r>
        <w:t xml:space="preserve"> is the </w:t>
      </w:r>
      <w:r>
        <w:rPr>
          <w:b/>
        </w:rPr>
        <w:t xml:space="preserve">abstract</w:t>
      </w:r>
      <w:r>
        <w:t xml:space="preserve"> base for a read-only live binding that maps a source </w:t>
      </w:r>
      <w:r>
        <w:rPr>
          <w:rStyle w:val="VARIABLE"/>
        </w:rPr>
        <w:t xml:space="preserve">Variable</w:t>
      </w:r>
      <w:r>
        <w:t xml:space="preserve"> </w:t>
      </w:r>
      <w:r>
        <w:rPr>
          <w:rStyle w:val="VARIABLE"/>
        </w:rPr>
        <w:t xml:space="preserve">Value</w:t>
      </w:r>
      <w:r>
        <w:t xml:space="preserve"> to one target USD attribute. The binding </w:t>
      </w:r>
      <w:r>
        <w:rPr>
          <w:b/>
        </w:rPr>
        <w:t xml:space="preserve">intent is expressed by the concrete subtype</w:t>
      </w:r>
      <w:r>
        <w:t xml:space="preserve"> (</w:t>
      </w:r>
      <w:r>
        <w:fldChar w:fldCharType="begin"/>
      </w:r>
      <w:r>
        <w:instrText xml:space="preserve"> REF _Clause_c7_5 \r \h </w:instrText>
      </w:r>
      <w:r>
        <w:fldChar w:fldCharType="separate"/>
      </w:r>
      <w:r>
        <w:rPr>
          <w:noProof/>
        </w:rPr>
        <w:t xml:space="preserve">7.5</w:t>
      </w:r>
      <w:r>
        <w:fldChar w:fldCharType="end"/>
      </w:r>
      <w:r>
        <w:t xml:space="preserve">–</w:t>
      </w:r>
      <w:r>
        <w:fldChar w:fldCharType="begin"/>
      </w:r>
      <w:r>
        <w:instrText xml:space="preserve"> REF _Clause_c7_8 \r \h </w:instrText>
      </w:r>
      <w:r>
        <w:fldChar w:fldCharType="separate"/>
      </w:r>
      <w:r>
        <w:rPr>
          <w:noProof/>
        </w:rPr>
        <w:t xml:space="preserve">7.8</w:t>
      </w:r>
      <w:r>
        <w:fldChar w:fldCharType="end"/>
      </w:r>
      <w:r>
        <w:t xml:space="preserve">) rather than by an enum discriminator, so each intent's members live only on its subtype. Declaration identity (</w:t>
      </w:r>
      <w:r>
        <w:rPr>
          <w:rStyle w:val="VARIABLE"/>
        </w:rPr>
        <w:t xml:space="preserve">BindingDefinitionId</w:t>
      </w:r>
      <w:r>
        <w:t xml:space="preserve">) is distinct from runtime identity (</w:t>
      </w:r>
      <w:r>
        <w:rPr>
          <w:rStyle w:val="VARIABLE"/>
        </w:rPr>
        <w:t xml:space="preserve">(represented Object, BindingDefinitionId)</w:t>
      </w:r>
      <w:r>
        <w:t xml:space="preserve">); a type-level declaration is therefore not wrongly shared across instances. The base carries the members common to every intent:</w:t>
      </w:r>
    </w:p>
    <w:p>
      <w:pPr>
        <w:pStyle w:val="PARAGRAPH"/>
      </w:pPr>
      <w:r>
        <w:t xml:space="preserve">Exactly one of </w:t>
      </w:r>
      <w:r>
        <w:rPr>
          <w:rStyle w:val="VARIABLE"/>
        </w:rPr>
        <w:t xml:space="preserve">SourceNodeId</w:t>
      </w:r>
      <w:r>
        <w:t xml:space="preserve"> / </w:t>
      </w:r>
      <w:r>
        <w:rPr>
          <w:rStyle w:val="VARIABLE"/>
        </w:rPr>
        <w:t xml:space="preserve">SourceBrowsePath</w:t>
      </w:r>
      <w:r>
        <w:t xml:space="preserve"> / </w:t>
      </w:r>
      <w:r>
        <w:rPr>
          <w:rStyle w:val="VARIABLE"/>
        </w:rPr>
        <w:t xml:space="preserve">SourceSemanticId</w:t>
      </w:r>
      <w:r>
        <w:t xml:space="preserve"> </w:t>
      </w:r>
      <w:r>
        <w:rPr>
          <w:b/>
        </w:rPr>
        <w:t xml:space="preserve">shall</w:t>
      </w:r>
      <w:r>
        <w:t xml:space="preserve"> resolve to a single source Variable. </w:t>
      </w:r>
      <w:r>
        <w:rPr>
          <w:rStyle w:val="VARIABLE"/>
        </w:rPr>
        <w:t xml:space="preserve">SourceBrowsePath</w:t>
      </w:r>
      <w:r>
        <w:t xml:space="preserve"> and </w:t>
      </w:r>
      <w:r>
        <w:rPr>
          <w:rStyle w:val="VARIABLE"/>
        </w:rPr>
        <w:t xml:space="preserve">SourceSemanticId</w:t>
      </w:r>
      <w:r>
        <w:t xml:space="preserve"> are preferred over </w:t>
      </w:r>
      <w:r>
        <w:rPr>
          <w:rStyle w:val="VARIABLE"/>
        </w:rPr>
        <w:t xml:space="preserve">SourceNodeId</w:t>
      </w:r>
      <w:r>
        <w:t xml:space="preserve"> because they are instance-portable and can be declared at type level; </w:t>
      </w:r>
      <w:r>
        <w:rPr>
          <w:rStyle w:val="VARIABLE"/>
        </w:rPr>
        <w:t xml:space="preserve">SourceSemanticId</w:t>
      </w:r>
      <w:r>
        <w:t xml:space="preserve"> additionally makes a binding portable </w:t>
      </w:r>
      <w:r>
        <w:rPr>
          <w:b/>
        </w:rPr>
        <w:t xml:space="preserve">across vendors and servers</w:t>
      </w:r>
      <w:r>
        <w:t xml:space="preserve"> that share the same semantic dictionary (ECLASS / IEC CDD), which is the anchor the wider asset-definition strategy relies on (§C.2).</w:t>
      </w:r>
    </w:p>
    <w:p>
      <w:pPr>
        <w:pStyle w:val="PARAGRAPH"/>
      </w:pPr>
      <w:r>
        <w:t xml:space="preserve">Because the intent is the type, a connector determines a binding's intent from its </w:t>
      </w:r>
      <w:r>
        <w:rPr>
          <w:rStyle w:val="VARIABLE"/>
        </w:rPr>
        <w:t xml:space="preserve">HasTypeDefinition</w:t>
      </w:r>
      <w:r>
        <w:t xml:space="preserve"> (the concrete subtype), and a </w:t>
      </w:r>
      <w:r>
        <w:rPr>
          <w:rStyle w:val="VARIABLE"/>
        </w:rPr>
        <w:t xml:space="preserve">&lt;Binding&gt;</w:t>
      </w:r>
      <w:r>
        <w:t xml:space="preserve"> placeholder (</w:t>
      </w:r>
      <w:r>
        <w:fldChar w:fldCharType="begin"/>
      </w:r>
      <w:r>
        <w:instrText xml:space="preserve"> REF _Clause_c7_3 \r \h </w:instrText>
      </w:r>
      <w:r>
        <w:fldChar w:fldCharType="separate"/>
      </w:r>
      <w:r>
        <w:rPr>
          <w:noProof/>
        </w:rPr>
        <w:t xml:space="preserve">7.3</w:t>
      </w:r>
      <w:r>
        <w:fldChar w:fldCharType="end"/>
      </w:r>
      <w:r>
        <w:t xml:space="preserve">) whose declared TypeDefinition is the abstract base is materialized only by instances of a concrete subtype.</w:t>
      </w:r>
    </w:p>
    <w:p>
      <w:pPr>
        <w:pStyle w:val="TABLE-title"/>
        <w:keepNext/>
      </w:pPr>
      <w:bookmarkStart w:id="496" w:name="_Tab_c7_4_tab"/>
      <w:r>
        <w:t xml:space="preserve">Table </w:t>
      </w:r>
      <w:r>
        <w:fldChar w:fldCharType="begin"/>
      </w:r>
      <w:r>
        <w:instrText xml:space="preserve"> SEQ Table \* ARABIC </w:instrText>
      </w:r>
      <w:r>
        <w:fldChar w:fldCharType="separate"/>
      </w:r>
      <w:r>
        <w:rPr>
          <w:noProof/>
        </w:rPr>
        <w:t xml:space="preserve">4</w:t>
      </w:r>
      <w:r>
        <w:fldChar w:fldCharType="end"/>
      </w:r>
      <w:r>
        <w:t xml:space="preserve"> – OpenUsdLiveBindingType definition</w:t>
      </w:r>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2:OpenUsdLiveBindingType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BindingDefinitionId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0:Guid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Enabled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SourceNodeId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SourceBrowsePath</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0:RelativePath</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AttributeId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TargetStage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TargetPrimPath</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TargetPropertyName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TargetUsdTypeName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RenderTargetKind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OpenUsdRenderTargetKindEnum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ValueSemanticUri</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Scale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Offset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SourceEngineeringUnits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0:EUInformation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TargetEngineeringUnits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0:EUInformation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BadQualityAction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OpenUsdBadQualityActionEnum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SamplingIntervalHint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OpenUsdBindingStateEnum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LastError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SignalRole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OpenUsdSignalRoleEnum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SourceSemanticId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TargetNodeId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OU-Binding</w:t>
            </w:r>
          </w:p>
        </w:tc>
      </w:tr>
    </w:tbl>
    <w:p>
      <w:pPr>
        <w:pStyle w:val="spacer"/>
      </w:pPr>
    </w:p>
    <w:p>
      <w:pPr>
        <w:pStyle w:val="Heading3"/>
      </w:pPr>
      <w:bookmarkStart w:id="497" w:name="_Clause_c7_4_1"/>
      <w:r>
        <w:t xml:space="preserve">Source and target resolution</w:t>
      </w:r>
      <w:bookmarkEnd w:id="497"/>
    </w:p>
    <w:p>
      <w:pPr>
        <w:pStyle w:val="PARAGRAPH"/>
      </w:pPr>
      <w:r>
        <w:rPr>
          <w:b/>
        </w:rPr>
        <w:t xml:space="preserve">Source.</w:t>
      </w:r>
      <w:r>
        <w:t xml:space="preserve"> In precedence order: if </w:t>
      </w:r>
      <w:r>
        <w:rPr>
          <w:rStyle w:val="VARIABLE"/>
        </w:rPr>
        <w:t xml:space="preserve">SourceNodeId</w:t>
      </w:r>
      <w:r>
        <w:t xml:space="preserve"> is present use it; else if </w:t>
      </w:r>
      <w:r>
        <w:rPr>
          <w:rStyle w:val="VARIABLE"/>
        </w:rPr>
        <w:t xml:space="preserve">SourceSemanticId</w:t>
      </w:r>
      <w:r>
        <w:t xml:space="preserve"> is present resolve it against the represented Object's subtree by matching the source Variable's semantic annotation (</w:t>
      </w:r>
      <w:r>
        <w:rPr>
          <w:rStyle w:val="VARIABLE"/>
        </w:rPr>
        <w:t xml:space="preserve">HasDictionaryEntry</w:t>
      </w:r>
      <w:r>
        <w:t xml:space="preserve"> target IRDI or equivalent); else resolve </w:t>
      </w:r>
      <w:r>
        <w:rPr>
          <w:rStyle w:val="VARIABLE"/>
        </w:rPr>
        <w:t xml:space="preserve">SourceBrowsePath</w:t>
      </w:r>
      <w:r>
        <w:t xml:space="preserve"> from the represented Object. Zero matches → the binding is </w:t>
      </w:r>
      <w:r>
        <w:rPr>
          <w:i/>
        </w:rPr>
        <w:t xml:space="preserve">unresolved</w:t>
      </w:r>
      <w:r>
        <w:t xml:space="preserve"> (no update). More than one match → </w:t>
      </w:r>
      <w:r>
        <w:rPr>
          <w:rStyle w:val="VARIABLE"/>
        </w:rPr>
        <w:t xml:space="preserve">Bad_TooManyMatches</w:t>
      </w:r>
      <w:r>
        <w:t xml:space="preserve">. The connector validates NodeClass = Variable and the Value attribute.</w:t>
      </w:r>
    </w:p>
    <w:p>
      <w:pPr>
        <w:pStyle w:val="PARAGRAPH"/>
      </w:pPr>
      <w:r>
        <w:rPr>
          <w:b/>
        </w:rPr>
        <w:t xml:space="preserve">Target.</w:t>
      </w:r>
      <w:r>
        <w:t xml:space="preserve"> If </w:t>
      </w:r>
      <w:r>
        <w:rPr>
          <w:rStyle w:val="VARIABLE"/>
        </w:rPr>
        <w:t xml:space="preserve">TargetNodeId</w:t>
      </w:r>
      <w:r>
        <w:t xml:space="preserve"> is present, the target is that Variable directly — the connector validates NodeClass = Variable and, when the Variable is a materialized Part 2 </w:t>
      </w:r>
      <w:r>
        <w:rPr>
          <w:rStyle w:val="VARIABLE"/>
        </w:rPr>
        <w:t xml:space="preserve">UsdAttributeType</w:t>
      </w:r>
      <w:r>
        <w:t xml:space="preserve">, that its </w:t>
      </w:r>
      <w:r>
        <w:rPr>
          <w:rStyle w:val="VARIABLE"/>
        </w:rPr>
        <w:t xml:space="preserve">UsdTypeName</w:t>
      </w:r>
      <w:r>
        <w:t xml:space="preserve"> is compatible with </w:t>
      </w:r>
      <w:r>
        <w:rPr>
          <w:rStyle w:val="VARIABLE"/>
        </w:rPr>
        <w:t xml:space="preserve">TargetUsdTypeName</w:t>
      </w:r>
      <w:r>
        <w:t xml:space="preserve">; </w:t>
      </w:r>
      <w:r>
        <w:rPr>
          <w:rStyle w:val="VARIABLE"/>
        </w:rPr>
        <w:t xml:space="preserve">TargetPrimPath</w:t>
      </w:r>
      <w:r>
        <w:t xml:space="preserve">/</w:t>
      </w:r>
      <w:r>
        <w:rPr>
          <w:rStyle w:val="VARIABLE"/>
        </w:rPr>
        <w:t xml:space="preserve">TargetPropertyName</w:t>
      </w:r>
      <w:r>
        <w:t xml:space="preserve"> remain authored as the portable descriptors and </w:t>
      </w:r>
      <w:r>
        <w:rPr>
          <w:b/>
        </w:rPr>
        <w:t xml:space="preserve">shall</w:t>
      </w:r>
      <w:r>
        <w:t xml:space="preserve"> be consistent with the resolved node. Otherwise: resolve </w:t>
      </w:r>
      <w:r>
        <w:rPr>
          <w:rStyle w:val="VARIABLE"/>
        </w:rPr>
        <w:t xml:space="preserve">TargetStage</w:t>
      </w:r>
      <w:r>
        <w:t xml:space="preserve"> (validate it is an </w:t>
      </w:r>
      <w:r>
        <w:rPr>
          <w:rStyle w:val="VARIABLE"/>
        </w:rPr>
        <w:t xml:space="preserve">OpenUsdStageType</w:t>
      </w:r>
      <w:r>
        <w:t xml:space="preserve">, or a Part 2 </w:t>
      </w:r>
      <w:r>
        <w:rPr>
          <w:rStyle w:val="VARIABLE"/>
        </w:rPr>
        <w:t xml:space="preserve">UsdStageType</w:t>
      </w:r>
      <w:r>
        <w:t xml:space="preserve"> for a materialized scene; verify </w:t>
      </w:r>
      <w:r>
        <w:rPr>
          <w:rStyle w:val="VARIABLE"/>
        </w:rPr>
        <w:t xml:space="preserve">RootLayerDigest</w:t>
      </w:r>
      <w:r>
        <w:t xml:space="preserve"> if present per </w:t>
      </w:r>
      <w:r>
        <w:t xml:space="preserve">§7.2</w:t>
      </w:r>
      <w:r>
        <w:t xml:space="preserve">). Resolve </w:t>
      </w:r>
      <w:r>
        <w:rPr>
          <w:rStyle w:val="VARIABLE"/>
        </w:rPr>
        <w:t xml:space="preserve">TargetPrimPath</w:t>
      </w:r>
      <w:r>
        <w:t xml:space="preserve">: absolute, or relative to the representation </w:t>
      </w:r>
      <w:r>
        <w:rPr>
          <w:rStyle w:val="VARIABLE"/>
        </w:rPr>
        <w:t xml:space="preserve">PrimPath</w:t>
      </w:r>
      <w:r>
        <w:t xml:space="preserve"> — a relative path </w:t>
      </w:r>
      <w:r>
        <w:rPr>
          <w:b/>
        </w:rPr>
        <w:t xml:space="preserve">shall</w:t>
      </w:r>
      <w:r>
        <w:t xml:space="preserve"> be joined to the representation </w:t>
      </w:r>
      <w:r>
        <w:rPr>
          <w:rStyle w:val="VARIABLE"/>
        </w:rPr>
        <w:t xml:space="preserve">PrimPath</w:t>
      </w:r>
      <w:r>
        <w:t xml:space="preserve">, never authored at the layer root. Append </w:t>
      </w:r>
      <w:r>
        <w:rPr>
          <w:rStyle w:val="VARIABLE"/>
        </w:rPr>
        <w:t xml:space="preserve">TargetPropertyName</w:t>
      </w:r>
      <w:r>
        <w:t xml:space="preserve"> to obtain the target attribute. Validate the prim, the attribute, and </w:t>
      </w:r>
      <w:r>
        <w:rPr>
          <w:rStyle w:val="VARIABLE"/>
        </w:rPr>
        <w:t xml:space="preserve">TargetUsdTypeName</w:t>
      </w:r>
      <w:r>
        <w:t xml:space="preserve">. For an </w:t>
      </w:r>
      <w:r>
        <w:rPr>
          <w:rStyle w:val="VARIABLE"/>
        </w:rPr>
        <w:t xml:space="preserve">xformOp</w:t>
      </w:r>
      <w:r>
        <w:t xml:space="preserve">, the op </w:t>
      </w:r>
      <w:r>
        <w:rPr>
          <w:b/>
        </w:rPr>
        <w:t xml:space="preserve">shall</w:t>
      </w:r>
      <w:r>
        <w:t xml:space="preserve"> be present in the prim's </w:t>
      </w:r>
      <w:r>
        <w:rPr>
          <w:rStyle w:val="VARIABLE"/>
        </w:rPr>
        <w:t xml:space="preserve">xformOpOrder</w:t>
      </w:r>
      <w:r>
        <w:t xml:space="preserve">. The connector </w:t>
      </w:r>
      <w:r>
        <w:rPr>
          <w:b/>
        </w:rPr>
        <w:t xml:space="preserve">shall not</w:t>
      </w:r>
      <w:r>
        <w:t xml:space="preserve"> fall back by name, nearest prim, first match, or a compatible type, and </w:t>
      </w:r>
      <w:r>
        <w:rPr>
          <w:b/>
        </w:rPr>
        <w:t xml:space="preserve">shall not</w:t>
      </w:r>
      <w:r>
        <w:t xml:space="preserve"> create a property unless an explicit authoring profile permits it.</w:t>
      </w:r>
    </w:p>
    <w:p>
      <w:pPr>
        <w:pStyle w:val="PARAGRAPH"/>
      </w:pPr>
      <w:r>
        <w:t xml:space="preserve">For a </w:t>
      </w:r>
      <w:r>
        <w:rPr>
          <w:b/>
        </w:rPr>
        <w:t xml:space="preserve">materialized (Part 2) stage</w:t>
      </w:r>
      <w:r>
        <w:t xml:space="preserve"> the prim path and property name resolve against the materialized address space by BrowseName path — </w:t>
      </w:r>
      <w:r>
        <w:rPr>
          <w:rStyle w:val="VARIABLE"/>
        </w:rPr>
        <w:t xml:space="preserve">&lt;stage&gt;/&lt;prim&gt;/…/&lt;attribute&gt;</w:t>
      </w:r>
      <w:r>
        <w:t xml:space="preserve"> — which is the path-based equivalent of </w:t>
      </w:r>
      <w:r>
        <w:rPr>
          <w:rStyle w:val="VARIABLE"/>
        </w:rPr>
        <w:t xml:space="preserve">TargetNodeId</w:t>
      </w:r>
      <w:r>
        <w:t xml:space="preserve">. A Server materializing a scene </w:t>
      </w:r>
      <w:r>
        <w:rPr>
          <w:b/>
        </w:rPr>
        <w:t xml:space="preserve">should</w:t>
      </w:r>
      <w:r>
        <w:t xml:space="preserve"> author both, so that a connector that resolves by NodeId and one that resolves by path reach the same Variable.</w:t>
      </w:r>
    </w:p>
    <w:p>
      <w:pPr>
        <w:pStyle w:val="Heading3"/>
      </w:pPr>
      <w:bookmarkStart w:id="498" w:name="_Clause_c7_4_2"/>
      <w:r>
        <w:t xml:space="preserve">Conversion</w:t>
      </w:r>
      <w:bookmarkEnd w:id="498"/>
    </w:p>
    <w:p>
      <w:pPr>
        <w:pStyle w:val="PARAGRAPH"/>
      </w:pPr>
      <w:r>
        <w:t xml:space="preserve">Conversion is applied in this fixed order: </w:t>
      </w:r>
      <w:r>
        <w:rPr>
          <w:b/>
        </w:rPr>
        <w:t xml:space="preserve">(1)</w:t>
      </w:r>
      <w:r>
        <w:t xml:space="preserve"> engineering-unit conversion (when </w:t>
      </w:r>
      <w:r>
        <w:rPr>
          <w:rStyle w:val="VARIABLE"/>
        </w:rPr>
        <w:t xml:space="preserve">Source/TargetEngineeringUnits</w:t>
      </w:r>
      <w:r>
        <w:t xml:space="preserve"> differ), </w:t>
      </w:r>
      <w:r>
        <w:rPr>
          <w:b/>
        </w:rPr>
        <w:t xml:space="preserve">(2)</w:t>
      </w:r>
      <w:r>
        <w:t xml:space="preserve"> </w:t>
      </w:r>
      <w:r>
        <w:rPr>
          <w:rStyle w:val="VARIABLE"/>
        </w:rPr>
        <w:t xml:space="preserve">Scale</w:t>
      </w:r>
      <w:r>
        <w:t xml:space="preserve"> then </w:t>
      </w:r>
      <w:r>
        <w:rPr>
          <w:rStyle w:val="VARIABLE"/>
        </w:rPr>
        <w:t xml:space="preserve">Offset</w:t>
      </w:r>
      <w:r>
        <w:t xml:space="preserve"> (</w:t>
      </w:r>
      <w:r>
        <w:rPr>
          <w:rStyle w:val="VARIABLE"/>
        </w:rPr>
        <w:t xml:space="preserve">out = in × Scale + Offset</w:t>
      </w:r>
      <w:r>
        <w:t xml:space="preserve">), </w:t>
      </w:r>
      <w:r>
        <w:rPr>
          <w:b/>
        </w:rPr>
        <w:t xml:space="preserve">(3)</w:t>
      </w:r>
      <w:r>
        <w:t xml:space="preserve"> the transform or geospatial profile below (only when the target is a transform op or a georeference), </w:t>
      </w:r>
      <w:r>
        <w:rPr>
          <w:b/>
        </w:rPr>
        <w:t xml:space="preserve">(4)</w:t>
      </w:r>
      <w:r>
        <w:t xml:space="preserve"> clamp to the range representable by </w:t>
      </w:r>
      <w:r>
        <w:rPr>
          <w:rStyle w:val="VARIABLE"/>
        </w:rPr>
        <w:t xml:space="preserve">TargetUsdTypeName</w:t>
      </w:r>
      <w:r>
        <w:t xml:space="preserve">, </w:t>
      </w:r>
      <w:r>
        <w:rPr>
          <w:b/>
        </w:rPr>
        <w:t xml:space="preserve">(5)</w:t>
      </w:r>
      <w:r>
        <w:t xml:space="preserve"> cast to the USD attribute's value type. Scalar bindings apply steps (1), (2), (4), (5) only.</w:t>
      </w:r>
    </w:p>
    <w:p>
      <w:pPr>
        <w:pStyle w:val="PARAGRAPH"/>
      </w:pPr>
      <w:r>
        <w:rPr>
          <w:b/>
        </w:rPr>
        <w:t xml:space="preserve">Scalar conversion.</w:t>
      </w:r>
      <w:r>
        <w:t xml:space="preserve"> A scalar source </w:t>
      </w:r>
      <w:r>
        <w:rPr>
          <w:rStyle w:val="VARIABLE"/>
        </w:rPr>
        <w:t xml:space="preserve">Value</w:t>
      </w:r>
      <w:r>
        <w:t xml:space="preserve"> is converted with </w:t>
      </w:r>
      <w:r>
        <w:rPr>
          <w:rStyle w:val="VARIABLE"/>
        </w:rPr>
        <w:t xml:space="preserve">Scale</w:t>
      </w:r>
      <w:r>
        <w:t xml:space="preserve">/</w:t>
      </w:r>
      <w:r>
        <w:rPr>
          <w:rStyle w:val="VARIABLE"/>
        </w:rPr>
        <w:t xml:space="preserve">Offset</w:t>
      </w:r>
      <w:r>
        <w:t xml:space="preserve"> and, where the source and target carry different UNECE units, </w:t>
      </w:r>
      <w:r>
        <w:rPr>
          <w:rStyle w:val="VARIABLE"/>
        </w:rPr>
        <w:t xml:space="preserve">Source/TargetEngineeringUnits</w:t>
      </w:r>
      <w:r>
        <w:t xml:space="preserve">. The result is authored as the target attribute's value (or, for </w:t>
      </w:r>
      <w:r>
        <w:rPr>
          <w:rStyle w:val="VARIABLE"/>
        </w:rPr>
        <w:t xml:space="preserve">float</w:t>
      </w:r>
      <w:r>
        <w:t xml:space="preserve">/</w:t>
      </w:r>
      <w:r>
        <w:rPr>
          <w:rStyle w:val="VARIABLE"/>
        </w:rPr>
        <w:t xml:space="preserve">half</w:t>
      </w:r>
      <w:r>
        <w:t xml:space="preserve"> targets, the nearest representable value).</w:t>
      </w:r>
    </w:p>
    <w:p>
      <w:pPr>
        <w:pStyle w:val="PARAGRAPH"/>
      </w:pPr>
      <w:r>
        <w:rPr>
          <w:b/>
        </w:rPr>
        <w:t xml:space="preserve">Transform profile (driving a USD </w:t>
      </w:r>
      <w:r>
        <w:rPr>
          <w:rStyle w:val="VARIABLE"/>
        </w:rPr>
        <w:t xml:space="preserve">xformOp</w:t>
      </w:r>
      <w:r>
        <w:rPr>
          <w:b/>
        </w:rPr>
        <w:t xml:space="preserve">).</w:t>
      </w:r>
      <w:r>
        <w:t xml:space="preserve"> Spatial values follow the RSL (</w:t>
      </w:r>
      <w:r>
        <w:rPr>
          <w:rStyle w:val="VARIABLE"/>
        </w:rPr>
        <w:t xml:space="preserve">CartesianFrameAngleOrientationType</w:t>
      </w:r>
      <w:r>
        <w:t xml:space="preserve"> = </w:t>
      </w:r>
      <w:r>
        <w:rPr>
          <w:rStyle w:val="VARIABLE"/>
        </w:rPr>
        <w:t xml:space="preserve">3DFrame</w:t>
      </w:r>
      <w:r>
        <w:t xml:space="preserve">) semantics: a </w:t>
      </w:r>
      <w:r>
        <w:rPr>
          <w:rStyle w:val="VARIABLE"/>
        </w:rPr>
        <w:t xml:space="preserve">3DCartesianCoordinates</w:t>
      </w:r>
      <w:r>
        <w:t xml:space="preserve"> position </w:t>
      </w:r>
      <w:r>
        <w:rPr>
          <w:rStyle w:val="VARIABLE"/>
        </w:rPr>
        <w:t xml:space="preserve">(X, Y, Z)</w:t>
      </w:r>
      <w:r>
        <w:t xml:space="preserve"> with a </w:t>
      </w:r>
      <w:r>
        <w:rPr>
          <w:rStyle w:val="VARIABLE"/>
        </w:rPr>
        <w:t xml:space="preserve">LengthUnit</w:t>
      </w:r>
      <w:r>
        <w:t xml:space="preserve">, and a </w:t>
      </w:r>
      <w:r>
        <w:rPr>
          <w:rStyle w:val="VARIABLE"/>
        </w:rPr>
        <w:t xml:space="preserve">3DOrientation</w:t>
      </w:r>
      <w:r>
        <w:t xml:space="preserve"> </w:t>
      </w:r>
      <w:r>
        <w:rPr>
          <w:rStyle w:val="VARIABLE"/>
        </w:rPr>
        <w:t xml:space="preserve">(A, B, C)</w:t>
      </w:r>
      <w:r>
        <w:t xml:space="preserve"> with an </w:t>
      </w:r>
      <w:r>
        <w:rPr>
          <w:rStyle w:val="VARIABLE"/>
        </w:rPr>
        <w:t xml:space="preserve">AngleUnit</w:t>
      </w:r>
      <w:r>
        <w:t xml:space="preserve">, where </w:t>
      </w:r>
      <w:r>
        <w:rPr>
          <w:rStyle w:val="VARIABLE"/>
        </w:rPr>
        <w:t xml:space="preserve">A</w:t>
      </w:r>
      <w:r>
        <w:t xml:space="preserve">, </w:t>
      </w:r>
      <w:r>
        <w:rPr>
          <w:rStyle w:val="VARIABLE"/>
        </w:rPr>
        <w:t xml:space="preserve">B</w:t>
      </w:r>
      <w:r>
        <w:t xml:space="preserve">, </w:t>
      </w:r>
      <w:r>
        <w:rPr>
          <w:rStyle w:val="VARIABLE"/>
        </w:rPr>
        <w:t xml:space="preserve">C</w:t>
      </w:r>
      <w:r>
        <w:t xml:space="preserve"> are the roll (about X), pitch (about Y) and yaw (about Z) angles under the ISO 9787 intrinsic Tait‑Bryan </w:t>
      </w:r>
      <w:r>
        <w:rPr>
          <w:rStyle w:val="VARIABLE"/>
        </w:rPr>
        <w:t xml:space="preserve">z‑y′‑x″</w:t>
      </w:r>
      <w:r>
        <w:t xml:space="preserve"> convention (equivalently the extrinsic </w:t>
      </w:r>
      <w:r>
        <w:rPr>
          <w:rStyle w:val="VARIABLE"/>
        </w:rPr>
        <w:t xml:space="preserve">x‑y‑z</w:t>
      </w:r>
      <w:r>
        <w:t xml:space="preserve"> convention), giving the rotation matrix </w:t>
      </w:r>
      <w:r>
        <w:rPr>
          <w:rStyle w:val="VARIABLE"/>
        </w:rPr>
        <w:t xml:space="preserve">R = Rz(C)·Ry(B)·Rx(A)</w:t>
      </w:r>
      <w:r>
        <w:t xml:space="preserve">. Both OPC UA/RSL and USD use a </w:t>
      </w:r>
      <w:r>
        <w:rPr>
          <w:b/>
        </w:rPr>
        <w:t xml:space="preserve">right‑handed</w:t>
      </w:r>
      <w:r>
        <w:t xml:space="preserve"> coordinate system. The following rules are mandatory:</w:t>
      </w:r>
    </w:p>
    <w:p>
      <w:pPr>
        <w:pStyle w:val="ListBullet"/>
        <w:numPr>
          <w:ilvl w:val="0"/>
          <w:numId w:val="21"/>
        </w:numPr>
      </w:pPr>
      <w:r>
        <w:rPr>
          <w:b/>
        </w:rPr>
        <w:t xml:space="preserve">Units — rotation.</w:t>
      </w:r>
      <w:r>
        <w:t xml:space="preserve"> USD rotation ops are in </w:t>
      </w:r>
      <w:r>
        <w:rPr>
          <w:b/>
        </w:rPr>
        <w:t xml:space="preserve">degrees</w:t>
      </w:r>
      <w:r>
        <w:t xml:space="preserve">; convert an </w:t>
      </w:r>
      <w:r>
        <w:rPr>
          <w:rStyle w:val="VARIABLE"/>
        </w:rPr>
        <w:t xml:space="preserve">AngleUnit</w:t>
      </w:r>
      <w:r>
        <w:t xml:space="preserve"> of radians with </w:t>
      </w:r>
      <w:r>
        <w:rPr>
          <w:rStyle w:val="VARIABLE"/>
        </w:rPr>
        <w:t xml:space="preserve">× 180/π</w:t>
      </w:r>
      <w:r>
        <w:t xml:space="preserve"> (and any other </w:t>
      </w:r>
      <w:r>
        <w:rPr>
          <w:rStyle w:val="VARIABLE"/>
        </w:rPr>
        <w:t xml:space="preserve">AngleUnit</w:t>
      </w:r>
      <w:r>
        <w:t xml:space="preserve"> via its UNECE factor). USD </w:t>
      </w:r>
      <w:r>
        <w:rPr>
          <w:rStyle w:val="VARIABLE"/>
        </w:rPr>
        <w:t xml:space="preserve">upAxis</w:t>
      </w:r>
      <w:r>
        <w:t xml:space="preserve"> and </w:t>
      </w:r>
      <w:r>
        <w:rPr>
          <w:rStyle w:val="VARIABLE"/>
        </w:rPr>
        <w:t xml:space="preserve">metersPerUnit</w:t>
      </w:r>
      <w:r>
        <w:t xml:space="preserve"> are not applied to angles.</w:t>
      </w:r>
    </w:p>
    <w:p>
      <w:pPr>
        <w:pStyle w:val="ListBullet"/>
        <w:numPr>
          <w:ilvl w:val="0"/>
          <w:numId w:val="21"/>
        </w:numPr>
      </w:pPr>
      <w:r>
        <w:rPr>
          <w:b/>
        </w:rPr>
        <w:t xml:space="preserve">Rotation mapping.</w:t>
      </w:r>
      <w:r>
        <w:t xml:space="preserve"> Author the orientation as </w:t>
      </w:r>
      <w:r>
        <w:rPr>
          <w:rStyle w:val="VARIABLE"/>
        </w:rPr>
        <w:t xml:space="preserve">xformOp:rotateXYZ = (A°, B°, C°)</w:t>
      </w:r>
      <w:r>
        <w:t xml:space="preserve">: USD's </w:t>
      </w:r>
      <w:r>
        <w:rPr>
          <w:rStyle w:val="VARIABLE"/>
        </w:rPr>
        <w:t xml:space="preserve">rotateXYZ</w:t>
      </w:r>
      <w:r>
        <w:t xml:space="preserve"> is defined so the first-named axis is most local, i.e. it is equivalent to the ordered ops </w:t>
      </w:r>
      <w:r>
        <w:rPr>
          <w:rStyle w:val="VARIABLE"/>
        </w:rPr>
        <w:t xml:space="preserve">rotateZ</w:t>
      </w:r>
      <w:r>
        <w:t xml:space="preserve">, </w:t>
      </w:r>
      <w:r>
        <w:rPr>
          <w:rStyle w:val="VARIABLE"/>
        </w:rPr>
        <w:t xml:space="preserve">rotateY</w:t>
      </w:r>
      <w:r>
        <w:t xml:space="preserve">, </w:t>
      </w:r>
      <w:r>
        <w:rPr>
          <w:rStyle w:val="VARIABLE"/>
        </w:rPr>
        <w:t xml:space="preserve">rotateX</w:t>
      </w:r>
      <w:r>
        <w:t xml:space="preserve"> and yields </w:t>
      </w:r>
      <w:r>
        <w:rPr>
          <w:rStyle w:val="VARIABLE"/>
        </w:rPr>
        <w:t xml:space="preserve">R = Rz(rz)·Ry(ry)·Rx(rx)</w:t>
      </w:r>
      <w:r>
        <w:t xml:space="preserve">, which for </w:t>
      </w:r>
      <w:r>
        <w:rPr>
          <w:rStyle w:val="VARIABLE"/>
        </w:rPr>
        <w:t xml:space="preserve">(rx, ry, rz) = (A, B, C)</w:t>
      </w:r>
      <w:r>
        <w:t xml:space="preserve"> reproduces the RSL matrix above exactly. If decomposed single-axis ops are used instead, they </w:t>
      </w:r>
      <w:r>
        <w:rPr>
          <w:b/>
        </w:rPr>
        <w:t xml:space="preserve">shall</w:t>
      </w:r>
      <w:r>
        <w:t xml:space="preserve"> be </w:t>
      </w:r>
      <w:r>
        <w:rPr>
          <w:rStyle w:val="VARIABLE"/>
        </w:rPr>
        <w:t xml:space="preserve">["…", "xformOp:rotateZ", "xformOp:rotateY", "xformOp:rotateX"]</w:t>
      </w:r>
      <w:r>
        <w:t xml:space="preserve"> (Z outermost, X innermost) to preserve that order. A </w:t>
      </w:r>
      <w:r>
        <w:rPr>
          <w:rStyle w:val="VARIABLE"/>
        </w:rPr>
        <w:t xml:space="preserve">rotateXYZ</w:t>
      </w:r>
      <w:r>
        <w:t xml:space="preserve"> op </w:t>
      </w:r>
      <w:r>
        <w:rPr>
          <w:b/>
        </w:rPr>
        <w:t xml:space="preserve">shall not</w:t>
      </w:r>
      <w:r>
        <w:t xml:space="preserve"> be substituted by a different Euler order (</w:t>
      </w:r>
      <w:r>
        <w:rPr>
          <w:rStyle w:val="VARIABLE"/>
        </w:rPr>
        <w:t xml:space="preserve">rotateZYX</w:t>
      </w:r>
      <w:r>
        <w:t xml:space="preserve">, …) without re-deriving the angles.</w:t>
      </w:r>
    </w:p>
    <w:p>
      <w:pPr>
        <w:pStyle w:val="ListBullet"/>
        <w:numPr>
          <w:ilvl w:val="0"/>
          <w:numId w:val="21"/>
        </w:numPr>
      </w:pPr>
      <w:r>
        <w:rPr>
          <w:b/>
        </w:rPr>
        <w:t xml:space="preserve">Units — translation.</w:t>
      </w:r>
      <w:r>
        <w:t xml:space="preserve"> Position components are metres scaled by the RSL </w:t>
      </w:r>
      <w:r>
        <w:rPr>
          <w:rStyle w:val="VARIABLE"/>
        </w:rPr>
        <w:t xml:space="preserve">LengthUnit</w:t>
      </w:r>
      <w:r>
        <w:t xml:space="preserve">; author </w:t>
      </w:r>
      <w:r>
        <w:rPr>
          <w:rStyle w:val="VARIABLE"/>
        </w:rPr>
        <w:t xml:space="preserve">xformOp:translate = (X, Y, Z)</w:t>
      </w:r>
      <w:r>
        <w:t xml:space="preserve"> as a </w:t>
      </w:r>
      <w:r>
        <w:rPr>
          <w:rStyle w:val="VARIABLE"/>
        </w:rPr>
        <w:t xml:space="preserve">double3</w:t>
      </w:r>
      <w:r>
        <w:t xml:space="preserve"> in </w:t>
      </w:r>
      <w:r>
        <w:rPr>
          <w:b/>
        </w:rPr>
        <w:t xml:space="preserve">stage units</w:t>
      </w:r>
      <w:r>
        <w:t xml:space="preserve">. The stage </w:t>
      </w:r>
      <w:r>
        <w:rPr>
          <w:rStyle w:val="VARIABLE"/>
        </w:rPr>
        <w:t xml:space="preserve">metersPerUnit</w:t>
      </w:r>
      <w:r>
        <w:t xml:space="preserve"> is </w:t>
      </w:r>
      <w:r>
        <w:rPr>
          <w:b/>
        </w:rPr>
        <w:t xml:space="preserve">not</w:t>
      </w:r>
      <w:r>
        <w:t xml:space="preserve"> applied to a raw </w:t>
      </w:r>
      <w:r>
        <w:rPr>
          <w:rStyle w:val="VARIABLE"/>
        </w:rPr>
        <w:t xml:space="preserve">xformOp:translate</w:t>
      </w:r>
      <w:r>
        <w:t xml:space="preserve"> (intervening </w:t>
      </w:r>
      <w:r>
        <w:rPr>
          <w:rStyle w:val="VARIABLE"/>
        </w:rPr>
        <w:t xml:space="preserve">xformOp:scale</w:t>
      </w:r>
      <w:r>
        <w:t xml:space="preserve"> ops and referenced-asset unit corrections already affect the metric); a length conversion is applied only per this profile against a controlled xform stack whose </w:t>
      </w:r>
      <w:r>
        <w:rPr>
          <w:rStyle w:val="VARIABLE"/>
        </w:rPr>
        <w:t xml:space="preserve">xformOpOrder</w:t>
      </w:r>
      <w:r>
        <w:t xml:space="preserve"> the connector authored.</w:t>
      </w:r>
    </w:p>
    <w:p>
      <w:pPr>
        <w:pStyle w:val="ListBullet"/>
        <w:numPr>
          <w:ilvl w:val="0"/>
          <w:numId w:val="21"/>
        </w:numPr>
      </w:pPr>
      <w:r>
        <w:rPr>
          <w:b/>
        </w:rPr>
        <w:t xml:space="preserve">Op order.</w:t>
      </w:r>
      <w:r>
        <w:t xml:space="preserve"> The named op </w:t>
      </w:r>
      <w:r>
        <w:rPr>
          <w:b/>
        </w:rPr>
        <w:t xml:space="preserve">shall</w:t>
      </w:r>
      <w:r>
        <w:t xml:space="preserve"> already be present in the prim's </w:t>
      </w:r>
      <w:r>
        <w:rPr>
          <w:rStyle w:val="VARIABLE"/>
        </w:rPr>
        <w:t xml:space="preserve">xformOpOrder</w:t>
      </w:r>
      <w:r>
        <w:t xml:space="preserve"> (</w:t>
      </w:r>
      <w:r>
        <w:fldChar w:fldCharType="begin"/>
      </w:r>
      <w:r>
        <w:instrText xml:space="preserve"> REF _Clause_c7_4_1 \r \h </w:instrText>
      </w:r>
      <w:r>
        <w:fldChar w:fldCharType="separate"/>
      </w:r>
      <w:r>
        <w:rPr>
          <w:noProof/>
        </w:rPr>
        <w:t xml:space="preserve">7.4.1</w:t>
      </w:r>
      <w:r>
        <w:fldChar w:fldCharType="end"/>
      </w:r>
      <w:r>
        <w:t xml:space="preserve">); the connector </w:t>
      </w:r>
      <w:r>
        <w:rPr>
          <w:b/>
        </w:rPr>
        <w:t xml:space="preserve">shall not</w:t>
      </w:r>
      <w:r>
        <w:t xml:space="preserve"> create it or reorder the stack. For a local pose the conventional stack is </w:t>
      </w:r>
      <w:r>
        <w:rPr>
          <w:rStyle w:val="VARIABLE"/>
        </w:rPr>
        <w:t xml:space="preserve">["xformOp:translate", "xformOp:rotateXYZ"]</w:t>
      </w:r>
      <w:r>
        <w:t xml:space="preserve"> (translate outermost, rotate innermost) so the prim is rotated about its own origin and then positioned.</w:t>
      </w:r>
    </w:p>
    <w:p>
      <w:pPr>
        <w:pStyle w:val="ListBullet"/>
        <w:numPr>
          <w:ilvl w:val="0"/>
          <w:numId w:val="21"/>
        </w:numPr>
      </w:pPr>
      <w:r>
        <w:rPr>
          <w:b/>
        </w:rPr>
        <w:t xml:space="preserve">Matrix form.</w:t>
      </w:r>
      <w:r>
        <w:t xml:space="preserve"> When the target is </w:t>
      </w:r>
      <w:r>
        <w:rPr>
          <w:rStyle w:val="VARIABLE"/>
        </w:rPr>
        <w:t xml:space="preserve">xformOp:transform</w:t>
      </w:r>
      <w:r>
        <w:t xml:space="preserve"> (</w:t>
      </w:r>
      <w:r>
        <w:rPr>
          <w:rStyle w:val="VARIABLE"/>
        </w:rPr>
        <w:t xml:space="preserve">matrix4d</w:t>
      </w:r>
      <w:r>
        <w:t xml:space="preserve">), the connector builds the 4×4 matrix in USD convention: </w:t>
      </w:r>
      <w:r>
        <w:rPr>
          <w:b/>
        </w:rPr>
        <w:t xml:space="preserve">row‑major</w:t>
      </w:r>
      <w:r>
        <w:t xml:space="preserve">, </w:t>
      </w:r>
      <w:r>
        <w:rPr>
          <w:b/>
        </w:rPr>
        <w:t xml:space="preserve">row‑vector</w:t>
      </w:r>
      <w:r>
        <w:t xml:space="preserve"> pre‑multiplication (</w:t>
      </w:r>
      <w:r>
        <w:rPr>
          <w:rStyle w:val="VARIABLE"/>
        </w:rPr>
        <w:t xml:space="preserve">v′ = v · M</w:t>
      </w:r>
      <w:r>
        <w:t xml:space="preserve">), the upper‑left 3×3 being </w:t>
      </w:r>
      <w:r>
        <w:rPr>
          <w:rStyle w:val="VARIABLE"/>
        </w:rPr>
        <w:t xml:space="preserve">R</w:t>
      </w:r>
      <w:r>
        <w:t xml:space="preserve"> (rows are the transformed basis vectors) and the </w:t>
      </w:r>
      <w:r>
        <w:rPr>
          <w:b/>
        </w:rPr>
        <w:t xml:space="preserve">translation in the fourth row</w:t>
      </w:r>
      <w:r>
        <w:t xml:space="preserve">; the matrix is right‑handed with no shear.</w:t>
      </w:r>
    </w:p>
    <w:p>
      <w:pPr>
        <w:pStyle w:val="ListBullet"/>
        <w:numPr>
          <w:ilvl w:val="0"/>
          <w:numId w:val="21"/>
        </w:numPr>
      </w:pPr>
      <w:r>
        <w:rPr>
          <w:b/>
        </w:rPr>
        <w:t xml:space="preserve">Quaternion.</w:t>
      </w:r>
      <w:r>
        <w:t xml:space="preserve"> When the target is </w:t>
      </w:r>
      <w:r>
        <w:rPr>
          <w:rStyle w:val="VARIABLE"/>
        </w:rPr>
        <w:t xml:space="preserve">xformOp:orient</w:t>
      </w:r>
      <w:r>
        <w:t xml:space="preserve"> (</w:t>
      </w:r>
      <w:r>
        <w:rPr>
          <w:rStyle w:val="VARIABLE"/>
        </w:rPr>
        <w:t xml:space="preserve">quatf</w:t>
      </w:r>
      <w:r>
        <w:t xml:space="preserve">/</w:t>
      </w:r>
      <w:r>
        <w:rPr>
          <w:rStyle w:val="VARIABLE"/>
        </w:rPr>
        <w:t xml:space="preserve">quatd</w:t>
      </w:r>
      <w:r>
        <w:t xml:space="preserve">), the quaternion </w:t>
      </w:r>
      <w:r>
        <w:rPr>
          <w:b/>
        </w:rPr>
        <w:t xml:space="preserve">shall</w:t>
      </w:r>
      <w:r>
        <w:t xml:space="preserve"> be reordered from the OPC UA/RSL imaginary‑first </w:t>
      </w:r>
      <w:r>
        <w:rPr>
          <w:rStyle w:val="VARIABLE"/>
        </w:rPr>
        <w:t xml:space="preserve">(x, y, z, w)</w:t>
      </w:r>
      <w:r>
        <w:t xml:space="preserve"> order to USD's real‑first </w:t>
      </w:r>
      <w:r>
        <w:rPr>
          <w:rStyle w:val="VARIABLE"/>
        </w:rPr>
        <w:t xml:space="preserve">(w, x, y, z)</w:t>
      </w:r>
      <w:r>
        <w:t xml:space="preserve"> order, and normalised.</w:t>
      </w:r>
    </w:p>
    <w:p>
      <w:pPr>
        <w:pStyle w:val="ListBullet"/>
        <w:numPr>
          <w:ilvl w:val="0"/>
          <w:numId w:val="21"/>
        </w:numPr>
      </w:pPr>
      <w:r>
        <w:rPr>
          <w:b/>
        </w:rPr>
        <w:t xml:space="preserve">Up‑axis.</w:t>
      </w:r>
      <w:r>
        <w:t xml:space="preserve"> A Z‑up source composed onto a Y‑up stage (</w:t>
      </w:r>
      <w:r>
        <w:rPr>
          <w:rStyle w:val="VARIABLE"/>
        </w:rPr>
        <w:t xml:space="preserve">upAxis = "Y"</w:t>
      </w:r>
      <w:r>
        <w:t xml:space="preserve">, or vice‑versa) </w:t>
      </w:r>
      <w:r>
        <w:rPr>
          <w:b/>
        </w:rPr>
        <w:t xml:space="preserve">shall</w:t>
      </w:r>
      <w:r>
        <w:t xml:space="preserve"> be reconciled by an explicit correction frame declared in the profile (for Z‑up→Y‑up, a </w:t>
      </w:r>
      <w:r>
        <w:rPr>
          <w:rStyle w:val="VARIABLE"/>
        </w:rPr>
        <w:t xml:space="preserve">−90°</w:t>
      </w:r>
      <w:r>
        <w:t xml:space="preserve"> rotation about X applied outermost); the connector </w:t>
      </w:r>
      <w:r>
        <w:rPr>
          <w:b/>
        </w:rPr>
        <w:t xml:space="preserve">shall not</w:t>
      </w:r>
      <w:r>
        <w:t xml:space="preserve"> silently reinterpret axes.</w:t>
      </w:r>
    </w:p>
    <w:p>
      <w:pPr>
        <w:pStyle w:val="PARAGRAPH"/>
      </w:pPr>
      <w:r>
        <w:rPr>
          <w:b/>
        </w:rPr>
        <w:t xml:space="preserve">Geospatial profile (</w:t>
      </w:r>
      <w:r>
        <w:rPr>
          <w:rStyle w:val="VARIABLE"/>
        </w:rPr>
        <w:t xml:space="preserve">RenderTargetKind = Georeference</w:t>
      </w:r>
      <w:r>
        <w:rPr>
          <w:b/>
        </w:rPr>
        <w:t xml:space="preserve">).</w:t>
      </w:r>
      <w:r>
        <w:t xml:space="preserve"> The source is an OPC UA/GPOS </w:t>
      </w:r>
      <w:r>
        <w:rPr>
          <w:rStyle w:val="VARIABLE"/>
        </w:rPr>
        <w:t xml:space="preserve">GlobalPositionType</w:t>
      </w:r>
      <w:r>
        <w:t xml:space="preserve"> value (or its </w:t>
      </w:r>
      <w:r>
        <w:rPr>
          <w:rStyle w:val="VARIABLE"/>
        </w:rPr>
        <w:t xml:space="preserve">Latitude</w:t>
      </w:r>
      <w:r>
        <w:t xml:space="preserve">/</w:t>
      </w:r>
      <w:r>
        <w:rPr>
          <w:rStyle w:val="VARIABLE"/>
        </w:rPr>
        <w:t xml:space="preserve">Longitude</w:t>
      </w:r>
      <w:r>
        <w:t xml:space="preserve">/</w:t>
      </w:r>
      <w:r>
        <w:rPr>
          <w:rStyle w:val="VARIABLE"/>
        </w:rPr>
        <w:t xml:space="preserve">Elevation</w:t>
      </w:r>
      <w:r>
        <w:t xml:space="preserve"> component Variables) with an EPSG </w:t>
      </w:r>
      <w:r>
        <w:rPr>
          <w:rStyle w:val="VARIABLE"/>
        </w:rPr>
        <w:t xml:space="preserve">CoordinateReferenceSystem</w:t>
      </w:r>
      <w:r>
        <w:t xml:space="preserve">; the target is a USD </w:t>
      </w:r>
      <w:r>
        <w:rPr>
          <w:b/>
        </w:rPr>
        <w:t xml:space="preserve">georeference origin</w:t>
      </w:r>
      <w:r>
        <w:t xml:space="preserve"> (stage‑level) or a per‑prim </w:t>
      </w:r>
      <w:r>
        <w:rPr>
          <w:b/>
        </w:rPr>
        <w:t xml:space="preserve">globe anchor</w:t>
      </w:r>
      <w:r>
        <w:t xml:space="preserve"> — the portable Part 2 </w:t>
      </w:r>
      <w:r>
        <w:rPr>
          <w:rStyle w:val="VARIABLE"/>
        </w:rPr>
        <w:t xml:space="preserve">UsdGeoreferenceApiType</w:t>
      </w:r>
      <w:r>
        <w:t xml:space="preserve">/</w:t>
      </w:r>
      <w:r>
        <w:rPr>
          <w:rStyle w:val="VARIABLE"/>
        </w:rPr>
        <w:t xml:space="preserve">UsdGlobeAnchorApiType</w:t>
      </w:r>
      <w:r>
        <w:t xml:space="preserve">, or the vendor schemas mapped in </w:t>
      </w:r>
      <w:r>
        <w:rPr>
          <w:b/>
        </w:rPr>
        <w:t xml:space="preserve">Annex F</w:t>
      </w:r>
      <w:r>
        <w:t xml:space="preserve"> (Cesium </w:t>
      </w:r>
      <w:r>
        <w:rPr>
          <w:rStyle w:val="VARIABLE"/>
        </w:rPr>
        <w:t xml:space="preserve">CesiumGeoreferencePrim</w:t>
      </w:r>
      <w:r>
        <w:t xml:space="preserve">/</w:t>
      </w:r>
      <w:r>
        <w:rPr>
          <w:rStyle w:val="VARIABLE"/>
        </w:rPr>
        <w:t xml:space="preserve">CesiumGlobeAnchorAPI</w:t>
      </w:r>
      <w:r>
        <w:t xml:space="preserve">, NVIDIA </w:t>
      </w:r>
      <w:r>
        <w:rPr>
          <w:rStyle w:val="VARIABLE"/>
        </w:rPr>
        <w:t xml:space="preserve">WGS84ReferencePositionAPI</w:t>
      </w:r>
      <w:r>
        <w:t xml:space="preserve">/</w:t>
      </w:r>
      <w:r>
        <w:rPr>
          <w:rStyle w:val="VARIABLE"/>
        </w:rPr>
        <w:t xml:space="preserve">WGS84LocalPositionAPI</w:t>
      </w:r>
      <w:r>
        <w:t xml:space="preserve">). The following rules are mandatory:</w:t>
      </w:r>
    </w:p>
    <w:p>
      <w:pPr>
        <w:pStyle w:val="ListBullet"/>
        <w:numPr>
          <w:ilvl w:val="0"/>
          <w:numId w:val="21"/>
        </w:numPr>
      </w:pPr>
      <w:r>
        <w:rPr>
          <w:b/>
        </w:rPr>
        <w:t xml:space="preserve">Coordinate reference system.</w:t>
      </w:r>
      <w:r>
        <w:t xml:space="preserve"> </w:t>
      </w:r>
      <w:r>
        <w:rPr>
          <w:rStyle w:val="VARIABLE"/>
        </w:rPr>
        <w:t xml:space="preserve">Latitude</w:t>
      </w:r>
      <w:r>
        <w:t xml:space="preserve">/</w:t>
      </w:r>
      <w:r>
        <w:rPr>
          <w:rStyle w:val="VARIABLE"/>
        </w:rPr>
        <w:t xml:space="preserve">Longitude</w:t>
      </w:r>
      <w:r>
        <w:t xml:space="preserve"> are authored as </w:t>
      </w:r>
      <w:r>
        <w:rPr>
          <w:b/>
        </w:rPr>
        <w:t xml:space="preserve">decimal degrees</w:t>
      </w:r>
      <w:r>
        <w:t xml:space="preserve"> and </w:t>
      </w:r>
      <w:r>
        <w:rPr>
          <w:rStyle w:val="VARIABLE"/>
        </w:rPr>
        <w:t xml:space="preserve">Elevation</w:t>
      </w:r>
      <w:r>
        <w:t xml:space="preserve">/height as </w:t>
      </w:r>
      <w:r>
        <w:rPr>
          <w:b/>
        </w:rPr>
        <w:t xml:space="preserve">metres</w:t>
      </w:r>
      <w:r>
        <w:t xml:space="preserve">. If </w:t>
      </w:r>
      <w:r>
        <w:rPr>
          <w:rStyle w:val="VARIABLE"/>
        </w:rPr>
        <w:t xml:space="preserve">CoordinateReferenceSystem</w:t>
      </w:r>
      <w:r>
        <w:t xml:space="preserve"> is not WGS84/GPS (EPSG 4326) the connector </w:t>
      </w:r>
      <w:r>
        <w:rPr>
          <w:b/>
        </w:rPr>
        <w:t xml:space="preserve">shall</w:t>
      </w:r>
      <w:r>
        <w:t xml:space="preserve"> reproject to the target schema's CRS (WGS84 for Cesium/NVIDIA) before authoring; an unmapped or unsupported CRS </w:t>
      </w:r>
      <w:r>
        <w:rPr>
          <w:b/>
        </w:rPr>
        <w:t xml:space="preserve">shall</w:t>
      </w:r>
      <w:r>
        <w:t xml:space="preserve"> leave the target unresolved (no update) rather than author an unprojected value.</w:t>
      </w:r>
    </w:p>
    <w:p>
      <w:pPr>
        <w:pStyle w:val="ListBullet"/>
        <w:numPr>
          <w:ilvl w:val="0"/>
          <w:numId w:val="21"/>
        </w:numPr>
      </w:pPr>
      <w:r>
        <w:rPr>
          <w:b/>
        </w:rPr>
        <w:t xml:space="preserve">Origin and tangent plane.</w:t>
      </w:r>
      <w:r>
        <w:t xml:space="preserve"> A georeference declares a single geodetic origin </w:t>
      </w:r>
      <w:r>
        <w:rPr>
          <w:rStyle w:val="VARIABLE"/>
        </w:rPr>
        <w:t xml:space="preserve">(lat₀, lon₀, h₀)</w:t>
      </w:r>
      <w:r>
        <w:t xml:space="preserve"> and a local </w:t>
      </w:r>
      <w:r>
        <w:rPr>
          <w:b/>
        </w:rPr>
        <w:t xml:space="preserve">East‑North‑Up (ENU)</w:t>
      </w:r>
      <w:r>
        <w:t xml:space="preserve"> tangent plane at that origin. Stage‑local metric coordinates relate to global coordinates through the ECEF→ENU transform anchored at the origin (with axis assignment per stage </w:t>
      </w:r>
      <w:r>
        <w:rPr>
          <w:rStyle w:val="VARIABLE"/>
        </w:rPr>
        <w:t xml:space="preserve">upAxis</w:t>
      </w:r>
      <w:r>
        <w:t xml:space="preserve">: for Z‑up, </w:t>
      </w:r>
      <w:r>
        <w:rPr>
          <w:rStyle w:val="VARIABLE"/>
        </w:rPr>
        <w:t xml:space="preserve">+X</w:t>
      </w:r>
      <w:r>
        <w:t xml:space="preserve"> = East, </w:t>
      </w:r>
      <w:r>
        <w:rPr>
          <w:rStyle w:val="VARIABLE"/>
        </w:rPr>
        <w:t xml:space="preserve">+Y</w:t>
      </w:r>
      <w:r>
        <w:t xml:space="preserve"> = North, </w:t>
      </w:r>
      <w:r>
        <w:rPr>
          <w:rStyle w:val="VARIABLE"/>
        </w:rPr>
        <w:t xml:space="preserve">+Z</w:t>
      </w:r>
      <w:r>
        <w:t xml:space="preserve"> = Up). Where GPOS supplies </w:t>
      </w:r>
      <w:r>
        <w:rPr>
          <w:rStyle w:val="VARIABLE"/>
        </w:rPr>
        <w:t xml:space="preserve">GroundControlPointDataType</w:t>
      </w:r>
      <w:r>
        <w:t xml:space="preserve"> (local‑Cartesian ↔ global‑geographic pairs), the connector </w:t>
      </w:r>
      <w:r>
        <w:rPr>
          <w:b/>
        </w:rPr>
        <w:t xml:space="preserve">shall</w:t>
      </w:r>
      <w:r>
        <w:t xml:space="preserve"> use them to establish/refine that origin and tangent‑plane registration (one point fixes the origin; several refine it, e.g. by least‑squares).</w:t>
      </w:r>
    </w:p>
    <w:p>
      <w:pPr>
        <w:pStyle w:val="ListBullet"/>
        <w:numPr>
          <w:ilvl w:val="0"/>
          <w:numId w:val="21"/>
        </w:numPr>
      </w:pPr>
      <w:r>
        <w:rPr>
          <w:b/>
        </w:rPr>
        <w:t xml:space="preserve">Per‑asset placement.</w:t>
      </w:r>
      <w:r>
        <w:t xml:space="preserve"> A moving asset's </w:t>
      </w:r>
      <w:r>
        <w:rPr>
          <w:rStyle w:val="VARIABLE"/>
        </w:rPr>
        <w:t xml:space="preserve">GlobalPosition</w:t>
      </w:r>
      <w:r>
        <w:t xml:space="preserve"> is authored either directly onto the target globe‑anchor attributes (</w:t>
      </w:r>
      <w:r>
        <w:rPr>
          <w:rStyle w:val="VARIABLE"/>
        </w:rPr>
        <w:t xml:space="preserve">Latitude</w:t>
      </w:r>
      <w:r>
        <w:t xml:space="preserve">/</w:t>
      </w:r>
      <w:r>
        <w:rPr>
          <w:rStyle w:val="VARIABLE"/>
        </w:rPr>
        <w:t xml:space="preserve">Longitude</w:t>
      </w:r>
      <w:r>
        <w:t xml:space="preserve">/</w:t>
      </w:r>
      <w:r>
        <w:rPr>
          <w:rStyle w:val="VARIABLE"/>
        </w:rPr>
        <w:t xml:space="preserve">Height</w:t>
      </w:r>
      <w:r>
        <w:t xml:space="preserve">) — letting the georeference schema resolve the local transform — or, when driving a raw pose, converted to an ENU offset from the origin and authored as </w:t>
      </w:r>
      <w:r>
        <w:rPr>
          <w:rStyle w:val="VARIABLE"/>
        </w:rPr>
        <w:t xml:space="preserve">xformOp:translate</w:t>
      </w:r>
      <w:r>
        <w:t xml:space="preserve"> (metres, per the transform profile). The connector </w:t>
      </w:r>
      <w:r>
        <w:rPr>
          <w:b/>
        </w:rPr>
        <w:t xml:space="preserve">shall not</w:t>
      </w:r>
      <w:r>
        <w:t xml:space="preserve"> author a raw </w:t>
      </w:r>
      <w:r>
        <w:rPr>
          <w:rStyle w:val="VARIABLE"/>
        </w:rPr>
        <w:t xml:space="preserve">xformOp</w:t>
      </w:r>
      <w:r>
        <w:t xml:space="preserve"> when the target is a georeference/anchor attribute.</w:t>
      </w:r>
    </w:p>
    <w:p>
      <w:pPr>
        <w:pStyle w:val="ListBullet"/>
        <w:numPr>
          <w:ilvl w:val="0"/>
          <w:numId w:val="21"/>
        </w:numPr>
      </w:pPr>
      <w:r>
        <w:rPr>
          <w:b/>
        </w:rPr>
        <w:t xml:space="preserve">Elevation datum.</w:t>
      </w:r>
      <w:r>
        <w:t xml:space="preserve"> Elevation is interpreted per the GPOS </w:t>
      </w:r>
      <w:r>
        <w:rPr>
          <w:rStyle w:val="VARIABLE"/>
        </w:rPr>
        <w:t xml:space="preserve">ElevationReference</w:t>
      </w:r>
      <w:r>
        <w:t xml:space="preserve"> (e.g. ellipsoidal height vs. mean‑sea‑level/geoid vs. floor‑relative) and authored in metres irrespective of stage </w:t>
      </w:r>
      <w:r>
        <w:rPr>
          <w:rStyle w:val="VARIABLE"/>
        </w:rPr>
        <w:t xml:space="preserve">metersPerUnit</w:t>
      </w:r>
      <w:r>
        <w:t xml:space="preserve">; a connector that cannot honour the stated datum </w:t>
      </w:r>
      <w:r>
        <w:rPr>
          <w:b/>
        </w:rPr>
        <w:t xml:space="preserve">shall</w:t>
      </w:r>
      <w:r>
        <w:t xml:space="preserve"> treat the height as unresolved rather than mis‑place the asset.</w:t>
      </w:r>
    </w:p>
    <w:p>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 xml:space="preserve">Annex F</w:t>
      </w:r>
      <w:r>
        <w:t xml:space="preserve">.</w:t>
      </w:r>
    </w:p>
    <w:p>
      <w:pPr>
        <w:pStyle w:val="Heading3"/>
      </w:pPr>
      <w:bookmarkStart w:id="499" w:name="_Clause_c7_4_3"/>
      <w:r>
        <w:t xml:space="preserve">Quality, timestamp and persistence</w:t>
      </w:r>
      <w:bookmarkEnd w:id="499"/>
    </w:p>
    <w:p>
      <w:pPr>
        <w:pStyle w:val="PARAGRAPH"/>
      </w:pPr>
      <w:r>
        <w:rPr>
          <w:b/>
        </w:rPr>
        <w:t xml:space="preserve">Quality.</w:t>
      </w:r>
      <w:r>
        <w:t xml:space="preserve"> An omitted (binary) source </w:t>
      </w:r>
      <w:r>
        <w:rPr>
          <w:rStyle w:val="VARIABLE"/>
        </w:rPr>
        <w:t xml:space="preserve">StatusCode</w:t>
      </w:r>
      <w:r>
        <w:t xml:space="preserve"> means </w:t>
      </w:r>
      <w:r>
        <w:rPr>
          <w:b/>
        </w:rPr>
        <w:t xml:space="preserve">Good</w:t>
      </w:r>
      <w:r>
        <w:t xml:space="preserve">; a </w:t>
      </w:r>
      <w:r>
        <w:rPr>
          <w:rStyle w:val="VARIABLE"/>
        </w:rPr>
        <w:t xml:space="preserve">Bad</w:t>
      </w:r>
      <w:r>
        <w:t xml:space="preserve">/</w:t>
      </w:r>
      <w:r>
        <w:rPr>
          <w:rStyle w:val="VARIABLE"/>
        </w:rPr>
        <w:t xml:space="preserve">Uncertain</w:t>
      </w:r>
      <w:r>
        <w:t xml:space="preserve"> StatusCode triggers </w:t>
      </w:r>
      <w:r>
        <w:rPr>
          <w:rStyle w:val="VARIABLE"/>
        </w:rPr>
        <w:t xml:space="preserve">BadQualityAction</w:t>
      </w:r>
      <w:r>
        <w:t xml:space="preserve"> (default </w:t>
      </w:r>
      <w:r>
        <w:rPr>
          <w:rStyle w:val="VARIABLE"/>
        </w:rPr>
        <w:t xml:space="preserve">Skip</w:t>
      </w:r>
      <w:r>
        <w:t xml:space="preserve">). </w:t>
      </w:r>
      <w:r>
        <w:rPr>
          <w:rStyle w:val="VARIABLE"/>
        </w:rPr>
        <w:t xml:space="preserve">ClearOpinion</w:t>
      </w:r>
      <w:r>
        <w:t xml:space="preserve"> removes the authored USD opinion (revealing a weaker layer) — it does </w:t>
      </w:r>
      <w:r>
        <w:rPr>
          <w:b/>
        </w:rPr>
        <w:t xml:space="preserve">not</w:t>
      </w:r>
      <w:r>
        <w:t xml:space="preserve"> author a fabricated "bad" value.</w:t>
      </w:r>
    </w:p>
    <w:p>
      <w:pPr>
        <w:pStyle w:val="PARAGRAPH"/>
      </w:pPr>
      <w:r>
        <w:rPr>
          <w:b/>
        </w:rPr>
        <w:t xml:space="preserve">Timestamp.</w:t>
      </w:r>
      <w:r>
        <w:t xml:space="preserve"> OPC UA source/server timestamps are wall-clock; USD time codes are stage-timeline ordinates. They relate only through an explicit epoch and </w:t>
      </w:r>
      <w:r>
        <w:rPr>
          <w:rStyle w:val="VARIABLE"/>
        </w:rPr>
        <w:t xml:space="preserve">timeCodesPerSecond</w:t>
      </w:r>
      <w:r>
        <w:t xml:space="preserve"> when a recording profile is used; an </w:t>
      </w:r>
      <w:r>
        <w:rPr>
          <w:rStyle w:val="VARIABLE"/>
        </w:rPr>
        <w:t xml:space="preserve">OpenUsdValueChangeBindingType</w:t>
      </w:r>
      <w:r>
        <w:t xml:space="preserve"> authors the latest value as the attribute default, while an </w:t>
      </w:r>
      <w:r>
        <w:rPr>
          <w:rStyle w:val="VARIABLE"/>
        </w:rPr>
        <w:t xml:space="preserve">OpenUsdHistoryBindingType</w:t>
      </w:r>
      <w:r>
        <w:t xml:space="preserve"> authors time-sampled values (</w:t>
      </w:r>
      <w:r>
        <w:fldChar w:fldCharType="begin"/>
      </w:r>
      <w:r>
        <w:instrText xml:space="preserve"> REF _Clause_c7_6 \r \h </w:instrText>
      </w:r>
      <w:r>
        <w:fldChar w:fldCharType="separate"/>
      </w:r>
      <w:r>
        <w:rPr>
          <w:noProof/>
        </w:rPr>
        <w:t xml:space="preserve">7.6</w:t>
      </w:r>
      <w:r>
        <w:fldChar w:fldCharType="end"/>
      </w:r>
      <w:r>
        <w:t xml:space="preserve">). Absent timestamps mean </w:t>
      </w:r>
      <w:r>
        <w:rPr>
          <w:b/>
        </w:rPr>
        <w:t xml:space="preserve">unavailable</w:t>
      </w:r>
      <w:r>
        <w:t xml:space="preserve">, not "now".</w:t>
      </w:r>
    </w:p>
    <w:p>
      <w:pPr>
        <w:pStyle w:val="PARAGRAPH"/>
      </w:pPr>
      <w:r>
        <w:rPr>
          <w:b/>
        </w:rPr>
        <w:t xml:space="preserve">Persistence and update.</w:t>
      </w:r>
      <w:r>
        <w:t xml:space="preserve"> </w:t>
      </w:r>
      <w:r>
        <w:rPr>
          <w:rStyle w:val="VARIABLE"/>
        </w:rPr>
        <w:t xml:space="preserve">SamplingIntervalHint</w:t>
      </w:r>
      <w:r>
        <w:t xml:space="preserve"> and any deadband are </w:t>
      </w:r>
      <w:r>
        <w:rPr>
          <w:b/>
        </w:rPr>
        <w:t xml:space="preserve">hints</w:t>
      </w:r>
      <w:r>
        <w:t xml:space="preserve">; </w:t>
      </w:r>
      <w:r>
        <w:rPr>
          <w:rStyle w:val="VARIABLE"/>
        </w:rPr>
        <w:t xml:space="preserve">PublishingInterval</w:t>
      </w:r>
      <w:r>
        <w:t xml:space="preserve">, queue size, and the actual MonitoredItem parameters are per-client Subscription requests and are </w:t>
      </w:r>
      <w:r>
        <w:rPr>
          <w:b/>
        </w:rPr>
        <w:t xml:space="preserve">not</w:t>
      </w:r>
      <w:r>
        <w:t xml:space="preserve"> part of the binding descriptor. Overflow and sequence gaps are observable loss (partly recoverable via </w:t>
      </w:r>
      <w:r>
        <w:rPr>
          <w:rStyle w:val="VARIABLE"/>
        </w:rPr>
        <w:t xml:space="preserve">Republish</w:t>
      </w:r>
      <w:r>
        <w:t xml:space="preserve">) and are not license to invent continuity.</w:t>
      </w:r>
    </w:p>
    <w:p>
      <w:pPr>
        <w:pStyle w:val="Heading2"/>
      </w:pPr>
      <w:bookmarkStart w:id="500" w:name="_Clause_c7_5"/>
      <w:r>
        <w:t xml:space="preserve">OpenUsdValueChangeBindingType</w:t>
      </w:r>
      <w:bookmarkEnd w:id="500"/>
    </w:p>
    <w:p>
      <w:pPr>
        <w:pStyle w:val="PARAGRAPH"/>
      </w:pPr>
      <w:r>
        <w:t xml:space="preserve">The read-only default: a source </w:t>
      </w:r>
      <w:r>
        <w:rPr>
          <w:rStyle w:val="VARIABLE"/>
        </w:rPr>
        <w:t xml:space="preserve">Variable</w:t>
      </w:r>
      <w:r>
        <w:t xml:space="preserve"> </w:t>
      </w:r>
      <w:r>
        <w:rPr>
          <w:rStyle w:val="VARIABLE"/>
        </w:rPr>
        <w:t xml:space="preserve">Value</w:t>
      </w:r>
      <w:r>
        <w:t xml:space="preserve"> drives a USD attribute. Adds </w:t>
      </w:r>
      <w:r>
        <w:rPr>
          <w:b/>
        </w:rPr>
        <w:t xml:space="preserve">no</w:t>
      </w:r>
      <w:r>
        <w:t xml:space="preserve"> members beyond the base; it binds the source Value (</w:t>
      </w:r>
      <w:r>
        <w:rPr>
          <w:rStyle w:val="VARIABLE"/>
        </w:rPr>
        <w:t xml:space="preserve">AttributeId</w:t>
      </w:r>
      <w:r>
        <w:t xml:space="preserve"> 13).</w:t>
      </w:r>
    </w:p>
    <w:p>
      <w:pPr>
        <w:pStyle w:val="TABLE-title"/>
        <w:keepNext/>
      </w:pPr>
      <w:bookmarkStart w:id="501" w:name="_Tab_c7_5_tab"/>
      <w:r>
        <w:t xml:space="preserve">Table </w:t>
      </w:r>
      <w:r>
        <w:fldChar w:fldCharType="begin"/>
      </w:r>
      <w:r>
        <w:instrText xml:space="preserve"> SEQ Table \* ARABIC </w:instrText>
      </w:r>
      <w:r>
        <w:fldChar w:fldCharType="separate"/>
      </w:r>
      <w:r>
        <w:rPr>
          <w:noProof/>
        </w:rPr>
        <w:t xml:space="preserve">5</w:t>
      </w:r>
      <w:r>
        <w:fldChar w:fldCharType="end"/>
      </w:r>
      <w:r>
        <w:t xml:space="preserve"> – OpenUsdValueChangeBindingType definition</w:t>
      </w:r>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2:OpenUsdValueChangeBindingType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OpenUsdLiveBindingType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OU-Binding</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OU-Conversion-Scalar</w:t>
            </w:r>
          </w:p>
        </w:tc>
      </w:tr>
    </w:tbl>
    <w:p>
      <w:pPr>
        <w:pStyle w:val="spacer"/>
      </w:pPr>
    </w:p>
    <w:p>
      <w:pPr>
        <w:pStyle w:val="Heading2"/>
      </w:pPr>
      <w:bookmarkStart w:id="502" w:name="_Clause_c7_6"/>
      <w:r>
        <w:t xml:space="preserve">OpenUsdAlarmBindingType</w:t>
      </w:r>
      <w:bookmarkEnd w:id="502"/>
    </w:p>
    <w:p>
      <w:pPr>
        <w:pStyle w:val="PARAGRAPH"/>
      </w:pPr>
      <w:r>
        <w:t xml:space="preserve">The source resolves to an OPC UA Alarms &amp; Conditions instance (Part 9) or a plain Variable exposing the aspect value. Adds:</w:t>
      </w:r>
    </w:p>
    <w:p>
      <w:pPr>
        <w:pStyle w:val="PARAGRAPH"/>
      </w:pPr>
      <w:r>
        <w:rPr>
          <w:rStyle w:val="VARIABLE"/>
        </w:rPr>
        <w:t xml:space="preserve">AlarmAspect</w:t>
      </w:r>
      <w:r>
        <w:t xml:space="preserve"> selects the condition aspect that drives the target USD attribute — </w:t>
      </w:r>
      <w:r>
        <w:rPr>
          <w:rStyle w:val="VARIABLE"/>
        </w:rPr>
        <w:t xml:space="preserve">ActiveState</w:t>
      </w:r>
      <w:r>
        <w:t xml:space="preserve">/</w:t>
      </w:r>
      <w:r>
        <w:rPr>
          <w:rStyle w:val="VARIABLE"/>
        </w:rPr>
        <w:t xml:space="preserve">AckedState</w:t>
      </w:r>
      <w:r>
        <w:t xml:space="preserve">/</w:t>
      </w:r>
      <w:r>
        <w:rPr>
          <w:rStyle w:val="VARIABLE"/>
        </w:rPr>
        <w:t xml:space="preserve">EnabledState</w:t>
      </w:r>
      <w:r>
        <w:t xml:space="preserve"> (boolean → e.g. </w:t>
      </w:r>
      <w:r>
        <w:rPr>
          <w:rStyle w:val="VARIABLE"/>
        </w:rPr>
        <w:t xml:space="preserve">visibility</w:t>
      </w:r>
      <w:r>
        <w:t xml:space="preserve"> or an emissive on/off) or </w:t>
      </w:r>
      <w:r>
        <w:rPr>
          <w:rStyle w:val="VARIABLE"/>
        </w:rPr>
        <w:t xml:space="preserve">Severity</w:t>
      </w:r>
      <w:r>
        <w:t xml:space="preserve"> (numeric → e.g. a color ramp). Where a full A&amp;C condition is not available, the aspect </w:t>
      </w:r>
      <w:r>
        <w:rPr>
          <w:b/>
        </w:rPr>
        <w:t xml:space="preserve">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 xml:space="preserve">BadQualityAction</w:t>
      </w:r>
      <w:r>
        <w:t xml:space="preserve"> apply as for telemetry; a returned-to-normal condition clears or resets the target per </w:t>
      </w:r>
      <w:r>
        <w:rPr>
          <w:rStyle w:val="VARIABLE"/>
        </w:rPr>
        <w:t xml:space="preserve">BadQualityAction</w:t>
      </w:r>
      <w:r>
        <w:t xml:space="preserve">.</w:t>
      </w:r>
    </w:p>
    <w:p>
      <w:pPr>
        <w:pStyle w:val="TABLE-title"/>
        <w:keepNext/>
      </w:pPr>
      <w:bookmarkStart w:id="503" w:name="_Tab_c7_6_tab"/>
      <w:r>
        <w:t xml:space="preserve">Table </w:t>
      </w:r>
      <w:r>
        <w:fldChar w:fldCharType="begin"/>
      </w:r>
      <w:r>
        <w:instrText xml:space="preserve"> SEQ Table \* ARABIC </w:instrText>
      </w:r>
      <w:r>
        <w:fldChar w:fldCharType="separate"/>
      </w:r>
      <w:r>
        <w:rPr>
          <w:noProof/>
        </w:rPr>
        <w:t xml:space="preserve">6</w:t>
      </w:r>
      <w:r>
        <w:fldChar w:fldCharType="end"/>
      </w:r>
      <w:r>
        <w:t xml:space="preserve"> – OpenUsdAlarmBindingType definition</w:t>
      </w:r>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2:OpenUsdAlarmBindingType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OpenUsdLiveBindingType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AlarmAspect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OpenUsdAlarmAspectEnum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OU-Alarm</w:t>
            </w:r>
          </w:p>
        </w:tc>
      </w:tr>
    </w:tbl>
    <w:p>
      <w:pPr>
        <w:pStyle w:val="spacer"/>
      </w:pPr>
    </w:p>
    <w:p>
      <w:pPr>
        <w:pStyle w:val="Heading2"/>
      </w:pPr>
      <w:bookmarkStart w:id="504" w:name="_Clause_c7_7"/>
      <w:r>
        <w:t xml:space="preserve">OpenUsdHistoryBindingType</w:t>
      </w:r>
      <w:bookmarkEnd w:id="504"/>
    </w:p>
    <w:p>
      <w:pPr>
        <w:pStyle w:val="PARAGRAPH"/>
      </w:pPr>
      <w:r>
        <w:t xml:space="preserve">Reads history (Part 11 </w:t>
      </w:r>
      <w:r>
        <w:rPr>
          <w:rStyle w:val="VARIABLE"/>
        </w:rPr>
        <w:t xml:space="preserve">HistoryRead</w:t>
      </w:r>
      <w:r>
        <w:t xml:space="preserve">) for the source and authors it on the target. Adds:</w:t>
      </w:r>
    </w:p>
    <w:p>
      <w:pPr>
        <w:pStyle w:val="PARAGRAPH"/>
      </w:pPr>
      <w:r>
        <w:t xml:space="preserve">With </w:t>
      </w:r>
      <w:r>
        <w:rPr>
          <w:rStyle w:val="VARIABLE"/>
        </w:rPr>
        <w:t xml:space="preserve">TimeSampled = true</w:t>
      </w:r>
      <w:r>
        <w:t xml:space="preserve"> the connector reads history for the source and authors the values as </w:t>
      </w:r>
      <w:r>
        <w:rPr>
          <w:b/>
        </w:rPr>
        <w:t xml:space="preserve">USD time samples</w:t>
      </w:r>
      <w:r>
        <w:t xml:space="preserve"> on the target attribute, giving the stage a scrubbable timeline for playback and replay. The source </w:t>
      </w:r>
      <w:r>
        <w:rPr>
          <w:b/>
        </w:rPr>
        <w:t xml:space="preserve">shall</w:t>
      </w:r>
      <w:r>
        <w:t xml:space="preserve"> be historizing (its </w:t>
      </w:r>
      <w:r>
        <w:rPr>
          <w:rStyle w:val="VARIABLE"/>
        </w:rPr>
        <w:t xml:space="preserve">AccessLevel</w:t>
      </w:r>
      <w:r>
        <w:t xml:space="preserve">/</w:t>
      </w:r>
      <w:r>
        <w:rPr>
          <w:rStyle w:val="VARIABLE"/>
        </w:rPr>
        <w:t xml:space="preserve">UserAccessLevel</w:t>
      </w:r>
      <w:r>
        <w:t xml:space="preserve"> grants </w:t>
      </w:r>
      <w:r>
        <w:rPr>
          <w:rStyle w:val="VARIABLE"/>
        </w:rPr>
        <w:t xml:space="preserve">HistoryRead</w:t>
      </w:r>
      <w:r>
        <w:t xml:space="preserve"> and the server retains history); if it is not, the connector authors no samples and the binding is inert — a documented degrade, not an error. The epoch and </w:t>
      </w:r>
      <w:r>
        <w:rPr>
          <w:rStyle w:val="VARIABLE"/>
        </w:rPr>
        <w:t xml:space="preserve">timeCodesPerSecond</w:t>
      </w:r>
      <w:r>
        <w:t xml:space="preserve"> mapping is declared by a recording profile; absent that, samples are authored on a connector-defined uniform timeline and are informative.</w:t>
      </w:r>
    </w:p>
    <w:p>
      <w:pPr>
        <w:pStyle w:val="TABLE-title"/>
        <w:keepNext/>
      </w:pPr>
      <w:bookmarkStart w:id="505" w:name="_Tab_c7_7_tab"/>
      <w:r>
        <w:t xml:space="preserve">Table </w:t>
      </w:r>
      <w:r>
        <w:fldChar w:fldCharType="begin"/>
      </w:r>
      <w:r>
        <w:instrText xml:space="preserve"> SEQ Table \* ARABIC </w:instrText>
      </w:r>
      <w:r>
        <w:fldChar w:fldCharType="separate"/>
      </w:r>
      <w:r>
        <w:rPr>
          <w:noProof/>
        </w:rPr>
        <w:t xml:space="preserve">7</w:t>
      </w:r>
      <w:r>
        <w:fldChar w:fldCharType="end"/>
      </w:r>
      <w:r>
        <w:t xml:space="preserve"> – OpenUsdHistoryBindingType definition</w:t>
      </w:r>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2:OpenUsdHistoryBindingType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OpenUsdLiveBindingType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TimeSampled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OU-History</w:t>
            </w:r>
          </w:p>
        </w:tc>
      </w:tr>
    </w:tbl>
    <w:p>
      <w:pPr>
        <w:pStyle w:val="spacer"/>
      </w:pPr>
    </w:p>
    <w:p>
      <w:pPr>
        <w:pStyle w:val="Heading2"/>
      </w:pPr>
      <w:bookmarkStart w:id="506" w:name="_Clause_c7_8"/>
      <w:r>
        <w:t xml:space="preserve">OpenUsdCommandBindingType</w:t>
      </w:r>
      <w:bookmarkEnd w:id="506"/>
    </w:p>
    <w:p>
      <w:pPr>
        <w:pStyle w:val="PARAGRAPH"/>
      </w:pPr>
      <w:r>
        <w:t xml:space="preserve">The opt-in, authorized control direction (USD → UA). Adds:</w:t>
      </w:r>
    </w:p>
    <w:p>
      <w:pPr>
        <w:pStyle w:val="PARAGRAPH"/>
      </w:pPr>
      <w:r>
        <w:t xml:space="preserve">A binding of type </w:t>
      </w:r>
      <w:r>
        <w:rPr>
          <w:rStyle w:val="VARIABLE"/>
        </w:rPr>
        <w:t xml:space="preserve">OpenUsdCommandBindingType</w:t>
      </w:r>
      <w:r>
        <w:t xml:space="preserve"> maps a </w:t>
      </w:r>
      <w:r>
        <w:rPr>
          <w:b/>
        </w:rPr>
        <w:t xml:space="preserve">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 xml:space="preserve">opt-in</w:t>
      </w:r>
      <w:r>
        <w:t xml:space="preserve">: the </w:t>
      </w:r>
      <w:r>
        <w:rPr>
          <w:i/>
        </w:rPr>
        <w:t xml:space="preserve">default posture</w:t>
      </w:r>
      <w:r>
        <w:t xml:space="preserve"> of the model stays read-only because a Server declares a command binding only deliberately, and a conformant connector actuates one only when explicitly configured to </w:t>
      </w:r>
      <w:r>
        <w:rPr>
          <w:b/>
        </w:rPr>
        <w:t xml:space="preserve">and</w:t>
      </w:r>
      <w:r>
        <w:t xml:space="preserve"> only when the target's authorization permits it. A command binding is otherwise a fully-declared binding — </w:t>
      </w:r>
      <w:r>
        <w:rPr>
          <w:rStyle w:val="VARIABLE"/>
        </w:rPr>
        <w:t xml:space="preserve">Enabled = true</w:t>
      </w:r>
      <w:r>
        <w:t xml:space="preserve"> like any other, and </w:t>
      </w:r>
      <w:r>
        <w:rPr>
          <w:rStyle w:val="VARIABLE"/>
        </w:rPr>
        <w:t xml:space="preserve">Enabled = false</w:t>
      </w:r>
      <w:r>
        <w:t xml:space="preserve"> retains its normal meaning as an inherited-binding tombstone (it does </w:t>
      </w:r>
      <w:r>
        <w:rPr>
          <w:b/>
        </w:rPr>
        <w:t xml:space="preserve">not</w:t>
      </w:r>
      <w:r>
        <w:t xml:space="preserve"> encode the opt-in; see below).</w:t>
      </w:r>
    </w:p>
    <w:p>
      <w:pPr>
        <w:pStyle w:val="ListBullet"/>
        <w:numPr>
          <w:ilvl w:val="0"/>
          <w:numId w:val="21"/>
        </w:numPr>
      </w:pPr>
      <w:r>
        <w:rPr>
          <w:b/>
        </w:rPr>
        <w:t xml:space="preserve">Trigger.</w:t>
      </w:r>
      <w:r>
        <w:t xml:space="preserve"> </w:t>
      </w:r>
      <w:r>
        <w:rPr>
          <w:rStyle w:val="VARIABLE"/>
        </w:rPr>
        <w:t xml:space="preserve">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Pr>
          <w:noProof/>
        </w:rPr>
        <w:t xml:space="preserve">7.4.2</w:t>
      </w:r>
      <w:r>
        <w:fldChar w:fldCharType="end"/>
      </w:r>
      <w:r>
        <w:t xml:space="preserve"> (</w:t>
      </w:r>
      <w:r>
        <w:rPr>
          <w:rStyle w:val="VARIABLE"/>
        </w:rPr>
        <w:t xml:space="preserve">Offset</w:t>
      </w:r>
      <w:r>
        <w:t xml:space="preserve">/</w:t>
      </w:r>
      <w:r>
        <w:rPr>
          <w:rStyle w:val="VARIABLE"/>
        </w:rPr>
        <w:t xml:space="preserve">Scale</w:t>
      </w:r>
      <w:r>
        <w:t xml:space="preserve">, units).</w:t>
      </w:r>
    </w:p>
    <w:p>
      <w:pPr>
        <w:pStyle w:val="ListBullet"/>
        <w:numPr>
          <w:ilvl w:val="0"/>
          <w:numId w:val="21"/>
        </w:numPr>
      </w:pPr>
      <w:r>
        <w:rPr>
          <w:b/>
        </w:rPr>
        <w:t xml:space="preserve">Action.</w:t>
      </w:r>
      <w:r>
        <w:t xml:space="preserve"> If </w:t>
      </w:r>
      <w:r>
        <w:rPr>
          <w:rStyle w:val="VARIABLE"/>
        </w:rPr>
        <w:t xml:space="preserve">CommandMethodId</w:t>
      </w:r>
      <w:r>
        <w:t xml:space="preserve"> is present, the connector </w:t>
      </w:r>
      <w:r>
        <w:rPr>
          <w:rStyle w:val="VARIABLE"/>
        </w:rPr>
        <w:t xml:space="preserve">Call</w:t>
      </w:r>
      <w:r>
        <w:t xml:space="preserve">s that Method on </w:t>
      </w:r>
      <w:r>
        <w:rPr>
          <w:rStyle w:val="VARIABLE"/>
        </w:rPr>
        <w:t xml:space="preserve">CommandTargetNodeId</w:t>
      </w:r>
      <w:r>
        <w:t xml:space="preserve"> with the converted argument(s); otherwise it </w:t>
      </w:r>
      <w:r>
        <w:rPr>
          <w:rStyle w:val="VARIABLE"/>
        </w:rPr>
        <w:t xml:space="preserve">Write</w:t>
      </w:r>
      <w:r>
        <w:t xml:space="preserve">s the converted value to the Variable </w:t>
      </w:r>
      <w:r>
        <w:rPr>
          <w:rStyle w:val="VARIABLE"/>
        </w:rPr>
        <w:t xml:space="preserve">CommandTargetNodeId</w:t>
      </w:r>
      <w:r>
        <w:t xml:space="preserve">.</w:t>
      </w:r>
    </w:p>
    <w:p>
      <w:pPr>
        <w:pStyle w:val="ListBullet"/>
        <w:numPr>
          <w:ilvl w:val="0"/>
          <w:numId w:val="21"/>
        </w:numPr>
      </w:pPr>
      <w:r>
        <w:rPr>
          <w:b/>
        </w:rPr>
        <w:t xml:space="preserve">Role.</w:t>
      </w:r>
      <w:r>
        <w:t xml:space="preserve"> The bound signal </w:t>
      </w:r>
      <w:r>
        <w:rPr>
          <w:b/>
        </w:rPr>
        <w:t xml:space="preserve">shall</w:t>
      </w:r>
      <w:r>
        <w:t xml:space="preserve"> carry </w:t>
      </w:r>
      <w:r>
        <w:rPr>
          <w:rStyle w:val="VARIABLE"/>
        </w:rPr>
        <w:t xml:space="preserve">SignalRole = Controllable</w:t>
      </w:r>
      <w:r>
        <w:t xml:space="preserve">; a connector </w:t>
      </w:r>
      <w:r>
        <w:rPr>
          <w:b/>
        </w:rPr>
        <w:t xml:space="preserve">shall not</w:t>
      </w:r>
      <w:r>
        <w:t xml:space="preserve"> issue a command for an </w:t>
      </w:r>
      <w:r>
        <w:rPr>
          <w:rStyle w:val="VARIABLE"/>
        </w:rPr>
        <w:t xml:space="preserve">Observable</w:t>
      </w:r>
      <w:r>
        <w:t xml:space="preserve"> signal.</w:t>
      </w:r>
    </w:p>
    <w:p>
      <w:pPr>
        <w:pStyle w:val="ListBullet"/>
        <w:numPr>
          <w:ilvl w:val="0"/>
          <w:numId w:val="21"/>
        </w:numPr>
      </w:pPr>
      <w:r>
        <w:rPr>
          <w:b/>
        </w:rPr>
        <w:t xml:space="preserve">Authorization &amp; safety (normative).</w:t>
      </w:r>
      <w:r>
        <w:t xml:space="preserve"> The opt-in is enforced at two layers, </w:t>
      </w:r>
      <w:r>
        <w:rPr>
          <w:b/>
        </w:rPr>
        <w:t xml:space="preserve">not</w:t>
      </w:r>
      <w:r>
        <w:t xml:space="preserve"> through </w:t>
      </w:r>
      <w:r>
        <w:rPr>
          <w:rStyle w:val="VARIABLE"/>
        </w:rPr>
        <w:t xml:space="preserve">Enabled</w:t>
      </w:r>
      <w:r>
        <w:t xml:space="preserve"> (whose </w:t>
      </w:r>
      <w:r>
        <w:rPr>
          <w:rStyle w:val="VARIABLE"/>
        </w:rPr>
        <w:t xml:space="preserve">false</w:t>
      </w:r>
      <w:r>
        <w:t xml:space="preserve"> value is the inherited-binding tombstone and would merely suppress the binding): (1) a connector </w:t>
      </w:r>
      <w:r>
        <w:rPr>
          <w:b/>
        </w:rPr>
        <w:t xml:space="preserve">shall not</w:t>
      </w:r>
      <w:r>
        <w:t xml:space="preserve"> actuate any command binding unless it has been explicitly enabled to do so by its operator/configuration; and (2) the connector </w:t>
      </w:r>
      <w:r>
        <w:rPr>
          <w:b/>
        </w:rPr>
        <w:t xml:space="preserve">shall</w:t>
      </w:r>
      <w:r>
        <w:t xml:space="preserve"> hold the write/</w:t>
      </w:r>
      <w:r>
        <w:rPr>
          <w:rStyle w:val="VARIABLE"/>
        </w:rPr>
        <w:t xml:space="preserve">Call</w:t>
      </w:r>
      <w:r>
        <w:t xml:space="preserve"> authorization the target requires (</w:t>
      </w:r>
      <w:r>
        <w:rPr>
          <w:rStyle w:val="VARIABLE"/>
        </w:rPr>
        <w:t xml:space="preserve">RolePermissions</w:t>
      </w:r>
      <w:r>
        <w:t xml:space="preserve">), which a Server withholds by default. The connector </w:t>
      </w:r>
      <w:r>
        <w:rPr>
          <w:b/>
        </w:rPr>
        <w:t xml:space="preserve">shall</w:t>
      </w:r>
      <w:r>
        <w:t xml:space="preserve"> enforce a </w:t>
      </w:r>
      <w:r>
        <w:rPr>
          <w:b/>
        </w:rPr>
        <w:t xml:space="preserve">single-writer</w:t>
      </w:r>
      <w:r>
        <w:t xml:space="preserve"> discipline per target, </w:t>
      </w:r>
      <w:r>
        <w:rPr>
          <w:b/>
        </w:rPr>
        <w:t xml:space="preserve">shall</w:t>
      </w:r>
      <w:r>
        <w:t xml:space="preserve"> be </w:t>
      </w:r>
      <w:r>
        <w:rPr>
          <w:b/>
        </w:rPr>
        <w:t xml:space="preserve">fail-closed</w:t>
      </w:r>
      <w:r>
        <w:t xml:space="preserve"> (on any resolution/authorization/quality doubt it performs no action), and </w:t>
      </w:r>
      <w:r>
        <w:rPr>
          <w:b/>
        </w:rPr>
        <w:t xml:space="preserve">shall not</w:t>
      </w:r>
      <w:r>
        <w:t xml:space="preserve"> retry a command implicitly. The model carries no credentials.</w:t>
      </w:r>
    </w:p>
    <w:p>
      <w:pPr>
        <w:pStyle w:val="ListBullet"/>
        <w:numPr>
          <w:ilvl w:val="0"/>
          <w:numId w:val="21"/>
        </w:numPr>
      </w:pPr>
      <w:r>
        <w:rPr>
          <w:b/>
        </w:rPr>
        <w:t xml:space="preserve">Boundary.</w:t>
      </w:r>
      <w:r>
        <w:t xml:space="preserve"> This model does </w:t>
      </w:r>
      <w:r>
        <w:rPr>
          <w:b/>
        </w:rPr>
        <w:t xml:space="preserve">not</w:t>
      </w:r>
      <w:r>
        <w:t xml:space="preserve"> define the control logic, interlocks, or the operating envelope that governs whether a command is </w:t>
      </w:r>
      <w:r>
        <w:rPr>
          <w:i/>
        </w:rPr>
        <w:t xml:space="preserve">allowed</w:t>
      </w:r>
      <w:r>
        <w:t xml:space="preserve">; that is the responsibility of the server's control layer and of a declarative operating-envelope policy (e.g. SOP-as-Code) outside this specification. The command binding only declares </w:t>
      </w:r>
      <w:r>
        <w:rPr>
          <w:i/>
        </w:rPr>
        <w:t xml:space="preserve">how</w:t>
      </w:r>
      <w:r>
        <w:t xml:space="preserve"> a USD-side intent reaches an authorized OPC UA action.</w:t>
      </w:r>
    </w:p>
    <w:p>
      <w:pPr>
        <w:pStyle w:val="TABLE-title"/>
        <w:keepNext/>
      </w:pPr>
      <w:bookmarkStart w:id="507" w:name="_Tab_c7_8_tab"/>
      <w:r>
        <w:t xml:space="preserve">Table </w:t>
      </w:r>
      <w:r>
        <w:fldChar w:fldCharType="begin"/>
      </w:r>
      <w:r>
        <w:instrText xml:space="preserve"> SEQ Table \* ARABIC </w:instrText>
      </w:r>
      <w:r>
        <w:fldChar w:fldCharType="separate"/>
      </w:r>
      <w:r>
        <w:rPr>
          <w:noProof/>
        </w:rPr>
        <w:t xml:space="preserve">8</w:t>
      </w:r>
      <w:r>
        <w:fldChar w:fldCharType="end"/>
      </w:r>
      <w:r>
        <w:t xml:space="preserve"> – OpenUsdCommandBindingType definition</w:t>
      </w:r>
      <w:bookmarkEnd w:id="5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2:OpenUsdCommandBindingType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OpenUsdLiveBindingType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CommandTargetNodeId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CommandMethodId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CommandTriggerPropertyName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OU-Command</w:t>
            </w:r>
          </w:p>
        </w:tc>
      </w:tr>
    </w:tbl>
    <w:p>
      <w:pPr>
        <w:pStyle w:val="spacer"/>
      </w:pPr>
    </w:p>
    <w:p>
      <w:pPr>
        <w:pStyle w:val="Heading2"/>
      </w:pPr>
      <w:bookmarkStart w:id="508" w:name="_Clause_c7_9"/>
      <w:r>
        <w:t xml:space="preserve">IOpenUsdRepresentedType</w:t>
      </w:r>
      <w:bookmarkEnd w:id="508"/>
    </w:p>
    <w:p>
      <w:pPr>
        <w:pStyle w:val="PARAGRAPH"/>
      </w:pPr>
      <w:r>
        <w:t xml:space="preserve">An optional interface a domain ObjectType may apply (</w:t>
      </w:r>
      <w:r>
        <w:rPr>
          <w:rStyle w:val="VARIABLE"/>
        </w:rPr>
        <w:t xml:space="preserve">HasInterface</w:t>
      </w:r>
      <w:r>
        <w:t xml:space="preserve">) to advertise participation, with an </w:t>
      </w:r>
      <w:r>
        <w:rPr>
          <w:rStyle w:val="VARIABLE"/>
        </w:rPr>
        <w:t xml:space="preserve">&lt;OpenUsdRepresentation&gt;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Pr>
          <w:noProof/>
        </w:rPr>
        <w:t xml:space="preserve">6.2</w:t>
      </w:r>
      <w:r>
        <w:fldChar w:fldCharType="end"/>
      </w:r>
      <w:r>
        <w:t xml:space="preserve"> is authoritative).</w:t>
      </w:r>
    </w:p>
    <w:p>
      <w:pPr>
        <w:pStyle w:val="TABLE-title"/>
        <w:keepNext/>
      </w:pPr>
      <w:bookmarkStart w:id="509" w:name="_Tab_c7_9_tab"/>
      <w:r>
        <w:t xml:space="preserve">Table </w:t>
      </w:r>
      <w:r>
        <w:fldChar w:fldCharType="begin"/>
      </w:r>
      <w:r>
        <w:instrText xml:space="preserve"> SEQ Table \* ARABIC </w:instrText>
      </w:r>
      <w:r>
        <w:fldChar w:fldCharType="separate"/>
      </w:r>
      <w:r>
        <w:rPr>
          <w:noProof/>
        </w:rPr>
        <w:t xml:space="preserve">9</w:t>
      </w:r>
      <w:r>
        <w:fldChar w:fldCharType="end"/>
      </w:r>
      <w:r>
        <w:t xml:space="preserve"> – IOpenUsdRepresentedType definition</w:t>
      </w:r>
      <w:bookmarkEnd w:id="5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2:IOpenUsdRepresentedType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0:BaseInterfaceType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&lt;OpenUsdRepresentation&gt;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OpenUsdRepresentationType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OU-Representation</w:t>
            </w:r>
          </w:p>
        </w:tc>
      </w:tr>
    </w:tbl>
    <w:p>
      <w:pPr>
        <w:pStyle w:val="spacer"/>
      </w:pPr>
    </w:p>
    <w:p>
      <w:pPr>
        <w:pStyle w:val="Heading2"/>
      </w:pPr>
      <w:bookmarkStart w:id="510" w:name="_Clause_c7_10"/>
      <w:r>
        <w:t xml:space="preserve">OpenUsdComponentBindingType</w:t>
      </w:r>
      <w:bookmarkEnd w:id="510"/>
    </w:p>
    <w:p>
      <w:pPr>
        <w:pStyle w:val="PARAGRAPH"/>
      </w:pPr>
      <w:r>
        <w:t xml:space="preserve">An asset is usually </w:t>
      </w:r>
      <w:r>
        <w:rPr>
          <w:b/>
        </w:rPr>
        <w:t xml:space="preserve">composed of components</w:t>
      </w:r>
      <w:r>
        <w:t xml:space="preserve"> (a pump has an impeller and a bearing; a line aggregates pumps). A representation declares this with </w:t>
      </w:r>
      <w:r>
        <w:rPr>
          <w:rStyle w:val="VARIABLE"/>
        </w:rPr>
        <w:t xml:space="preserve">OpenUsdComponentBindingType</w:t>
      </w:r>
      <w:r>
        <w:t xml:space="preserve"> instances carried as </w:t>
      </w:r>
      <w:r>
        <w:rPr>
          <w:rStyle w:val="VARIABLE"/>
        </w:rPr>
        <w:t xml:space="preserve">&lt;Component&gt;</w:t>
      </w:r>
      <w:r>
        <w:t xml:space="preserve"> children of the representation (mirroring </w:t>
      </w:r>
      <w:r>
        <w:rPr>
          <w:rStyle w:val="VARIABLE"/>
        </w:rPr>
        <w:t xml:space="preserve">&lt;Binding&gt;</w:t>
      </w:r>
      <w:r>
        <w:t xml:space="preserve">), so a connector assembles the matching USD prim structure. Each component binding maps an OPC UA component relationship to a USD composition arc.</w:t>
      </w:r>
    </w:p>
    <w:p>
      <w:pPr>
        <w:pStyle w:val="PARAGRAPH"/>
      </w:pPr>
      <w:r>
        <w:rPr>
          <w:b/>
        </w:rPr>
        <w:t xml:space="preserve">Resolution.</w:t>
      </w:r>
    </w:p>
    <w:p>
      <w:pPr>
        <w:pStyle w:val="ListBullet"/>
        <w:numPr>
          <w:ilvl w:val="0"/>
          <w:numId w:val="21"/>
        </w:numPr>
      </w:pPr>
      <w:r>
        <w:rPr>
          <w:rStyle w:val="VARIABLE"/>
        </w:rPr>
        <w:t xml:space="preserve">One</w:t>
      </w:r>
      <w:r>
        <w:t xml:space="preserve"> — resolve </w:t>
      </w:r>
      <w:r>
        <w:rPr>
          <w:rStyle w:val="VARIABLE"/>
        </w:rPr>
        <w:t xml:space="preserve">ComponentBrowsePath</w:t>
      </w:r>
      <w:r>
        <w:t xml:space="preserve"> (constrained by </w:t>
      </w:r>
      <w:r>
        <w:rPr>
          <w:rStyle w:val="VARIABLE"/>
        </w:rPr>
        <w:t xml:space="preserve">ComponentReferenceType</w:t>
      </w:r>
      <w:r>
        <w:t xml:space="preserve"> / </w:t>
      </w:r>
      <w:r>
        <w:rPr>
          <w:rStyle w:val="VARIABLE"/>
        </w:rPr>
        <w:t xml:space="preserve">ComponentTypeDefinition</w:t>
      </w:r>
      <w:r>
        <w:t xml:space="preserve">) to exactly one component Object; zero → </w:t>
      </w:r>
      <w:r>
        <w:rPr>
          <w:i/>
        </w:rPr>
        <w:t xml:space="preserve">unresolved</w:t>
      </w:r>
      <w:r>
        <w:t xml:space="preserve">; more than one → </w:t>
      </w:r>
      <w:r>
        <w:rPr>
          <w:rStyle w:val="VARIABLE"/>
        </w:rPr>
        <w:t xml:space="preserve">Bad_TooManyMatches</w:t>
      </w:r>
      <w:r>
        <w:t xml:space="preserve">. When </w:t>
      </w:r>
      <w:r>
        <w:rPr>
          <w:rStyle w:val="VARIABLE"/>
        </w:rPr>
        <w:t xml:space="preserve">ComponentRepresentation</w:t>
      </w:r>
      <w:r>
        <w:t xml:space="preserve"> is present it names the component's representation directly, giving unambiguous 1:1 targeting without a browse.</w:t>
      </w:r>
    </w:p>
    <w:p>
      <w:pPr>
        <w:pStyle w:val="ListBullet"/>
        <w:numPr>
          <w:ilvl w:val="0"/>
          <w:numId w:val="21"/>
        </w:numPr>
      </w:pPr>
      <w:r>
        <w:rPr>
          <w:rStyle w:val="VARIABLE"/>
        </w:rPr>
        <w:t xml:space="preserve">Many</w:t>
      </w:r>
      <w:r>
        <w:t xml:space="preserve"> — enumerate every component Object reached by </w:t>
      </w:r>
      <w:r>
        <w:rPr>
          <w:rStyle w:val="VARIABLE"/>
        </w:rPr>
        <w:t xml:space="preserve">ComponentReferenceType</w:t>
      </w:r>
      <w:r>
        <w:t xml:space="preserve"> from the container that matches </w:t>
      </w:r>
      <w:r>
        <w:rPr>
          <w:rStyle w:val="VARIABLE"/>
        </w:rPr>
        <w:t xml:space="preserve">ComponentTypeDefinition</w:t>
      </w:r>
      <w:r>
        <w:t xml:space="preserve">; each yields one instance prim under the </w:t>
      </w:r>
      <w:r>
        <w:rPr>
          <w:rStyle w:val="VARIABLE"/>
        </w:rPr>
        <w:t xml:space="preserve">TargetPrimPath</w:t>
      </w:r>
      <w:r>
        <w:t xml:space="preserve"> scope, named per </w:t>
      </w:r>
      <w:r>
        <w:rPr>
          <w:rStyle w:val="VARIABLE"/>
        </w:rPr>
        <w:t xml:space="preserve">TargetPrimNameSource</w:t>
      </w:r>
      <w:r>
        <w:t xml:space="preserve">.</w:t>
      </w:r>
    </w:p>
    <w:p>
      <w:pPr>
        <w:pStyle w:val="PARAGRAPH"/>
      </w:pPr>
      <w:r>
        <w:t xml:space="preserve">A connector reaches the represented Object of a representation by following the </w:t>
      </w:r>
      <w:r>
        <w:rPr>
          <w:b/>
        </w:rPr>
        <w:t xml:space="preserve">aggregating</w:t>
      </w:r>
      <w:r>
        <w:t xml:space="preserve"> reference (</w:t>
      </w:r>
      <w:r>
        <w:rPr>
          <w:rStyle w:val="VARIABLE"/>
        </w:rPr>
        <w:t xml:space="preserve">HasComponent</w:t>
      </w:r>
      <w:r>
        <w:t xml:space="preserve">/</w:t>
      </w:r>
      <w:r>
        <w:rPr>
          <w:rStyle w:val="VARIABLE"/>
        </w:rPr>
        <w:t xml:space="preserve">HasAddIn</w:t>
      </w:r>
      <w:r>
        <w:t xml:space="preserve">), </w:t>
      </w:r>
      <w:r>
        <w:rPr>
          <w:b/>
        </w:rPr>
        <w:t xml:space="preserve">not</w:t>
      </w:r>
      <w:r>
        <w:t xml:space="preserve"> any hierarchical reference — otherwise the </w:t>
      </w:r>
      <w:r>
        <w:rPr>
          <w:rStyle w:val="VARIABLE"/>
        </w:rPr>
        <w:t xml:space="preserve">Organizes</w:t>
      </w:r>
      <w:r>
        <w:t xml:space="preserve"> link from the discovery registry (</w:t>
      </w:r>
      <w:r>
        <w:fldChar w:fldCharType="begin"/>
      </w:r>
      <w:r>
        <w:instrText xml:space="preserve"> REF _Clause_c6_2 \r \h </w:instrText>
      </w:r>
      <w:r>
        <w:fldChar w:fldCharType="separate"/>
      </w:r>
      <w:r>
        <w:rPr>
          <w:noProof/>
        </w:rPr>
        <w:t xml:space="preserve">6.2</w:t>
      </w:r>
      <w:r>
        <w:fldChar w:fldCharType="end"/>
      </w:r>
      <w:r>
        <w:t xml:space="preserve">) would be mistaken for the parent. A connector </w:t>
      </w:r>
      <w:r>
        <w:rPr>
          <w:b/>
        </w:rPr>
        <w:t xml:space="preserve">shall</w:t>
      </w:r>
      <w:r>
        <w:t xml:space="preserve"> also process </w:t>
      </w:r>
      <w:r>
        <w:rPr>
          <w:b/>
        </w:rPr>
        <w:t xml:space="preserve">every</w:t>
      </w:r>
      <w:r>
        <w:t xml:space="preserve"> representation in the registry, since composition spans the aggregating representation and each component's own representation.</w:t>
      </w:r>
    </w:p>
    <w:p>
      <w:pPr>
        <w:pStyle w:val="PARAGRAPH"/>
      </w:pPr>
      <w:r>
        <w:rPr>
          <w:b/>
        </w:rPr>
        <w:t xml:space="preserve">USD arc.</w:t>
      </w:r>
      <w:r>
        <w:t xml:space="preserve"> </w:t>
      </w:r>
      <w:r>
        <w:rPr>
          <w:rStyle w:val="VARIABLE"/>
        </w:rPr>
        <w:t xml:space="preserve">Child</w:t>
      </w:r>
      <w:r>
        <w:t xml:space="preserve"> authors an inline nested prim under the parent prim. </w:t>
      </w:r>
      <w:r>
        <w:rPr>
          <w:rStyle w:val="VARIABLE"/>
        </w:rPr>
        <w:t xml:space="preserve">Reference</w:t>
      </w:r>
      <w:r>
        <w:t xml:space="preserve"> / </w:t>
      </w:r>
      <w:r>
        <w:rPr>
          <w:rStyle w:val="VARIABLE"/>
        </w:rPr>
        <w:t xml:space="preserve">Payload</w:t>
      </w:r>
      <w:r>
        <w:t xml:space="preserve"> author a prim that </w:t>
      </w:r>
      <w:r>
        <w:rPr>
          <w:rStyle w:val="VARIABLE"/>
        </w:rPr>
        <w:t xml:space="preserve">references</w:t>
      </w:r>
      <w:r>
        <w:t xml:space="preserve"> / </w:t>
      </w:r>
      <w:r>
        <w:rPr>
          <w:rStyle w:val="VARIABLE"/>
        </w:rPr>
        <w:t xml:space="preserve">payload</w:t>
      </w:r>
      <w:r>
        <w:t xml:space="preserve">s </w:t>
      </w:r>
      <w:r>
        <w:rPr>
          <w:rStyle w:val="VARIABLE"/>
        </w:rPr>
        <w:t xml:space="preserve">ComponentAssetReference</w:t>
      </w:r>
      <w:r>
        <w:t xml:space="preserve"> (the component's own asset; </w:t>
      </w:r>
      <w:r>
        <w:rPr>
          <w:rStyle w:val="VARIABLE"/>
        </w:rPr>
        <w:t xml:space="preserve">Payload</w:t>
      </w:r>
      <w:r>
        <w:t xml:space="preserve"> defers loading). </w:t>
      </w:r>
      <w:r>
        <w:rPr>
          <w:rStyle w:val="VARIABLE"/>
        </w:rPr>
        <w:t xml:space="preserve">Instance</w:t>
      </w:r>
      <w:r>
        <w:t xml:space="preserve"> is a </w:t>
      </w:r>
      <w:r>
        <w:rPr>
          <w:rStyle w:val="VARIABLE"/>
        </w:rPr>
        <w:t xml:space="preserve">Reference</w:t>
      </w:r>
      <w:r>
        <w:t xml:space="preserve"> authored </w:t>
      </w:r>
      <w:r>
        <w:rPr>
          <w:rStyle w:val="VARIABLE"/>
        </w:rPr>
        <w:t xml:space="preserve">instanceable = true</w:t>
      </w:r>
      <w:r>
        <w:t xml:space="preserve">, for efficient identical 1..n aggregation. A component's own live bindings (from its </w:t>
      </w:r>
      <w:r>
        <w:rPr>
          <w:rStyle w:val="VARIABLE"/>
        </w:rPr>
        <w:t xml:space="preserve">ComponentRepresentation</w:t>
      </w:r>
      <w:r>
        <w:t xml:space="preserve">) then drive attributes within the composed sub-tree.</w:t>
      </w:r>
    </w:p>
    <w:p>
      <w:pPr>
        <w:pStyle w:val="PARAGRAPH"/>
      </w:pPr>
      <w:r>
        <w:rPr>
          <w:b/>
        </w:rPr>
        <w:t xml:space="preserve">Nesting.</w:t>
      </w:r>
      <w:r>
        <w:t xml:space="preserve"> Composition is recursive: a component's representation may itself carry </w:t>
      </w:r>
      <w:r>
        <w:rPr>
          <w:rStyle w:val="VARIABLE"/>
        </w:rPr>
        <w:t xml:space="preserve">&lt;Component&gt;</w:t>
      </w:r>
      <w:r>
        <w:t xml:space="preserve"> bindings; a connector assembles the whole tree depth-first. The effective identity of each node remains </w:t>
      </w:r>
      <w:r>
        <w:rPr>
          <w:rStyle w:val="VARIABLE"/>
        </w:rPr>
        <w:t xml:space="preserve">(represented Object, BindingDefinitionId)</w:t>
      </w:r>
      <w:r>
        <w:t xml:space="preserve">.</w:t>
      </w:r>
    </w:p>
    <w:p>
      <w:pPr>
        <w:pStyle w:val="TABLE-title"/>
        <w:keepNext/>
      </w:pPr>
      <w:bookmarkStart w:id="511" w:name="_Tab_c7_10_tab"/>
      <w:r>
        <w:t xml:space="preserve">Table </w:t>
      </w:r>
      <w:r>
        <w:fldChar w:fldCharType="begin"/>
      </w:r>
      <w:r>
        <w:instrText xml:space="preserve"> SEQ Table \* ARABIC </w:instrText>
      </w:r>
      <w:r>
        <w:fldChar w:fldCharType="separate"/>
      </w:r>
      <w:r>
        <w:rPr>
          <w:noProof/>
        </w:rPr>
        <w:t xml:space="preserve">10</w:t>
      </w:r>
      <w:r>
        <w:fldChar w:fldCharType="end"/>
      </w:r>
      <w:r>
        <w:t xml:space="preserve"> – OpenUsdComponentBindingType definition</w:t>
      </w:r>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2:OpenUsdComponentBindingType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BindingDefinitionId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0:Guid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Enabled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Cardinality</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OpenUsdCardinalityEnum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CompositionArc</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OpenUsdCompositionArcEnum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ComponentReferenceType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ComponentBrowsePath</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0:RelativePath</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ComponentTypeDefinition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TargetPrimPath</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TargetPrimNameSource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ComponentAssetReference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ComponentRepresentation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Dynamic</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ChangeEventSource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ComponentServerUri</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ComponentEndpointUrl</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State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OpenUsdBindingStateEnum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LastError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ComponentAssetNode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OU-Composition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OU-DynamicComposition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OU-CrossServerComposition</w:t>
            </w:r>
          </w:p>
        </w:tc>
      </w:tr>
    </w:tbl>
    <w:p>
      <w:pPr>
        <w:pStyle w:val="spacer"/>
      </w:pPr>
    </w:p>
    <w:p>
      <w:pPr>
        <w:pStyle w:val="Heading3"/>
      </w:pPr>
      <w:bookmarkStart w:id="512" w:name="_Clause_c7_10_1"/>
      <w:r>
        <w:t xml:space="preserve">Dynamic composition</w:t>
      </w:r>
      <w:bookmarkEnd w:id="512"/>
    </w:p>
    <w:p>
      <w:pPr>
        <w:pStyle w:val="PARAGRAPH"/>
      </w:pPr>
      <w:r>
        <w:t xml:space="preserve">When </w:t>
      </w:r>
      <w:r>
        <w:rPr>
          <w:rStyle w:val="VARIABLE"/>
        </w:rPr>
        <w:t xml:space="preserve">Dynamic = true</w:t>
      </w:r>
      <w:r>
        <w:t xml:space="preserve">, the component set may change while the server runs. A conforming server that supports dynamic composition </w:t>
      </w:r>
      <w:r>
        <w:rPr>
          <w:b/>
        </w:rPr>
        <w:t xml:space="preserve">shall</w:t>
      </w:r>
      <w:r>
        <w:t xml:space="preserve"> emit standard model-change events — </w:t>
      </w:r>
      <w:r>
        <w:rPr>
          <w:rStyle w:val="VARIABLE"/>
        </w:rPr>
        <w:t xml:space="preserve">GeneralModelChangeEventType</w:t>
      </w:r>
      <w:r>
        <w:t xml:space="preserve"> (Part 3) for node/reference additions and deletions, and </w:t>
      </w:r>
      <w:r>
        <w:rPr>
          <w:rStyle w:val="VARIABLE"/>
        </w:rPr>
        <w:t xml:space="preserve">SemanticChangeEventType</w:t>
      </w:r>
      <w:r>
        <w:t xml:space="preserve"> where a change alters meaning (e.g. a component's semantic id) — from </w:t>
      </w:r>
      <w:r>
        <w:rPr>
          <w:rStyle w:val="VARIABLE"/>
        </w:rPr>
        <w:t xml:space="preserve">ChangeEventSource</w:t>
      </w:r>
      <w:r>
        <w:t xml:space="preserve"> (or the Server Object). Both derive from </w:t>
      </w:r>
      <w:r>
        <w:rPr>
          <w:rStyle w:val="VARIABLE"/>
        </w:rPr>
        <w:t xml:space="preserve">BaseModelChangeEventType</w:t>
      </w:r>
      <w:r>
        <w:t xml:space="preserve">, so a connector can subscribe to both with a single </w:t>
      </w:r>
      <w:r>
        <w:rPr>
          <w:rStyle w:val="VARIABLE"/>
        </w:rPr>
        <w:t xml:space="preserve">OfType(BaseModelChangeEventType)</w:t>
      </w:r>
      <w:r>
        <w:t xml:space="preserve"> event filter.</w:t>
      </w:r>
    </w:p>
    <w:p>
      <w:pPr>
        <w:pStyle w:val="PARAGRAPH"/>
      </w:pPr>
      <w:r>
        <w:t xml:space="preserve">A connector supporting dynamic composition </w:t>
      </w:r>
      <w:r>
        <w:rPr>
          <w:b/>
        </w:rPr>
        <w:t xml:space="preserve">shall</w:t>
      </w:r>
      <w:r>
        <w:t xml:space="preserve"> subscribe to those events for </w:t>
      </w:r>
      <w:r>
        <w:rPr>
          <w:rStyle w:val="VARIABLE"/>
        </w:rPr>
        <w:t xml:space="preserve">ChangeEventSource</w:t>
      </w:r>
      <w:r>
        <w:t xml:space="preserve">; on a relevant change it </w:t>
      </w:r>
      <w:r>
        <w:rPr>
          <w:b/>
        </w:rPr>
        <w:t xml:space="preserve">shall</w:t>
      </w:r>
      <w:r>
        <w:t xml:space="preserve"> re-resolve the affected component binding (</w:t>
      </w:r>
      <w:r>
        <w:fldChar w:fldCharType="begin"/>
      </w:r>
      <w:r>
        <w:instrText xml:space="preserve"> REF _Clause_c7_10 \r \h </w:instrText>
      </w:r>
      <w:r>
        <w:fldChar w:fldCharType="separate"/>
      </w:r>
      <w:r>
        <w:rPr>
          <w:noProof/>
        </w:rPr>
        <w:t xml:space="preserve">7.10</w:t>
      </w:r>
      <w:r>
        <w:fldChar w:fldCharType="end"/>
      </w:r>
      <w:r>
        <w:t xml:space="preserve">) and reconcile the USD prims it authored:</w:t>
      </w:r>
    </w:p>
    <w:p>
      <w:pPr>
        <w:pStyle w:val="ListBullet"/>
        <w:numPr>
          <w:ilvl w:val="0"/>
          <w:numId w:val="21"/>
        </w:numPr>
      </w:pPr>
      <w:r>
        <w:t xml:space="preserve">a newly present component → author its instance prim (and recurse into its representation);</w:t>
      </w:r>
    </w:p>
    <w:p>
      <w:pPr>
        <w:pStyle w:val="ListBullet"/>
        <w:numPr>
          <w:ilvl w:val="0"/>
          <w:numId w:val="21"/>
        </w:numPr>
      </w:pPr>
      <w:r>
        <w:t xml:space="preserve">a removed component → author </w:t>
      </w:r>
      <w:r>
        <w:rPr>
          <w:rStyle w:val="VARIABLE"/>
        </w:rPr>
        <w:t xml:space="preserve">active = false</w:t>
      </w:r>
      <w:r>
        <w:t xml:space="preserve"> on its instance prim (or remove the connector's own opinion).</w:t>
      </w:r>
    </w:p>
    <w:p>
      <w:pPr>
        <w:pStyle w:val="PARAGRAPH"/>
      </w:pPr>
      <w:r>
        <w:t xml:space="preserve">The connector </w:t>
      </w:r>
      <w:r>
        <w:rPr>
          <w:b/>
        </w:rPr>
        <w:t xml:space="preserve">shall not</w:t>
      </w:r>
      <w:r>
        <w:t xml:space="preserve"> delete or deactivate prims it did not author, and </w:t>
      </w:r>
      <w:r>
        <w:rPr>
          <w:b/>
        </w:rPr>
        <w:t xml:space="preserve">shall not</w:t>
      </w:r>
      <w:r>
        <w:t xml:space="preserve"> mutate the base asset — reconciliation happens only in the connector's live override layer. Recomposition is </w:t>
      </w:r>
      <w:r>
        <w:rPr>
          <w:b/>
        </w:rPr>
        <w:t xml:space="preserve">fail-safe</w:t>
      </w:r>
      <w:r>
        <w:t xml:space="preserve">: on any doubt (event gap, ambiguous resolution) the connector re-runs full discovery rather than applying a partial delta.</w:t>
      </w:r>
    </w:p>
    <w:p>
      <w:pPr>
        <w:pStyle w:val="Heading3"/>
      </w:pPr>
      <w:bookmarkStart w:id="513" w:name="_Clause_c7_10_2"/>
      <w:r>
        <w:t xml:space="preserve">Cross-server composition</w:t>
      </w:r>
      <w:bookmarkEnd w:id="513"/>
    </w:p>
    <w:p>
      <w:pPr>
        <w:pStyle w:val="PARAGRAPH"/>
      </w:pPr>
      <w:r>
        <w:t xml:space="preserve">A component may live on a </w:t>
      </w:r>
      <w:r>
        <w:rPr>
          <w:b/>
        </w:rPr>
        <w:t xml:space="preserve">different OPC UA server</w:t>
      </w:r>
      <w:r>
        <w:t xml:space="preserve"> — e.g. an OEM sub-asset with its own server and USD asset. When </w:t>
      </w:r>
      <w:r>
        <w:rPr>
          <w:rStyle w:val="VARIABLE"/>
        </w:rPr>
        <w:t xml:space="preserve">ComponentServerUri</w:t>
      </w:r>
      <w:r>
        <w:t xml:space="preserve"> (and optionally </w:t>
      </w:r>
      <w:r>
        <w:rPr>
          <w:rStyle w:val="VARIABLE"/>
        </w:rPr>
        <w:t xml:space="preserve">ComponentEndpointUrl</w:t>
      </w:r>
      <w:r>
        <w:t xml:space="preserve">) is present, the component binding is resolved by </w:t>
      </w:r>
      <w:r>
        <w:rPr>
          <w:b/>
        </w:rPr>
        <w:t xml:space="preserve">federation</w:t>
      </w:r>
      <w:r>
        <w:t xml:space="preserve">: the connector opens a session to the remote server, discovers the remote </w:t>
      </w:r>
      <w:r>
        <w:rPr>
          <w:rStyle w:val="VARIABLE"/>
        </w:rPr>
        <w:t xml:space="preserve">OpenUsdRepresentation</w:t>
      </w:r>
      <w:r>
        <w:t xml:space="preserve"> for the component (via that server's </w:t>
      </w:r>
      <w:r>
        <w:rPr>
          <w:rStyle w:val="VARIABLE"/>
        </w:rPr>
        <w:t xml:space="preserve">Server/OpenUSD/Representations</w:t>
      </w:r>
      <w:r>
        <w:t xml:space="preserve">, matched by </w:t>
      </w:r>
      <w:r>
        <w:rPr>
          <w:rStyle w:val="VARIABLE"/>
        </w:rPr>
        <w:t xml:space="preserve">ComponentTypeDefinition</w:t>
      </w:r>
      <w:r>
        <w:t xml:space="preserve"> / semantic id), and composes the component's sub-asset prim (typically a </w:t>
      </w:r>
      <w:r>
        <w:rPr>
          <w:rStyle w:val="VARIABLE"/>
        </w:rPr>
        <w:t xml:space="preserve">Reference</w:t>
      </w:r>
      <w:r>
        <w:t xml:space="preserve"> / </w:t>
      </w:r>
      <w:r>
        <w:rPr>
          <w:rStyle w:val="VARIABLE"/>
        </w:rPr>
        <w:t xml:space="preserve">Payload</w:t>
      </w:r>
      <w:r>
        <w:t xml:space="preserve"> to the OEM asset) under the parent prim. The remote representation's own bindings are driven from the remote session.</w:t>
      </w:r>
    </w:p>
    <w:p>
      <w:pPr>
        <w:pStyle w:val="PARAGRAPH"/>
      </w:pPr>
      <w:r>
        <w:t xml:space="preserve">Security (</w:t>
      </w:r>
      <w:r>
        <w:fldChar w:fldCharType="begin"/>
      </w:r>
      <w:r>
        <w:instrText xml:space="preserve"> REF _Clause_c11 \r \h </w:instrText>
      </w:r>
      <w:r>
        <w:fldChar w:fldCharType="separate"/>
      </w:r>
      <w:r>
        <w:rPr>
          <w:noProof/>
        </w:rPr>
        <w:t xml:space="preserve">11</w:t>
      </w:r>
      <w:r>
        <w:fldChar w:fldCharType="end"/>
      </w:r>
      <w:r>
        <w:t xml:space="preserve">) applies per session: the connector </w:t>
      </w:r>
      <w:r>
        <w:rPr>
          <w:b/>
        </w:rPr>
        <w:t xml:space="preserve">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 xml:space="preserve">ChangeEventSource</w:t>
      </w:r>
      <w:r>
        <w:t xml:space="preserve">.</w:t>
      </w:r>
    </w:p>
    <w:p>
      <w:pPr>
        <w:pStyle w:val="Heading2"/>
      </w:pPr>
      <w:bookmarkStart w:id="514" w:name="_Clause_c7_11"/>
      <w:r>
        <w:t xml:space="preserve">OpenUsdArtifactRegistryType</w:t>
      </w:r>
      <w:bookmarkEnd w:id="514"/>
    </w:p>
    <w:p>
      <w:pPr>
        <w:pStyle w:val="PARAGRAPH"/>
      </w:pPr>
      <w:r>
        <w:t xml:space="preserve">A server may optionally serve the artist-authored USD content needed to open a stage directly through the OPC UA address space. The facility is an </w:t>
      </w:r>
      <w:r>
        <w:rPr>
          <w:b/>
        </w:rPr>
        <w:t xml:space="preserve">xRegistry artifact registry</w:t>
      </w:r>
      <w:r>
        <w:t xml:space="preserve">: the optional </w:t>
      </w:r>
      <w:r>
        <w:rPr>
          <w:rStyle w:val="VARIABLE"/>
        </w:rPr>
        <w:t xml:space="preserve">OpenUsdRootType.Artifacts</w:t>
      </w:r>
      <w:r>
        <w:t xml:space="preserve"> component, an </w:t>
      </w:r>
      <w:r>
        <w:rPr>
          <w:rStyle w:val="VARIABLE"/>
        </w:rPr>
        <w:t xml:space="preserve">OpenUsdArtifactRegistryType</w:t>
      </w:r>
      <w:r>
        <w:t xml:space="preserve"> (an xRegistry </w:t>
      </w:r>
      <w:r>
        <w:rPr>
          <w:rStyle w:val="VARIABLE"/>
        </w:rPr>
        <w:t xml:space="preserve">RegistryType</w:t>
      </w:r>
      <w:r>
        <w:t xml:space="preserve">, itself a </w:t>
      </w:r>
      <w:r>
        <w:rPr>
          <w:rStyle w:val="VARIABLE"/>
        </w:rPr>
        <w:t xml:space="preserve">FolderType</w:t>
      </w:r>
      <w:r>
        <w:t xml:space="preserve">). A server that does not expose </w:t>
      </w:r>
      <w:r>
        <w:rPr>
          <w:rStyle w:val="VARIABLE"/>
        </w:rPr>
        <w:t xml:space="preserve">Artifacts</w:t>
      </w:r>
      <w:r>
        <w:t xml:space="preserve"> remains conformant; connectors then resolve </w:t>
      </w:r>
      <w:r>
        <w:rPr>
          <w:rStyle w:val="VARIABLE"/>
        </w:rPr>
        <w:t xml:space="preserve">RootLayerIdentifier</w:t>
      </w:r>
      <w:r>
        <w:t xml:space="preserve"> and </w:t>
      </w:r>
      <w:r>
        <w:rPr>
          <w:rStyle w:val="VARIABLE"/>
        </w:rPr>
        <w:t xml:space="preserve">ComponentAssetReference</w:t>
      </w:r>
      <w:r>
        <w:t xml:space="preserve"> externally.</w:t>
      </w:r>
    </w:p>
    <w:p>
      <w:pPr>
        <w:pStyle w:val="PARAGRAPH"/>
      </w:pPr>
      <w:r>
        <w:t xml:space="preserve">Why a registry rather than a folder: a per-stage folder of files cannot express </w:t>
      </w:r>
      <w:r>
        <w:rPr>
          <w:b/>
        </w:rPr>
        <w:t xml:space="preserve">versions</w:t>
      </w:r>
      <w:r>
        <w:t xml:space="preserve">, </w:t>
      </w:r>
      <w:r>
        <w:rPr>
          <w:b/>
        </w:rPr>
        <w:t xml:space="preserve">change detection</w:t>
      </w:r>
      <w:r>
        <w:t xml:space="preserve">, </w:t>
      </w:r>
      <w:r>
        <w:rPr>
          <w:b/>
        </w:rPr>
        <w:t xml:space="preserve">labels</w:t>
      </w:r>
      <w:r>
        <w:t xml:space="preserve"> or </w:t>
      </w:r>
      <w:r>
        <w:rPr>
          <w:b/>
        </w:rPr>
        <w:t xml:space="preserve">federation</w:t>
      </w:r>
      <w:r>
        <w:t xml:space="preserve">,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Pr>
          <w:noProof/>
        </w:rPr>
        <w:t xml:space="preserve">7.11.3</w:t>
      </w:r>
      <w:r>
        <w:fldChar w:fldCharType="end"/>
      </w:r>
      <w:r>
        <w:t xml:space="preserve">) — makes the server usable as a USD resolver backend rather than only as a download endpoint.</w:t>
      </w:r>
    </w:p>
    <w:p>
      <w:pPr>
        <w:pStyle w:val="PARAGRAPH"/>
      </w:pPr>
      <w:r>
        <w:t xml:space="preserve">The same registry is defined independently of OPC UA, as an xRegistry </w:t>
      </w:r>
      <w:r>
        <w:rPr>
          <w:b/>
        </w:rPr>
        <w:t xml:space="preserve">domain specification</w:t>
      </w:r>
      <w:r>
        <w:t xml:space="preserve">, in </w:t>
      </w:r>
      <w:r>
        <w:rPr>
          <w:i/>
        </w:rPr>
        <w:t xml:space="preserve">OpenUSD Artifact Registry Service</w:t>
      </w:r>
      <w:r>
        <w:t xml:space="preserve"> (with its model in </w:t>
      </w:r>
      <w:r>
        <w:rPr>
          <w:rStyle w:val="VARIABLE"/>
        </w:rPr>
        <w:t xml:space="preserve">xRegistry-OpenUsd.model.json</w:t>
      </w:r>
      <w:r>
        <w:t xml:space="preserve">). That document is the wire-format peer of this clause: it uses the same collection names (</w:t>
      </w:r>
      <w:r>
        <w:rPr>
          <w:rStyle w:val="VARIABLE"/>
        </w:rPr>
        <w:t xml:space="preserve">usdassetgroups</w:t>
      </w:r>
      <w:r>
        <w:t xml:space="preserve">, </w:t>
      </w:r>
      <w:r>
        <w:rPr>
          <w:rStyle w:val="VARIABLE"/>
        </w:rPr>
        <w:t xml:space="preserve">usdschemaplugingroups</w:t>
      </w:r>
      <w:r>
        <w:t xml:space="preserve">, </w:t>
      </w:r>
      <w:r>
        <w:rPr>
          <w:rStyle w:val="VARIABLE"/>
        </w:rPr>
        <w:t xml:space="preserve">usdassets</w:t>
      </w:r>
      <w:r>
        <w:t xml:space="preserve">), the same domain attributes, and the identifier rules of </w:t>
      </w:r>
      <w:r>
        <w:fldChar w:fldCharType="begin"/>
      </w:r>
      <w:r>
        <w:instrText xml:space="preserve"> REF _Clause_c7_11_3 \r \h </w:instrText>
      </w:r>
      <w:r>
        <w:fldChar w:fldCharType="separate"/>
      </w:r>
      <w:r>
        <w:rPr>
          <w:noProof/>
        </w:rPr>
        <w:t xml:space="preserve">7.11.3</w:t>
      </w:r>
      <w:r>
        <w:fldChar w:fldCharType="end"/>
      </w:r>
      <w:r>
        <w:t xml:space="preserve">, so a client may move between an OPC UA server and a plain HTTP xRegistry server — or federate across both — without re-resolving anything. Implementing this clause does </w:t>
      </w:r>
      <w:r>
        <w:rPr>
          <w:b/>
        </w:rPr>
        <w:t xml:space="preserve">not</w:t>
      </w:r>
      <w:r>
        <w:t xml:space="preserve"> require implementing that one; they are two projections of one model.</w:t>
      </w:r>
    </w:p>
    <w:p>
      <w:pPr>
        <w:pStyle w:val="TABLE-title"/>
        <w:keepNext/>
      </w:pPr>
      <w:bookmarkStart w:id="515" w:name="_Tab_c7_11_tab"/>
      <w:r>
        <w:t xml:space="preserve">Table </w:t>
      </w:r>
      <w:r>
        <w:fldChar w:fldCharType="begin"/>
      </w:r>
      <w:r>
        <w:instrText xml:space="preserve"> SEQ Table \* ARABIC </w:instrText>
      </w:r>
      <w:r>
        <w:fldChar w:fldCharType="separate"/>
      </w:r>
      <w:r>
        <w:rPr>
          <w:noProof/>
        </w:rPr>
        <w:t xml:space="preserve">11</w:t>
      </w:r>
      <w:r>
        <w:fldChar w:fldCharType="end"/>
      </w:r>
      <w:r>
        <w:t xml:space="preserve"> – OpenUsdArtifactRegistryType definition</w:t>
      </w:r>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2:OpenUsdArtifactRegistryType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1:RegistryType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&lt;AssetContainer&gt;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OpenUsdAssetGroupType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&lt;SchemaPlugin&gt;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OpenUsdSchemaPluginGroupType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OU-ArtifactRegistry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OU-ArtifactFederation</w:t>
            </w:r>
          </w:p>
        </w:tc>
      </w:tr>
    </w:tbl>
    <w:p>
      <w:pPr>
        <w:pStyle w:val="spacer"/>
      </w:pPr>
    </w:p>
    <w:p>
      <w:pPr>
        <w:pStyle w:val="Heading3"/>
      </w:pPr>
      <w:bookmarkStart w:id="516" w:name="_Clause_c7_11_1"/>
      <w:r>
        <w:t xml:space="preserve">Structure</w:t>
      </w:r>
      <w:bookmarkEnd w:id="516"/>
    </w:p>
    <w:p>
      <w:pPr>
        <w:pStyle w:val="CODE"/>
      </w:pPr>
      <w:r>
        <w:t xml:space="preserve">Server/OpenUSD/Artifacts                 OpenUsdArtifactRegistryType : RegistryType</w:t>
      </w:r>
    </w:p>
    <w:p>
      <w:pPr>
        <w:pStyle w:val="CODE"/>
      </w:pPr>
      <w:r>
        <w:t xml:space="preserve">  ├─ &lt;assetContainer&gt;                    OpenUsdAssetGroupType : GroupType</w:t>
      </w:r>
    </w:p>
    <w:p>
      <w:pPr>
        <w:pStyle w:val="CODE"/>
      </w:pPr>
      <w:r>
        <w:t xml:space="preserve">  │     ├─ &lt;artifact&gt;                    OpenUsdAssetType : ResourceType : FileType</w:t>
      </w:r>
    </w:p>
    <w:p>
      <w:pPr>
        <w:pStyle w:val="CODE"/>
      </w:pPr>
      <w:r>
        <w:t xml:space="preserve">  │     └─ …</w:t>
      </w:r>
    </w:p>
    <w:p>
      <w:pPr>
        <w:pStyle w:val="CODE"/>
      </w:pPr>
      <w:r>
        <w:t xml:space="preserve">  └─ &lt;plugin&gt;                            OpenUsdSchemaPluginGroupType : GroupType</w:t>
      </w:r>
    </w:p>
    <w:p>
      <w:pPr>
        <w:pStyle w:val="CODE"/>
      </w:pPr>
      <w:r>
        <w:t xml:space="preserve">        ├─ plugInfo.json                 OpenUsdAssetType (AssetKind = SchemaPlugin)</w:t>
      </w:r>
    </w:p>
    <w:p>
      <w:pPr>
        <w:pStyle w:val="CODE"/>
      </w:pPr>
      <w:r>
        <w:t xml:space="preserve">        └─ generatedSchema.usda          OpenUsdAssetType (AssetKind = GeneratedSchema)</w:t>
      </w:r>
    </w:p>
    <w:p>
      <w:pPr>
        <w:pStyle w:val="PARAGRAPH"/>
      </w:pPr>
      <w:r>
        <w:t xml:space="preserve">A group is one </w:t>
      </w:r>
      <w:r>
        <w:rPr>
          <w:b/>
        </w:rPr>
        <w:t xml:space="preserve">asset container</w:t>
      </w:r>
      <w:r>
        <w:t xml:space="preserve"> — a named, versioned USD asset in the AOUSD sense: its root layer together with the sublayers, references, payloads, textures, MaterialX documents and volumes it needs. </w:t>
      </w:r>
      <w:r>
        <w:rPr>
          <w:rStyle w:val="VARIABLE"/>
        </w:rPr>
        <w:t xml:space="preserve">OpenUsdAssetGroupType.AssetContainerId</w:t>
      </w:r>
      <w:r>
        <w:t xml:space="preserve"> </w:t>
      </w:r>
      <w:r>
        <w:rPr>
          <w:b/>
        </w:rPr>
        <w:t xml:space="preserve">is the group key</w:t>
      </w:r>
      <w:r>
        <w:t xml:space="preserve">: its value is identical to the inherited </w:t>
      </w:r>
      <w:r>
        <w:rPr>
          <w:rStyle w:val="VARIABLE"/>
        </w:rPr>
        <w:t xml:space="preserve">GroupId</w:t>
      </w:r>
      <w:r>
        <w:t xml:space="preserve"> and to the group's BrowseName (for example </w:t>
      </w:r>
      <w:r>
        <w:rPr>
          <w:rStyle w:val="VARIABLE"/>
        </w:rPr>
        <w:t xml:space="preserve">pumps</w:t>
      </w:r>
      <w:r>
        <w:t xml:space="preserve">). It is </w:t>
      </w:r>
      <w:r>
        <w:rPr>
          <w:i/>
        </w:rPr>
        <w:t xml:space="preserve">not</w:t>
      </w:r>
      <w:r>
        <w:t xml:space="preserve"> an asset-identifier prefix — member </w:t>
      </w:r>
      <w:r>
        <w:rPr>
          <w:rStyle w:val="VARIABLE"/>
        </w:rPr>
        <w:t xml:space="preserve">AssetIdentifier</w:t>
      </w:r>
      <w:r>
        <w:t xml:space="preserve">s are already normalized relative to the container (</w:t>
      </w:r>
      <w:r>
        <w:fldChar w:fldCharType="begin"/>
      </w:r>
      <w:r>
        <w:instrText xml:space="preserve"> REF _Clause_c7_11_3 \r \h </w:instrText>
      </w:r>
      <w:r>
        <w:fldChar w:fldCharType="separate"/>
      </w:r>
      <w:r>
        <w:rPr>
          <w:noProof/>
        </w:rPr>
        <w:t xml:space="preserve">7.11.3</w:t>
      </w:r>
      <w:r>
        <w:fldChar w:fldCharType="end"/>
      </w:r>
      <w:r>
        <w:t xml:space="preserve">).</w:t>
      </w:r>
    </w:p>
    <w:p>
      <w:pPr>
        <w:pStyle w:val="PARAGRAPH"/>
      </w:pPr>
      <w:r>
        <w:t xml:space="preserve">Following xRegistry </w:t>
      </w:r>
      <w:r>
        <w:t xml:space="preserve">§6.1</w:t>
      </w:r>
      <w:r>
        <w:t xml:space="preserve">, the domain types constrain the inherited placeholders: </w:t>
      </w:r>
      <w:r>
        <w:rPr>
          <w:rStyle w:val="VARIABLE"/>
        </w:rPr>
        <w:t xml:space="preserve">OpenUsdArtifactRegistryType</w:t>
      </w:r>
      <w:r>
        <w:t xml:space="preserve"> narrows </w:t>
      </w:r>
      <w:r>
        <w:rPr>
          <w:rStyle w:val="VARIABLE"/>
        </w:rPr>
        <w:t xml:space="preserve">&lt;Group&gt;</w:t>
      </w:r>
      <w:r>
        <w:t xml:space="preserve"> to </w:t>
      </w:r>
      <w:r>
        <w:rPr>
          <w:rStyle w:val="VARIABLE"/>
        </w:rPr>
        <w:t xml:space="preserve">&lt;AssetContainer&gt;</w:t>
      </w:r>
      <w:r>
        <w:t xml:space="preserve"> (</w:t>
      </w:r>
      <w:r>
        <w:rPr>
          <w:rStyle w:val="VARIABLE"/>
        </w:rPr>
        <w:t xml:space="preserve">OpenUsdAssetGroupType</w:t>
      </w:r>
      <w:r>
        <w:t xml:space="preserve">) and </w:t>
      </w:r>
      <w:r>
        <w:rPr>
          <w:rStyle w:val="VARIABLE"/>
        </w:rPr>
        <w:t xml:space="preserve">&lt;SchemaPlugin&gt;</w:t>
      </w:r>
      <w:r>
        <w:t xml:space="preserve"> (</w:t>
      </w:r>
      <w:r>
        <w:rPr>
          <w:rStyle w:val="VARIABLE"/>
        </w:rPr>
        <w:t xml:space="preserve">OpenUsdSchemaPluginGroupType</w:t>
      </w:r>
      <w:r>
        <w:t xml:space="preserve">), and both group types narrow </w:t>
      </w:r>
      <w:r>
        <w:rPr>
          <w:rStyle w:val="VARIABLE"/>
        </w:rPr>
        <w:t xml:space="preserve">&lt;Resource&gt;</w:t>
      </w:r>
      <w:r>
        <w:t xml:space="preserve"> to </w:t>
      </w:r>
      <w:r>
        <w:rPr>
          <w:rStyle w:val="VARIABLE"/>
        </w:rPr>
        <w:t xml:space="preserve">OpenUsdAssetType</w:t>
      </w:r>
      <w:r>
        <w:t xml:space="preserve">. A registry therefore holds only these two kinds of group, and a client can tell them apart by TypeDefinition rather than by convention.</w:t>
      </w:r>
    </w:p>
    <w:p>
      <w:pPr>
        <w:pStyle w:val="PARAGRAPH"/>
      </w:pPr>
      <w:r>
        <w:rPr>
          <w:b/>
        </w:rPr>
        <w:t xml:space="preserve">Creating groups.</w:t>
      </w:r>
      <w:r>
        <w:t xml:space="preserve"> The registry inherits </w:t>
      </w:r>
      <w:r>
        <w:rPr>
          <w:rStyle w:val="VARIABLE"/>
        </w:rPr>
        <w:t xml:space="preserve">CreateGroup(GroupId)</w:t>
      </w:r>
      <w:r>
        <w:t xml:space="preserve"> and </w:t>
      </w:r>
      <w:r>
        <w:rPr>
          <w:rStyle w:val="VARIABLE"/>
        </w:rPr>
        <w:t xml:space="preserve">GetOrCreateGroup(GroupId)</w:t>
      </w:r>
      <w:r>
        <w:t xml:space="preserve">, which carry no type discriminator, so this specification fixes the mapping: </w:t>
      </w:r>
      <w:r>
        <w:rPr>
          <w:rStyle w:val="VARIABLE"/>
        </w:rPr>
        <w:t xml:space="preserve">GroupId</w:t>
      </w:r>
      <w:r>
        <w:t xml:space="preserve"> </w:t>
      </w:r>
      <w:r>
        <w:rPr>
          <w:b/>
        </w:rPr>
        <w:t xml:space="preserve">shall</w:t>
      </w:r>
      <w:r>
        <w:t xml:space="preserve"> be the </w:t>
      </w:r>
      <w:r>
        <w:rPr>
          <w:rStyle w:val="VARIABLE"/>
        </w:rPr>
        <w:t xml:space="preserve">AssetContainerId</w:t>
      </w:r>
      <w:r>
        <w:t xml:space="preserve"> of an </w:t>
      </w:r>
      <w:r>
        <w:rPr>
          <w:rStyle w:val="VARIABLE"/>
        </w:rPr>
        <w:t xml:space="preserve">OpenUsdAssetGroupType</w:t>
      </w:r>
      <w:r>
        <w:t xml:space="preserve"> group, or the </w:t>
      </w:r>
      <w:r>
        <w:rPr>
          <w:rStyle w:val="VARIABLE"/>
        </w:rPr>
        <w:t xml:space="preserve">PluginName</w:t>
      </w:r>
      <w:r>
        <w:t xml:space="preserve"> of an </w:t>
      </w:r>
      <w:r>
        <w:rPr>
          <w:rStyle w:val="VARIABLE"/>
        </w:rPr>
        <w:t xml:space="preserve">OpenUsdSchemaPluginGroupType</w:t>
      </w:r>
      <w:r>
        <w:t xml:space="preserve"> group, and the two namespaces </w:t>
      </w:r>
      <w:r>
        <w:rPr>
          <w:b/>
        </w:rPr>
        <w:t xml:space="preserve">shall not</w:t>
      </w:r>
      <w:r>
        <w:t xml:space="preserve"> collide within one registry. A server </w:t>
      </w:r>
      <w:r>
        <w:rPr>
          <w:b/>
        </w:rPr>
        <w:t xml:space="preserve">shall</w:t>
      </w:r>
      <w:r>
        <w:t xml:space="preserve"> reject a </w:t>
      </w:r>
      <w:r>
        <w:rPr>
          <w:rStyle w:val="VARIABLE"/>
        </w:rPr>
        <w:t xml:space="preserve">CreateGroup</w:t>
      </w:r>
      <w:r>
        <w:t xml:space="preserve"> whose </w:t>
      </w:r>
      <w:r>
        <w:rPr>
          <w:rStyle w:val="VARIABLE"/>
        </w:rPr>
        <w:t xml:space="preserve">GroupId</w:t>
      </w:r>
      <w:r>
        <w:t xml:space="preserve"> is already in use by a group of the other type. Where a server needs to create a group of a specific type unambiguously it </w:t>
      </w:r>
      <w:r>
        <w:rPr>
          <w:b/>
        </w:rPr>
        <w:t xml:space="preserve">should</w:t>
      </w:r>
      <w:r>
        <w:t xml:space="preserve"> expose the base Methods on the two group folders rather than overloading </w:t>
      </w:r>
      <w:r>
        <w:rPr>
          <w:rStyle w:val="VARIABLE"/>
        </w:rPr>
        <w:t xml:space="preserve">GroupId</w:t>
      </w:r>
      <w:r>
        <w:t xml:space="preserve">.</w:t>
      </w:r>
    </w:p>
    <w:p>
      <w:pPr>
        <w:pStyle w:val="PARAGRAPH"/>
      </w:pPr>
      <w:r>
        <w:rPr>
          <w:b/>
        </w:rPr>
        <w:t xml:space="preserve">Bootstrap.</w:t>
      </w:r>
      <w:r>
        <w:t xml:space="preserve"> A server that auto-populates the registry from its own configuration (xRegistry </w:t>
      </w:r>
      <w:r>
        <w:t xml:space="preserve">§6.5</w:t>
      </w:r>
      <w:r>
        <w:t xml:space="preserve">) derives the group key from the served asset container — for a stage, the container holding its root layer — and derives artifact metadata from the served bytes: </w:t>
      </w:r>
      <w:r>
        <w:rPr>
          <w:rStyle w:val="VARIABLE"/>
        </w:rPr>
        <w:t xml:space="preserve">AssetIdentifier</w:t>
      </w:r>
      <w:r>
        <w:t xml:space="preserve"> from the authored identifier, </w:t>
      </w:r>
      <w:r>
        <w:rPr>
          <w:rStyle w:val="VARIABLE"/>
        </w:rPr>
        <w:t xml:space="preserve">AssetKind</w:t>
      </w:r>
      <w:r>
        <w:t xml:space="preserve"> from the artifact's role in the closure (exactly one </w:t>
      </w:r>
      <w:r>
        <w:rPr>
          <w:rStyle w:val="VARIABLE"/>
        </w:rPr>
        <w:t xml:space="preserve">RootLayer</w:t>
      </w:r>
      <w:r>
        <w:t xml:space="preserve">, the rest by the arc that reaches them), </w:t>
      </w:r>
      <w:r>
        <w:rPr>
          <w:rStyle w:val="VARIABLE"/>
        </w:rPr>
        <w:t xml:space="preserve">ContentType</w:t>
      </w:r>
      <w:r>
        <w:t xml:space="preserve"> from the file type, </w:t>
      </w:r>
      <w:r>
        <w:rPr>
          <w:rStyle w:val="VARIABLE"/>
        </w:rPr>
        <w:t xml:space="preserve">Digest</w:t>
      </w:r>
      <w:r>
        <w:t xml:space="preserve">/</w:t>
      </w:r>
      <w:r>
        <w:rPr>
          <w:rStyle w:val="VARIABLE"/>
        </w:rPr>
        <w:t xml:space="preserve">DigestAlgorithm</w:t>
      </w:r>
      <w:r>
        <w:t xml:space="preserve"> by hashing the exact bytes it will stream, and </w:t>
      </w:r>
      <w:r>
        <w:rPr>
          <w:rStyle w:val="VARIABLE"/>
        </w:rPr>
        <w:t xml:space="preserve">DependsOn</w:t>
      </w:r>
      <w:r>
        <w:t xml:space="preserve"> from the references the artifact authors. A server </w:t>
      </w:r>
      <w:r>
        <w:rPr>
          <w:b/>
        </w:rPr>
        <w:t xml:space="preserve">shall not</w:t>
      </w:r>
      <w:r>
        <w:t xml:space="preserve"> invent an </w:t>
      </w:r>
      <w:r>
        <w:rPr>
          <w:rStyle w:val="VARIABLE"/>
        </w:rPr>
        <w:t xml:space="preserve">AssetIdentifier</w:t>
      </w:r>
      <w:r>
        <w:t xml:space="preserve"> that no layer authors.</w:t>
      </w:r>
    </w:p>
    <w:p>
      <w:pPr>
        <w:pStyle w:val="PARAGRAPH"/>
      </w:pPr>
      <w:r>
        <w:rPr>
          <w:rStyle w:val="VARIABLE"/>
        </w:rPr>
        <w:t xml:space="preserve">OpenUsdAssetType</w:t>
      </w:r>
      <w:r>
        <w:t xml:space="preserve"> </w:t>
      </w:r>
      <w:r>
        <w:rPr>
          <w:b/>
        </w:rPr>
        <w:t xml:space="preserve">subtypes the xRegistry </w:t>
      </w:r>
      <w:r>
        <w:rPr>
          <w:rStyle w:val="VARIABLE"/>
        </w:rPr>
        <w:t xml:space="preserve">ResourceType</w:t>
      </w:r>
      <w:r>
        <w:t xml:space="preserve">, which is itself an OPC UA Part 5 </w:t>
      </w:r>
      <w:r>
        <w:rPr>
          <w:rStyle w:val="VARIABLE"/>
        </w:rPr>
        <w:t xml:space="preserve">FileType</w:t>
      </w:r>
      <w:r>
        <w:t xml:space="preserve">. The artifact node therefore </w:t>
      </w:r>
      <w:r>
        <w:rPr>
          <w:b/>
        </w:rPr>
        <w:t xml:space="preserve">is</w:t>
      </w:r>
      <w:r>
        <w:t xml:space="preserve"> the file: its bytes are read with the node's own </w:t>
      </w:r>
      <w:r>
        <w:rPr>
          <w:rStyle w:val="VARIABLE"/>
        </w:rPr>
        <w:t xml:space="preserve">Open</w:t>
      </w:r>
      <w:r>
        <w:t xml:space="preserve"> / </w:t>
      </w:r>
      <w:r>
        <w:rPr>
          <w:rStyle w:val="VARIABLE"/>
        </w:rPr>
        <w:t xml:space="preserve">Read</w:t>
      </w:r>
      <w:r>
        <w:t xml:space="preserve"> / </w:t>
      </w:r>
      <w:r>
        <w:rPr>
          <w:rStyle w:val="VARIABLE"/>
        </w:rPr>
        <w:t xml:space="preserve">Close</w:t>
      </w:r>
      <w:r>
        <w:t xml:space="preserve">, and </w:t>
      </w:r>
      <w:r>
        <w:rPr>
          <w:rStyle w:val="VARIABLE"/>
        </w:rPr>
        <w:t xml:space="preserve">Size</w:t>
      </w:r>
      <w:r>
        <w:t xml:space="preserve">, </w:t>
      </w:r>
      <w:r>
        <w:rPr>
          <w:rStyle w:val="VARIABLE"/>
        </w:rPr>
        <w:t xml:space="preserve">GetPosition</w:t>
      </w:r>
      <w:r>
        <w:t xml:space="preserve"> and </w:t>
      </w:r>
      <w:r>
        <w:rPr>
          <w:rStyle w:val="VARIABLE"/>
        </w:rPr>
        <w:t xml:space="preserve">SetPosition</w:t>
      </w:r>
      <w:r>
        <w:t xml:space="preserve"> are available for progress, range retry and resume. All served streams are read-only. Beyond the members inherited from </w:t>
      </w:r>
      <w:r>
        <w:rPr>
          <w:rStyle w:val="VARIABLE"/>
        </w:rPr>
        <w:t xml:space="preserve">ResourceType</w:t>
      </w:r>
      <w:r>
        <w:t xml:space="preserve"> (</w:t>
      </w:r>
      <w:r>
        <w:rPr>
          <w:rStyle w:val="VARIABLE"/>
        </w:rPr>
        <w:t xml:space="preserve">Xid</w:t>
      </w:r>
      <w:r>
        <w:t xml:space="preserve">, </w:t>
      </w:r>
      <w:r>
        <w:rPr>
          <w:rStyle w:val="VARIABLE"/>
        </w:rPr>
        <w:t xml:space="preserve">Epoch</w:t>
      </w:r>
      <w:r>
        <w:t xml:space="preserve">, </w:t>
      </w:r>
      <w:r>
        <w:rPr>
          <w:rStyle w:val="VARIABLE"/>
        </w:rPr>
        <w:t xml:space="preserve">ResourceId</w:t>
      </w:r>
      <w:r>
        <w:t xml:space="preserve">, </w:t>
      </w:r>
      <w:r>
        <w:rPr>
          <w:rStyle w:val="VARIABLE"/>
        </w:rPr>
        <w:t xml:space="preserve">VersionId</w:t>
      </w:r>
      <w:r>
        <w:t xml:space="preserve">, </w:t>
      </w:r>
      <w:r>
        <w:rPr>
          <w:rStyle w:val="VARIABLE"/>
        </w:rPr>
        <w:t xml:space="preserve">Format</w:t>
      </w:r>
      <w:r>
        <w:t xml:space="preserve">, </w:t>
      </w:r>
      <w:r>
        <w:rPr>
          <w:rStyle w:val="VARIABLE"/>
        </w:rPr>
        <w:t xml:space="preserve">ContentType</w:t>
      </w:r>
      <w:r>
        <w:t xml:space="preserve">, </w:t>
      </w:r>
      <w:r>
        <w:rPr>
          <w:rStyle w:val="VARIABLE"/>
        </w:rPr>
        <w:t xml:space="preserve">Labels</w:t>
      </w:r>
      <w:r>
        <w:t xml:space="preserve">, </w:t>
      </w:r>
      <w:r>
        <w:rPr>
          <w:rStyle w:val="VARIABLE"/>
        </w:rPr>
        <w:t xml:space="preserve">ExternalReference</w:t>
      </w:r>
      <w:r>
        <w:t xml:space="preserve">, </w:t>
      </w:r>
      <w:r>
        <w:rPr>
          <w:rStyle w:val="VARIABLE"/>
        </w:rPr>
        <w:t xml:space="preserve">ResourceUrl</w:t>
      </w:r>
      <w:r>
        <w:t xml:space="preserve">, the </w:t>
      </w:r>
      <w:r>
        <w:rPr>
          <w:rStyle w:val="VARIABLE"/>
        </w:rPr>
        <w:t xml:space="preserve">FileType</w:t>
      </w:r>
      <w:r>
        <w:t xml:space="preserve"> Methods) it adds:</w:t>
      </w:r>
    </w:p>
    <w:p>
      <w:pPr>
        <w:pStyle w:val="TABLE-title"/>
        <w:keepNext/>
      </w:pPr>
      <w:bookmarkStart w:id="517" w:name="_Tab_structure_tab1"/>
      <w:r>
        <w:t xml:space="preserve">Table </w:t>
      </w:r>
      <w:r>
        <w:fldChar w:fldCharType="begin"/>
      </w:r>
      <w:r>
        <w:instrText xml:space="preserve"> SEQ Table \* ARABIC </w:instrText>
      </w:r>
      <w:r>
        <w:fldChar w:fldCharType="separate"/>
      </w:r>
      <w:r>
        <w:rPr>
          <w:noProof/>
        </w:rPr>
        <w:t xml:space="preserve">12</w:t>
      </w:r>
      <w:r>
        <w:fldChar w:fldCharType="end"/>
      </w:r>
      <w:r>
        <w:t xml:space="preserve"> – Structure</w:t>
      </w:r>
      <w:bookmarkEnd w:id="5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Member</w:t>
            </w:r>
          </w:p>
        </w:tc>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DataType / Type</w:t>
            </w:r>
          </w:p>
        </w:tc>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Rule</w:t>
            </w:r>
          </w:p>
        </w:tc>
        <w:tc>
          <w:tcPr>
            <w:tcW w:w="2233" w:type="dxa"/>
            <w:tcBorders>
              <w:top w:val="single" w:sz="4" w:space="0" w:color="auto"/>
              <w:left w:val="single" w:sz="4" w:space="0" w:color="auto"/>
              <w:bottom w:val="double" w:sz="4" w:space="0" w:color="auto"/>
              <w:right w:val="single" w:sz="4" w:space="0" w:color="auto"/>
            </w:tcBorders>
          </w:tcPr>
          <w:p>
            <w:pPr>
              <w:pStyle w:val="TableText"/>
            </w:pPr>
            <w:r>
              <w:t xml:space="preserve">Meaning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AssetIdentifier</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M</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The authored USD asset identifier, normalized relative to its asset container — the string used in USD </w:t>
            </w:r>
            <w:r>
              <w:rPr>
                <w:rStyle w:val="VARIABLE"/>
              </w:rPr>
              <w:t xml:space="preserve">@...@</w:t>
            </w:r>
            <w:r>
              <w:t xml:space="preserve"> references, and the relative path a connector caches the artifact at. The xRegistry </w:t>
            </w:r>
            <w:r>
              <w:rPr>
                <w:rStyle w:val="VARIABLE"/>
              </w:rPr>
              <w:t xml:space="preserve">ResourceId</w:t>
            </w:r>
            <w:r>
              <w:t xml:space="preserve"> is its URL-safe encoding, so the two are inter-derivable (</w:t>
            </w:r>
            <w:r>
              <w:t xml:space="preserve">§7.11.3</w:t>
            </w:r>
            <w:r>
              <w:t xml:space="preserve">).</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AssetKind</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OpenUsdAssetKindEnum</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M</w:t>
            </w:r>
          </w:p>
        </w:tc>
        <w:tc>
          <w:tcPr>
            <w:tcW w:w="223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RootLayer</w:t>
            </w:r>
            <w:r>
              <w:t xml:space="preserve">, </w:t>
            </w:r>
            <w:r>
              <w:rPr>
                <w:rStyle w:val="VARIABLE"/>
              </w:rPr>
              <w:t xml:space="preserve">SubLayer</w:t>
            </w:r>
            <w:r>
              <w:t xml:space="preserve">, </w:t>
            </w:r>
            <w:r>
              <w:rPr>
                <w:rStyle w:val="VARIABLE"/>
              </w:rPr>
              <w:t xml:space="preserve">Reference</w:t>
            </w:r>
            <w:r>
              <w:t xml:space="preserve">, </w:t>
            </w:r>
            <w:r>
              <w:rPr>
                <w:rStyle w:val="VARIABLE"/>
              </w:rPr>
              <w:t xml:space="preserve">Payload</w:t>
            </w:r>
            <w:r>
              <w:t xml:space="preserve">, </w:t>
            </w:r>
            <w:r>
              <w:rPr>
                <w:rStyle w:val="VARIABLE"/>
              </w:rPr>
              <w:t xml:space="preserve">Texture</w:t>
            </w:r>
            <w:r>
              <w:t xml:space="preserve">, </w:t>
            </w:r>
            <w:r>
              <w:rPr>
                <w:rStyle w:val="VARIABLE"/>
              </w:rPr>
              <w:t xml:space="preserve">Package</w:t>
            </w:r>
            <w:r>
              <w:t xml:space="preserve">, </w:t>
            </w:r>
            <w:r>
              <w:rPr>
                <w:rStyle w:val="VARIABLE"/>
              </w:rPr>
              <w:t xml:space="preserve">MaterialX</w:t>
            </w:r>
            <w:r>
              <w:t xml:space="preserve">, </w:t>
            </w:r>
            <w:r>
              <w:rPr>
                <w:rStyle w:val="VARIABLE"/>
              </w:rPr>
              <w:t xml:space="preserve">Volume</w:t>
            </w:r>
            <w:r>
              <w:t xml:space="preserve">, </w:t>
            </w:r>
            <w:r>
              <w:rPr>
                <w:rStyle w:val="VARIABLE"/>
              </w:rPr>
              <w:t xml:space="preserve">SchemaPlugin</w:t>
            </w:r>
            <w:r>
              <w:t xml:space="preserve">, </w:t>
            </w:r>
            <w:r>
              <w:rPr>
                <w:rStyle w:val="VARIABLE"/>
              </w:rPr>
              <w:t xml:space="preserve">GeneratedSchema</w:t>
            </w:r>
            <w:r>
              <w:t xml:space="preserve">, or </w:t>
            </w:r>
            <w:r>
              <w:rPr>
                <w:rStyle w:val="VARIABLE"/>
              </w:rPr>
              <w:t xml:space="preserve">Manifest</w:t>
            </w:r>
            <w:r>
              <w:t xml:space="preserve">.</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MediaType</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The USD media type of the artifact, e.g. </w:t>
            </w:r>
            <w:r>
              <w:rPr>
                <w:rStyle w:val="VARIABLE"/>
              </w:rPr>
              <w:t xml:space="preserve">model/vnd.usda</w:t>
            </w:r>
            <w:r>
              <w:t xml:space="preserve">, </w:t>
            </w:r>
            <w:r>
              <w:rPr>
                <w:rStyle w:val="VARIABLE"/>
              </w:rPr>
              <w:t xml:space="preserve">model/vnd.usdz+zip</w:t>
            </w:r>
            <w:r>
              <w:t xml:space="preserve">, </w:t>
            </w:r>
            <w:r>
              <w:rPr>
                <w:rStyle w:val="VARIABLE"/>
              </w:rPr>
              <w:t xml:space="preserve">image/png</w:t>
            </w:r>
            <w:r>
              <w:t xml:space="preserve">. This restates the inherited </w:t>
            </w:r>
            <w:r>
              <w:rPr>
                <w:rStyle w:val="VARIABLE"/>
              </w:rPr>
              <w:t xml:space="preserve">ContentType</w:t>
            </w:r>
            <w:r>
              <w:t xml:space="preserve">; when both are present they </w:t>
            </w:r>
            <w:r>
              <w:rPr>
                <w:b/>
              </w:rPr>
              <w:t xml:space="preserve">shall</w:t>
            </w:r>
            <w:r>
              <w:t xml:space="preserve"> be identical, and </w:t>
            </w:r>
            <w:r>
              <w:rPr>
                <w:rStyle w:val="VARIABLE"/>
              </w:rPr>
              <w:t xml:space="preserve">ContentType</w:t>
            </w:r>
            <w:r>
              <w:t xml:space="preserve"> is authoritative if a server violates that.</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Digest</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ByteString</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Digest of the exact bytes streamed by this node's </w:t>
            </w:r>
            <w:r>
              <w:rPr>
                <w:rStyle w:val="VARIABLE"/>
              </w:rPr>
              <w:t xml:space="preserve">FileType</w:t>
            </w:r>
            <w:r>
              <w:t xml:space="preserve"> interface; required for the </w:t>
            </w:r>
            <w:r>
              <w:rPr>
                <w:rStyle w:val="VARIABLE"/>
              </w:rPr>
              <w:t xml:space="preserve">OU-AssetDelivery</w:t>
            </w:r>
            <w:r>
              <w:t xml:space="preserve"> conformance unit.</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DigestAlgorithm</w:t>
            </w:r>
          </w:p>
        </w:tc>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OpenUsdDigestAlgorithmEnum</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Algorithm for </w:t>
            </w:r>
            <w:r>
              <w:rPr>
                <w:rStyle w:val="VARIABLE"/>
              </w:rPr>
              <w:t xml:space="preserve">Digest</w:t>
            </w:r>
            <w:r>
              <w:t xml:space="preserve">; required with </w:t>
            </w:r>
            <w:r>
              <w:rPr>
                <w:rStyle w:val="VARIABLE"/>
              </w:rPr>
              <w:t xml:space="preserve">Digest</w:t>
            </w:r>
            <w:r>
              <w:t xml:space="preserve"> and defaulting by convention to </w:t>
            </w:r>
            <w:r>
              <w:rPr>
                <w:rStyle w:val="VARIABLE"/>
              </w:rPr>
              <w:t xml:space="preserve">Sha256</w:t>
            </w:r>
            <w:r>
              <w:t xml:space="preserve">.</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DependsOn</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Ordered </w:t>
            </w:r>
            <w:r>
              <w:rPr>
                <w:b/>
              </w:rPr>
              <w:t xml:space="preserve">asset identifiers</w:t>
            </w:r>
            <w:r>
              <w:t xml:space="preserve"> this artifact directly references, as authored — not </w:t>
            </w:r>
            <w:r>
              <w:rPr>
                <w:rStyle w:val="VARIABLE"/>
              </w:rPr>
              <w:t xml:space="preserve">Xid</w:t>
            </w:r>
            <w:r>
              <w:t xml:space="preserve">s, so a resolver matches them against </w:t>
            </w:r>
            <w:r>
              <w:rPr>
                <w:rStyle w:val="VARIABLE"/>
              </w:rPr>
              <w:t xml:space="preserve">@...@</w:t>
            </w:r>
            <w:r>
              <w:t xml:space="preserve"> references directly. Makes the dependency closure explicit and queryable rather than only procedural.</w:t>
            </w:r>
          </w:p>
        </w:tc>
      </w:tr>
    </w:tbl>
    <w:p>
      <w:pPr>
        <w:pStyle w:val="spacer"/>
      </w:pPr>
    </w:p>
    <w:p>
      <w:pPr>
        <w:pStyle w:val="Heading3"/>
      </w:pPr>
      <w:bookmarkStart w:id="518" w:name="_Clause_c7_11_2"/>
      <w:r>
        <w:t xml:space="preserve">The stage view and the delivery contract</w:t>
      </w:r>
      <w:bookmarkEnd w:id="518"/>
    </w:p>
    <w:p>
      <w:pPr>
        <w:pStyle w:val="PARAGRAPH"/>
      </w:pPr>
      <w:r>
        <w:rPr>
          <w:rStyle w:val="VARIABLE"/>
        </w:rPr>
        <w:t xml:space="preserve">OpenUsdStageType.Assets</w:t>
      </w:r>
      <w:r>
        <w:t xml:space="preserve"> is a </w:t>
      </w:r>
      <w:r>
        <w:rPr>
          <w:b/>
        </w:rPr>
        <w:t xml:space="preserve">view</w:t>
      </w:r>
      <w:r>
        <w:t xml:space="preserve">: a Folder that </w:t>
      </w:r>
      <w:r>
        <w:rPr>
          <w:rStyle w:val="VARIABLE"/>
        </w:rPr>
        <w:t xml:space="preserve">Organizes</w:t>
      </w:r>
      <w:r>
        <w:t xml:space="preserve"> the registry artifacts making up that stage's closure. </w:t>
      </w:r>
      <w:r>
        <w:rPr>
          <w:rStyle w:val="VARIABLE"/>
        </w:rPr>
        <w:t xml:space="preserve">Organizes</w:t>
      </w:r>
      <w:r>
        <w:t xml:space="preserve"> does not imply ownership, so an artifact shared by several stages exists </w:t>
      </w:r>
      <w:r>
        <w:rPr>
          <w:b/>
        </w:rPr>
        <w:t xml:space="preserve">once</w:t>
      </w:r>
      <w:r>
        <w:t xml:space="preserve"> in the registry and is organized by each stage that needs it. A server that exposes </w:t>
      </w:r>
      <w:r>
        <w:rPr>
          <w:rStyle w:val="VARIABLE"/>
        </w:rPr>
        <w:t xml:space="preserve">Artifacts</w:t>
      </w:r>
      <w:r>
        <w:t xml:space="preserve"> </w:t>
      </w:r>
      <w:r>
        <w:rPr>
          <w:b/>
        </w:rPr>
        <w:t xml:space="preserve">shall not</w:t>
      </w:r>
      <w:r>
        <w:t xml:space="preserve"> duplicate artifact nodes under </w:t>
      </w:r>
      <w:r>
        <w:rPr>
          <w:rStyle w:val="VARIABLE"/>
        </w:rPr>
        <w:t xml:space="preserve">Assets</w:t>
      </w:r>
      <w:r>
        <w:t xml:space="preserve">.</w:t>
      </w:r>
    </w:p>
    <w:p>
      <w:pPr>
        <w:pStyle w:val="PARAGRAPH"/>
      </w:pPr>
      <w:r>
        <w:t xml:space="preserve">The view is equally indifferent to </w:t>
      </w:r>
      <w:r>
        <w:rPr>
          <w:i/>
        </w:rPr>
        <w:t xml:space="preserve">where the bytes live</w:t>
      </w:r>
      <w:r>
        <w:t xml:space="preserve">. An artifact the registry </w:t>
      </w:r>
      <w:r>
        <w:rPr>
          <w:b/>
        </w:rPr>
        <w:t xml:space="preserve">federates</w:t>
      </w:r>
      <w:r>
        <w:t xml:space="preserve"> rather than hosts — one carrying </w:t>
      </w:r>
      <w:r>
        <w:rPr>
          <w:rStyle w:val="VARIABLE"/>
        </w:rPr>
        <w:t xml:space="preserve">ResourceUrl</w:t>
      </w:r>
      <w:r>
        <w:t xml:space="preserve"> and/or </w:t>
      </w:r>
      <w:r>
        <w:rPr>
          <w:rStyle w:val="VARIABLE"/>
        </w:rPr>
        <w:t xml:space="preserve">ExternalReference</w:t>
      </w:r>
      <w:r>
        <w:t xml:space="preserve"> instead of content (</w:t>
      </w:r>
      <w:r>
        <w:fldChar w:fldCharType="begin"/>
      </w:r>
      <w:r>
        <w:instrText xml:space="preserve"> REF _Clause_c7_11_3 \r \h </w:instrText>
      </w:r>
      <w:r>
        <w:fldChar w:fldCharType="separate"/>
      </w:r>
      <w:r>
        <w:rPr>
          <w:noProof/>
        </w:rPr>
        <w:t xml:space="preserve">7.11.3</w:t>
      </w:r>
      <w:r>
        <w:fldChar w:fldCharType="end"/>
      </w:r>
      <w:r>
        <w:t xml:space="preserve">) — is organized under </w:t>
      </w:r>
      <w:r>
        <w:rPr>
          <w:rStyle w:val="VARIABLE"/>
        </w:rPr>
        <w:t xml:space="preserve">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pPr>
        <w:pStyle w:val="PARAGRAPH"/>
      </w:pPr>
      <w:r>
        <w:t xml:space="preserve">Because the view does not own its targets, deletion is asymmetric and is fixed here: the inherited </w:t>
      </w:r>
      <w:r>
        <w:rPr>
          <w:rStyle w:val="VARIABLE"/>
        </w:rPr>
        <w:t xml:space="preserve">GroupType.Delete</w:t>
      </w:r>
      <w:r>
        <w:t xml:space="preserve"> deletes the group together with the resources it contains, so a server </w:t>
      </w:r>
      <w:r>
        <w:rPr>
          <w:b/>
        </w:rPr>
        <w:t xml:space="preserve">shall</w:t>
      </w:r>
      <w:r>
        <w:t xml:space="preserve"> remove the corresponding </w:t>
      </w:r>
      <w:r>
        <w:rPr>
          <w:rStyle w:val="VARIABLE"/>
        </w:rPr>
        <w:t xml:space="preserve">Organizes</w:t>
      </w:r>
      <w:r>
        <w:t xml:space="preserve"> references from every stage's </w:t>
      </w:r>
      <w:r>
        <w:rPr>
          <w:rStyle w:val="VARIABLE"/>
        </w:rPr>
        <w:t xml:space="preserve">Assets</w:t>
      </w:r>
      <w:r>
        <w:t xml:space="preserve"> view in the same operation — a stage </w:t>
      </w:r>
      <w:r>
        <w:rPr>
          <w:b/>
        </w:rPr>
        <w:t xml:space="preserve">shall not</w:t>
      </w:r>
      <w:r>
        <w:t xml:space="preserve"> be left with dangling references into a deleted group. Conversely, removing an artifact from a stage's </w:t>
      </w:r>
      <w:r>
        <w:rPr>
          <w:rStyle w:val="VARIABLE"/>
        </w:rPr>
        <w:t xml:space="preserve">Assets</w:t>
      </w:r>
      <w:r>
        <w:t xml:space="preserve"> view </w:t>
      </w:r>
      <w:r>
        <w:rPr>
          <w:b/>
        </w:rPr>
        <w:t xml:space="preserve">shall not</w:t>
      </w:r>
      <w:r>
        <w:t xml:space="preserve"> delete the artifact from the registry. A server </w:t>
      </w:r>
      <w:r>
        <w:rPr>
          <w:b/>
        </w:rPr>
        <w:t xml:space="preserve">should</w:t>
      </w:r>
      <w:r>
        <w:t xml:space="preserve"> refuse to delete a group whose artifacts are still organized by a stage it is currently serving.</w:t>
      </w:r>
    </w:p>
    <w:p>
      <w:pPr>
        <w:pStyle w:val="PARAGRAPH"/>
      </w:pPr>
      <w:r>
        <w:t xml:space="preserve">A server claiming </w:t>
      </w:r>
      <w:r>
        <w:rPr>
          <w:rStyle w:val="VARIABLE"/>
        </w:rPr>
        <w:t xml:space="preserve">OU-AssetDelivery</w:t>
      </w:r>
      <w:r>
        <w:t xml:space="preserve"> </w:t>
      </w:r>
      <w:r>
        <w:rPr>
          <w:b/>
        </w:rPr>
        <w:t xml:space="preserve">shall</w:t>
      </w:r>
      <w:r>
        <w:t xml:space="preserve"> expose the full dependency closure needed to compose the served stage without external asset resolution: exactly one </w:t>
      </w:r>
      <w:r>
        <w:rPr>
          <w:rStyle w:val="VARIABLE"/>
        </w:rPr>
        <w:t xml:space="preserve">AssetKind = RootLayer</w:t>
      </w:r>
      <w:r>
        <w:t xml:space="preserve"> artifact whose </w:t>
      </w:r>
      <w:r>
        <w:rPr>
          <w:rStyle w:val="VARIABLE"/>
        </w:rPr>
        <w:t xml:space="preserve">AssetIdentifier</w:t>
      </w:r>
      <w:r>
        <w:t xml:space="preserve"> matches the stage root identifier, plus every sublayer, referenced layer, payload, package, texture, MaterialX document and volume reachable from that root and from component assets. Where </w:t>
      </w:r>
      <w:r>
        <w:rPr>
          <w:rStyle w:val="VARIABLE"/>
        </w:rPr>
        <w:t xml:space="preserve">DependsOn</w:t>
      </w:r>
      <w:r>
        <w:t xml:space="preserve"> is present it </w:t>
      </w:r>
      <w:r>
        <w:rPr>
          <w:b/>
        </w:rPr>
        <w:t xml:space="preserve">shall</w:t>
      </w:r>
      <w:r>
        <w:t xml:space="preserve"> be consistent with that closure. For each component binding whose </w:t>
      </w:r>
      <w:r>
        <w:rPr>
          <w:rStyle w:val="VARIABLE"/>
        </w:rPr>
        <w:t xml:space="preserve">ComponentAssetReference</w:t>
      </w:r>
      <w:r>
        <w:t xml:space="preserve"> is served, </w:t>
      </w:r>
      <w:r>
        <w:rPr>
          <w:rStyle w:val="VARIABLE"/>
        </w:rPr>
        <w:t xml:space="preserve">ComponentAssetNode</w:t>
      </w:r>
      <w:r>
        <w:t xml:space="preserve"> </w:t>
      </w:r>
      <w:r>
        <w:rPr>
          <w:b/>
        </w:rPr>
        <w:t xml:space="preserve">should</w:t>
      </w:r>
      <w:r>
        <w:t xml:space="preserve"> point to the corresponding artifact.</w:t>
      </w:r>
    </w:p>
    <w:p>
      <w:pPr>
        <w:pStyle w:val="PARAGRAPH"/>
      </w:pPr>
      <w:r>
        <w:t xml:space="preserve">A connector supporting this capability:</w:t>
      </w:r>
    </w:p>
    <w:p>
      <w:pPr>
        <w:pStyle w:val="ListNumber"/>
        <w:numPr>
          <w:ilvl w:val="0"/>
          <w:numId w:val="21"/>
        </w:numPr>
      </w:pPr>
      <w:r>
        <w:t xml:space="preserve">Browses </w:t>
      </w:r>
      <w:r>
        <w:rPr>
          <w:rStyle w:val="VARIABLE"/>
        </w:rPr>
        <w:t xml:space="preserve">Server/OpenUSD/Artifacts</w:t>
      </w:r>
      <w:r>
        <w:t xml:space="preserve">, or follows the stage's </w:t>
      </w:r>
      <w:r>
        <w:rPr>
          <w:rStyle w:val="VARIABLE"/>
        </w:rPr>
        <w:t xml:space="preserve">Assets</w:t>
      </w:r>
      <w:r>
        <w:t xml:space="preserve"> view, and reads each artifact's </w:t>
      </w:r>
      <w:r>
        <w:rPr>
          <w:rStyle w:val="VARIABLE"/>
        </w:rPr>
        <w:t xml:space="preserve">AssetIdentifier</w:t>
      </w:r>
      <w:r>
        <w:t xml:space="preserve">, </w:t>
      </w:r>
      <w:r>
        <w:rPr>
          <w:rStyle w:val="VARIABLE"/>
        </w:rPr>
        <w:t xml:space="preserve">AssetKind</w:t>
      </w:r>
      <w:r>
        <w:t xml:space="preserve">, </w:t>
      </w:r>
      <w:r>
        <w:rPr>
          <w:rStyle w:val="VARIABLE"/>
        </w:rPr>
        <w:t xml:space="preserve">ContentType</w:t>
      </w:r>
      <w:r>
        <w:t xml:space="preserve"> (or the equivalent </w:t>
      </w:r>
      <w:r>
        <w:rPr>
          <w:rStyle w:val="VARIABLE"/>
        </w:rPr>
        <w:t xml:space="preserve">MediaType</w:t>
      </w:r>
      <w:r>
        <w:t xml:space="preserve">), </w:t>
      </w:r>
      <w:r>
        <w:rPr>
          <w:rStyle w:val="VARIABLE"/>
        </w:rPr>
        <w:t xml:space="preserve">Digest</w:t>
      </w:r>
      <w:r>
        <w:t xml:space="preserve">, </w:t>
      </w:r>
      <w:r>
        <w:rPr>
          <w:rStyle w:val="VARIABLE"/>
        </w:rPr>
        <w:t xml:space="preserve">DigestAlgorithm</w:t>
      </w:r>
      <w:r>
        <w:t xml:space="preserve"> and </w:t>
      </w:r>
      <w:r>
        <w:rPr>
          <w:rStyle w:val="VARIABLE"/>
        </w:rPr>
        <w:t xml:space="preserve">DependsOn</w:t>
      </w:r>
      <w:r>
        <w:t xml:space="preserve">.</w:t>
      </w:r>
    </w:p>
    <w:p>
      <w:pPr>
        <w:pStyle w:val="ListNumber"/>
        <w:numPr>
          <w:ilvl w:val="0"/>
          <w:numId w:val="21"/>
        </w:numPr>
      </w:pPr>
      <w:r>
        <w:t xml:space="preserve">Validates that there is exactly one </w:t>
      </w:r>
      <w:r>
        <w:rPr>
          <w:rStyle w:val="VARIABLE"/>
        </w:rPr>
        <w:t xml:space="preserve">RootLayer</w:t>
      </w:r>
      <w:r>
        <w:t xml:space="preserve"> and that the closure is complete; a missing entry is a delivery failure for the self-contained mode.</w:t>
      </w:r>
    </w:p>
    <w:p>
      <w:pPr>
        <w:pStyle w:val="ListNumber"/>
        <w:numPr>
          <w:ilvl w:val="0"/>
          <w:numId w:val="21"/>
        </w:numPr>
      </w:pPr>
      <w:r>
        <w:t xml:space="preserve">Streams each artifact through </w:t>
      </w:r>
      <w:r>
        <w:rPr>
          <w:rStyle w:val="VARIABLE"/>
        </w:rPr>
        <w:t xml:space="preserve">Open</w:t>
      </w:r>
      <w:r>
        <w:t xml:space="preserve">/</w:t>
      </w:r>
      <w:r>
        <w:rPr>
          <w:rStyle w:val="VARIABLE"/>
        </w:rPr>
        <w:t xml:space="preserve">Read</w:t>
      </w:r>
      <w:r>
        <w:t xml:space="preserve">/</w:t>
      </w:r>
      <w:r>
        <w:rPr>
          <w:rStyle w:val="VARIABLE"/>
        </w:rPr>
        <w:t xml:space="preserve">Close</w:t>
      </w:r>
      <w:r>
        <w:t xml:space="preserve"> on the artifact node, computes the declared digest over the received bytes, and </w:t>
      </w:r>
      <w:r>
        <w:rPr>
          <w:b/>
        </w:rPr>
        <w:t xml:space="preserve">refuses</w:t>
      </w:r>
      <w:r>
        <w:t xml:space="preserve"> to use an artifact whose digest does not match.</w:t>
      </w:r>
    </w:p>
    <w:p>
      <w:pPr>
        <w:pStyle w:val="ListNumber"/>
        <w:numPr>
          <w:ilvl w:val="0"/>
          <w:numId w:val="21"/>
        </w:numPr>
      </w:pPr>
      <w:r>
        <w:t xml:space="preserve">Writes each verified artifact into a connector-controlled local cache at the sanitized relative path derived from </w:t>
      </w:r>
      <w:r>
        <w:rPr>
          <w:rStyle w:val="VARIABLE"/>
        </w:rPr>
        <w:t xml:space="preserve">AssetIdentifier</w:t>
      </w:r>
      <w:r>
        <w:t xml:space="preserve">, preserving the authored relative layout so USD </w:t>
      </w:r>
      <w:r>
        <w:rPr>
          <w:rStyle w:val="VARIABLE"/>
        </w:rPr>
        <w:t xml:space="preserve">@...@</w:t>
      </w:r>
      <w:r>
        <w:t xml:space="preserve"> paths resolve locally.</w:t>
      </w:r>
    </w:p>
    <w:p>
      <w:pPr>
        <w:pStyle w:val="ListNumber"/>
        <w:numPr>
          <w:ilvl w:val="0"/>
          <w:numId w:val="21"/>
        </w:numPr>
      </w:pPr>
      <w:r>
        <w:t xml:space="preserve">Opens the cached root layer, composes its live override/session layer above it, and renders as usual.</w:t>
      </w:r>
    </w:p>
    <w:p>
      <w:pPr>
        <w:pStyle w:val="PARAGRAPH"/>
      </w:pPr>
      <w:r>
        <w:t xml:space="preserve">A connector </w:t>
      </w:r>
      <w:r>
        <w:rPr>
          <w:b/>
        </w:rPr>
        <w:t xml:space="preserve">should</w:t>
      </w:r>
      <w:r>
        <w:t xml:space="preserve"> use </w:t>
      </w:r>
      <w:r>
        <w:rPr>
          <w:rStyle w:val="VARIABLE"/>
        </w:rPr>
        <w:t xml:space="preserve">Epoch</w:t>
      </w:r>
      <w:r>
        <w:t xml:space="preserve"> to detect that a cached artifact may be stale. </w:t>
      </w:r>
      <w:r>
        <w:rPr>
          <w:rStyle w:val="VARIABLE"/>
        </w:rPr>
        <w:t xml:space="preserve">Epoch</w:t>
      </w:r>
      <w:r>
        <w:t xml:space="preserve"> is a change </w:t>
      </w:r>
      <w:r>
        <w:rPr>
          <w:b/>
        </w:rPr>
        <w:t xml:space="preserve">hint</w:t>
      </w:r>
      <w:r>
        <w:t xml:space="preserve">, not proof that bytes changed: the base model increments it on </w:t>
      </w:r>
      <w:r>
        <w:rPr>
          <w:i/>
        </w:rPr>
        <w:t xml:space="preserve">any</w:t>
      </w:r>
      <w:r>
        <w:t xml:space="preserve"> mutation of the entity, including a label edit (xRegistry </w:t>
      </w:r>
      <w:r>
        <w:t xml:space="preserve">§6.5</w:t>
      </w:r>
      <w:r>
        <w:t xml:space="preserve">). </w:t>
      </w:r>
      <w:r>
        <w:rPr>
          <w:rStyle w:val="VARIABLE"/>
        </w:rPr>
        <w:t xml:space="preserve">Digest</w:t>
      </w:r>
      <w:r>
        <w:t xml:space="preserve"> is therefore the authority — an artifact whose </w:t>
      </w:r>
      <w:r>
        <w:rPr>
          <w:rStyle w:val="VARIABLE"/>
        </w:rPr>
        <w:t xml:space="preserve">Epoch</w:t>
      </w:r>
      <w:r>
        <w:t xml:space="preserve"> differs from the cached value </w:t>
      </w:r>
      <w:r>
        <w:rPr>
          <w:b/>
        </w:rPr>
        <w:t xml:space="preserve">shall</w:t>
      </w:r>
      <w:r>
        <w:t xml:space="preserve"> be re-fetched and re-verified before reuse, and an artifact whose </w:t>
      </w:r>
      <w:r>
        <w:rPr>
          <w:rStyle w:val="VARIABLE"/>
        </w:rPr>
        <w:t xml:space="preserve">Digest</w:t>
      </w:r>
      <w:r>
        <w:t xml:space="preserve"> differs </w:t>
      </w:r>
      <w:r>
        <w:rPr>
          <w:b/>
        </w:rPr>
        <w:t xml:space="preserve">shall</w:t>
      </w:r>
      <w:r>
        <w:t xml:space="preserve"> be treated as changed regardless of </w:t>
      </w:r>
      <w:r>
        <w:rPr>
          <w:rStyle w:val="VARIABLE"/>
        </w:rPr>
        <w:t xml:space="preserve">Epoch</w:t>
      </w:r>
      <w:r>
        <w:t xml:space="preserve">.</w:t>
      </w:r>
    </w:p>
    <w:p>
      <w:pPr>
        <w:pStyle w:val="PARAGRAPH"/>
      </w:pPr>
      <w:r>
        <w:t xml:space="preserve">All served artifact streams are read-only: a connector </w:t>
      </w:r>
      <w:r>
        <w:rPr>
          <w:b/>
        </w:rPr>
        <w:t xml:space="preserve">shall not</w:t>
      </w:r>
      <w:r>
        <w:t xml:space="preserve"> require write access to compose a stage, and although </w:t>
      </w:r>
      <w:r>
        <w:rPr>
          <w:rStyle w:val="VARIABLE"/>
        </w:rPr>
        <w:t xml:space="preserve">ResourceType</w:t>
      </w:r>
      <w:r>
        <w:t xml:space="preserve"> inherits </w:t>
      </w:r>
      <w:r>
        <w:rPr>
          <w:rStyle w:val="VARIABLE"/>
        </w:rPr>
        <w:t xml:space="preserve">Write</w:t>
      </w:r>
      <w:r>
        <w:t xml:space="preserve"> and </w:t>
      </w:r>
      <w:r>
        <w:rPr>
          <w:rStyle w:val="VARIABLE"/>
        </w:rPr>
        <w:t xml:space="preserve">Delete</w:t>
      </w:r>
      <w:r>
        <w:t xml:space="preserve"> from the base model, a server serving artifacts for delivery </w:t>
      </w:r>
      <w:r>
        <w:rPr>
          <w:b/>
        </w:rPr>
        <w:t xml:space="preserve">should</w:t>
      </w:r>
      <w:r>
        <w:t xml:space="preserve"> withhold those from a delivery-only Role. A server </w:t>
      </w:r>
      <w:r>
        <w:rPr>
          <w:b/>
        </w:rPr>
        <w:t xml:space="preserve">shall</w:t>
      </w:r>
      <w:r>
        <w:t xml:space="preserve"> close abandoned </w:t>
      </w:r>
      <w:r>
        <w:rPr>
          <w:rStyle w:val="VARIABLE"/>
        </w:rPr>
        <w:t xml:space="preserve">FileType</w:t>
      </w:r>
      <w:r>
        <w:t xml:space="preserve"> handles according to normal session cleanup and server resource policy; this matters more with a registry than it did with a per-stage folder, because one </w:t>
      </w:r>
      <w:r>
        <w:rPr>
          <w:rStyle w:val="VARIABLE"/>
        </w:rPr>
        <w:t xml:space="preserve">Artifacts</w:t>
      </w:r>
      <w:r>
        <w:t xml:space="preserve"> subtree can be opened concurrently on behalf of every stage that references it.</w:t>
      </w:r>
    </w:p>
    <w:p>
      <w:pPr>
        <w:pStyle w:val="PARAGRAPH"/>
      </w:pPr>
      <w:r>
        <w:t xml:space="preserve">The facility remains additive. If </w:t>
      </w:r>
      <w:r>
        <w:rPr>
          <w:rStyle w:val="VARIABLE"/>
        </w:rPr>
        <w:t xml:space="preserve">Artifacts</w:t>
      </w:r>
      <w:r>
        <w:t xml:space="preserve"> is absent, incomplete, unauthorized, or fails digest verification, a connector may fall back to its configured external resolver only when operator policy permits; it </w:t>
      </w:r>
      <w:r>
        <w:rPr>
          <w:b/>
        </w:rPr>
        <w:t xml:space="preserve">shall not</w:t>
      </w:r>
      <w:r>
        <w:t xml:space="preserve"> silently mix unverified delivered bytes into the stage.</w:t>
      </w:r>
    </w:p>
    <w:p>
      <w:pPr>
        <w:pStyle w:val="Heading3"/>
      </w:pPr>
      <w:bookmarkStart w:id="519" w:name="_Clause_c7_11_3"/>
      <w:r>
        <w:t xml:space="preserve">Resolver identity</w:t>
      </w:r>
      <w:bookmarkEnd w:id="519"/>
    </w:p>
    <w:p>
      <w:pPr>
        <w:pStyle w:val="PARAGRAPH"/>
      </w:pPr>
      <w:r>
        <w:t xml:space="preserve">xRegistry defines </w:t>
      </w:r>
      <w:r>
        <w:rPr>
          <w:rStyle w:val="VARIABLE"/>
        </w:rPr>
        <w:t xml:space="preserve">Xid</w:t>
      </w:r>
      <w:r>
        <w:t xml:space="preserve"> as the </w:t>
      </w:r>
      <w:r>
        <w:rPr>
          <w:b/>
        </w:rPr>
        <w:t xml:space="preserve">stable path of an entity within its registry, independent of the hosting endpoint</w:t>
      </w:r>
      <w:r>
        <w:t xml:space="preserve"> (</w:t>
      </w:r>
      <w:r>
        <w:rPr>
          <w:rStyle w:val="VARIABLE"/>
        </w:rPr>
        <w:t xml:space="preserve">/&lt;groups&gt;/&lt;groupId&gt;/&lt;resources&gt;/&lt;resourceId&gt;</w:t>
      </w:r>
      <w:r>
        <w:t xml:space="preserve">), and requires each entity's identifier to be a </w:t>
      </w:r>
      <w:r>
        <w:rPr>
          <w:b/>
        </w:rPr>
        <w:t xml:space="preserve">URL-safe token</w:t>
      </w:r>
      <w:r>
        <w:t xml:space="preserve">. A USD </w:t>
      </w:r>
      <w:r>
        <w:rPr>
          <w:b/>
        </w:rPr>
        <w:t xml:space="preserve">asset identifier</w:t>
      </w:r>
      <w:r>
        <w:t xml:space="preserve"> is the stable, location-independent name an authored layer uses in an </w:t>
      </w:r>
      <w:r>
        <w:rPr>
          <w:rStyle w:val="VARIABLE"/>
        </w:rPr>
        <w:t xml:space="preserve">@...@</w:t>
      </w:r>
      <w:r>
        <w:t xml:space="preserve"> reference, which a USD </w:t>
      </w:r>
      <w:r>
        <w:rPr>
          <w:rStyle w:val="VARIABLE"/>
        </w:rPr>
        <w:t xml:space="preserve">ArResolver</w:t>
      </w:r>
      <w:r>
        <w:t xml:space="preserve"> maps to a </w:t>
      </w:r>
      <w:r>
        <w:rPr>
          <w:b/>
        </w:rPr>
        <w:t xml:space="preserve">resolved path</w:t>
      </w:r>
      <w:r>
        <w:t xml:space="preserve">. The two express the same idea but are </w:t>
      </w:r>
      <w:r>
        <w:rPr>
          <w:i/>
        </w:rPr>
        <w:t xml:space="preserve">not</w:t>
      </w:r>
      <w:r>
        <w:t xml:space="preserve"> the same grammar: </w:t>
      </w:r>
      <w:r>
        <w:rPr>
          <w:rStyle w:val="VARIABLE"/>
        </w:rPr>
        <w:t xml:space="preserve">@./live.usda@</w:t>
      </w:r>
      <w:r>
        <w:t xml:space="preserve"> is not a valid </w:t>
      </w:r>
      <w:r>
        <w:rPr>
          <w:rStyle w:val="VARIABLE"/>
        </w:rPr>
        <w:t xml:space="preserve">Xid</w:t>
      </w:r>
      <w:r>
        <w:t xml:space="preserve">, and an </w:t>
      </w:r>
      <w:r>
        <w:rPr>
          <w:rStyle w:val="VARIABLE"/>
        </w:rPr>
        <w:t xml:space="preserve">Xid</w:t>
      </w:r>
      <w:r>
        <w:t xml:space="preserve"> is not what a layer authors.</w:t>
      </w:r>
    </w:p>
    <w:p>
      <w:pPr>
        <w:pStyle w:val="PARAGRAPH"/>
      </w:pPr>
      <w:r>
        <w:t xml:space="preserve">This specification therefore does not equate them; it makes them </w:t>
      </w:r>
      <w:r>
        <w:rPr>
          <w:b/>
        </w:rPr>
        <w:t xml:space="preserve">deterministically inter-derivable</w:t>
      </w:r>
      <w:r>
        <w:t xml:space="preserve">, which is what a resolver actually needs:</w:t>
      </w:r>
    </w:p>
    <w:p>
      <w:pPr>
        <w:pStyle w:val="NOTE"/>
      </w:pPr>
      <w:r>
        <w:t xml:space="preserve">NOTE   </w:t>
      </w:r>
      <w:r>
        <w:t xml:space="preserve">An artifact's </w:t>
      </w:r>
      <w:r>
        <w:rPr>
          <w:rStyle w:val="VARIABLE"/>
        </w:rPr>
        <w:t xml:space="preserve">AssetIdentifier</w:t>
      </w:r>
      <w:r>
        <w:t xml:space="preserve"> </w:t>
      </w:r>
      <w:r>
        <w:rPr>
          <w:b/>
        </w:rPr>
        <w:t xml:space="preserve">shall</w:t>
      </w:r>
      <w:r>
        <w:t xml:space="preserve"> be its authored USD asset identifier, normalized relative to its asset container (a leading </w:t>
      </w:r>
      <w:r>
        <w:rPr>
          <w:rStyle w:val="VARIABLE"/>
        </w:rPr>
        <w:t xml:space="preserve">./</w:t>
      </w:r>
      <w:r>
        <w:t xml:space="preserve"> removed). Its xRegistry </w:t>
      </w:r>
      <w:r>
        <w:rPr>
          <w:rStyle w:val="VARIABLE"/>
        </w:rPr>
        <w:t xml:space="preserve">ResourceId</w:t>
      </w:r>
      <w:r>
        <w:t xml:space="preserve"> </w:t>
      </w:r>
      <w:r>
        <w:rPr>
          <w:b/>
        </w:rPr>
        <w:t xml:space="preserve">shall</w:t>
      </w:r>
      <w:r>
        <w:t xml:space="preserve"> be the URL-safe percent-encoding of that </w:t>
      </w:r>
      <w:r>
        <w:rPr>
          <w:rStyle w:val="VARIABLE"/>
        </w:rPr>
        <w:t xml:space="preserve">AssetIdentifier</w:t>
      </w:r>
      <w:r>
        <w:t xml:space="preserve">. Its </w:t>
      </w:r>
      <w:r>
        <w:rPr>
          <w:rStyle w:val="VARIABLE"/>
        </w:rPr>
        <w:t xml:space="preserve">Xid</w:t>
      </w:r>
      <w:r>
        <w:t xml:space="preserve"> is consequently </w:t>
      </w:r>
      <w:r>
        <w:rPr>
          <w:rStyle w:val="VARIABLE"/>
        </w:rPr>
        <w:t xml:space="preserve">/&lt;groups&gt;/&lt;AssetContainerId&gt;/&lt;resources&gt;/&lt;ResourceId&gt;</w:t>
      </w:r>
      <w:r>
        <w:t xml:space="preserve">, and the asset identifier </w:t>
      </w:r>
      <w:r>
        <w:rPr>
          <w:b/>
        </w:rPr>
        <w:t xml:space="preserve">shall</w:t>
      </w:r>
      <w:r>
        <w:t xml:space="preserve"> be recoverable from the </w:t>
      </w:r>
      <w:r>
        <w:rPr>
          <w:rStyle w:val="VARIABLE"/>
        </w:rPr>
        <w:t xml:space="preserve">Xid</w:t>
      </w:r>
      <w:r>
        <w:t xml:space="preserve"> by percent-decoding its last segment.</w:t>
      </w:r>
    </w:p>
    <w:p>
      <w:pPr>
        <w:pStyle w:val="PARAGRAPH"/>
      </w:pPr>
      <w:r>
        <w:t xml:space="preserve">Both directions are therefore closed-form, with no lookup table:</w:t>
      </w:r>
    </w:p>
    <w:p>
      <w:pPr>
        <w:pStyle w:val="TABLE-title"/>
        <w:keepNext/>
      </w:pPr>
      <w:bookmarkStart w:id="520" w:name="_Tab_resolver_identity_tab1"/>
      <w:r>
        <w:t xml:space="preserve">Table </w:t>
      </w:r>
      <w:r>
        <w:fldChar w:fldCharType="begin"/>
      </w:r>
      <w:r>
        <w:instrText xml:space="preserve"> SEQ Table \* ARABIC </w:instrText>
      </w:r>
      <w:r>
        <w:fldChar w:fldCharType="separate"/>
      </w:r>
      <w:r>
        <w:rPr>
          <w:noProof/>
        </w:rPr>
        <w:t xml:space="preserve">13</w:t>
      </w:r>
      <w:r>
        <w:fldChar w:fldCharType="end"/>
      </w:r>
      <w:r>
        <w:t xml:space="preserve"> – Resolver identity</w:t>
      </w:r>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Direction</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Operation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authored </w:t>
            </w:r>
            <w:r>
              <w:rPr>
                <w:rStyle w:val="VARIABLE"/>
              </w:rPr>
              <w:t xml:space="preserve">@X@</w:t>
            </w:r>
            <w:r>
              <w:t xml:space="preserve"> in a layer of container </w:t>
            </w:r>
            <w:r>
              <w:rPr>
                <w:rStyle w:val="VARIABLE"/>
              </w:rPr>
              <w:t xml:space="preserve">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normalize </w:t>
            </w:r>
            <w:r>
              <w:rPr>
                <w:rStyle w:val="VARIABLE"/>
              </w:rPr>
              <w:t xml:space="preserve">X</w:t>
            </w:r>
            <w:r>
              <w:t xml:space="preserve"> against </w:t>
            </w:r>
            <w:r>
              <w:rPr>
                <w:rStyle w:val="VARIABLE"/>
              </w:rPr>
              <w:t xml:space="preserve">C</w:t>
            </w:r>
            <w:r>
              <w:t xml:space="preserve">, percent-encode, append to </w:t>
            </w:r>
            <w:r>
              <w:rPr>
                <w:rStyle w:val="VARIABLE"/>
              </w:rPr>
              <w:t xml:space="preserve">/&lt;groups&gt;/C/&lt;resources&gt;/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percent-decode the last segment</w:t>
            </w:r>
          </w:p>
        </w:tc>
      </w:tr>
    </w:tbl>
    <w:p>
      <w:pPr>
        <w:pStyle w:val="spacer"/>
      </w:pPr>
    </w:p>
    <w:p>
      <w:pPr>
        <w:pStyle w:val="PARAGRAPH"/>
      </w:pPr>
      <w:r>
        <w:rPr>
          <w:b/>
        </w:rPr>
        <w:t xml:space="preserve">Which entity level the identifier binds to.</w:t>
      </w:r>
      <w:r>
        <w:t xml:space="preserve"> The base model keys resources by </w:t>
      </w:r>
      <w:r>
        <w:rPr>
          <w:rStyle w:val="VARIABLE"/>
        </w:rPr>
        <w:t xml:space="preserve">(ResourceId, VersionId)</w:t>
      </w:r>
      <w:r>
        <w:t xml:space="preserve"> and may materialize versions as sibling files. An asset identifier must stay stable across revisions of the same layer — that is what makes an authored </w:t>
      </w:r>
      <w:r>
        <w:rPr>
          <w:rStyle w:val="VARIABLE"/>
        </w:rPr>
        <w:t xml:space="preserve">@...@</w:t>
      </w:r>
      <w:r>
        <w:t xml:space="preserve"> reference durable — so:</w:t>
      </w:r>
    </w:p>
    <w:p>
      <w:pPr>
        <w:pStyle w:val="NOTE"/>
      </w:pPr>
      <w:r>
        <w:t xml:space="preserve">NOTE   </w:t>
      </w:r>
      <w:r>
        <w:rPr>
          <w:rStyle w:val="VARIABLE"/>
        </w:rPr>
        <w:t xml:space="preserve">AssetIdentifier</w:t>
      </w:r>
      <w:r>
        <w:t xml:space="preserve"> binds to the </w:t>
      </w:r>
      <w:r>
        <w:rPr>
          <w:b/>
        </w:rPr>
        <w:t xml:space="preserve">resource</w:t>
      </w:r>
      <w:r>
        <w:t xml:space="preserve">, not the version. All versions of one artifact share one </w:t>
      </w:r>
      <w:r>
        <w:rPr>
          <w:rStyle w:val="VARIABLE"/>
        </w:rPr>
        <w:t xml:space="preserve">AssetIdentifier</w:t>
      </w:r>
      <w:r>
        <w:t xml:space="preserve"> and one </w:t>
      </w:r>
      <w:r>
        <w:rPr>
          <w:rStyle w:val="VARIABLE"/>
        </w:rPr>
        <w:t xml:space="preserve">ResourceId</w:t>
      </w:r>
      <w:r>
        <w:t xml:space="preserve">; they differ only in </w:t>
      </w:r>
      <w:r>
        <w:rPr>
          <w:rStyle w:val="VARIABLE"/>
        </w:rPr>
        <w:t xml:space="preserve">VersionId</w:t>
      </w:r>
      <w:r>
        <w:t xml:space="preserve">. A resolver that does not select a version </w:t>
      </w:r>
      <w:r>
        <w:rPr>
          <w:b/>
        </w:rPr>
        <w:t xml:space="preserve">shall</w:t>
      </w:r>
      <w:r>
        <w:t xml:space="preserve"> receive the resource's default version, and an </w:t>
      </w:r>
      <w:r>
        <w:rPr>
          <w:rStyle w:val="VARIABLE"/>
        </w:rPr>
        <w:t xml:space="preserve">Xid</w:t>
      </w:r>
      <w:r>
        <w:t xml:space="preserve"> that addresses a specific version </w:t>
      </w:r>
      <w:r>
        <w:rPr>
          <w:b/>
        </w:rPr>
        <w:t xml:space="preserve">shall not</w:t>
      </w:r>
      <w:r>
        <w:t xml:space="preserve"> be used as an asset identifier.</w:t>
      </w:r>
    </w:p>
    <w:p>
      <w:pPr>
        <w:pStyle w:val="PARAGRAPH"/>
      </w:pPr>
      <w:r>
        <w:t xml:space="preserve">A client selects a non-default version explicitly through the xRegistry API (</w:t>
      </w:r>
      <w:r>
        <w:rPr>
          <w:rStyle w:val="VARIABLE"/>
        </w:rPr>
        <w:t xml:space="preserve">VersionId</w:t>
      </w:r>
      <w:r>
        <w:t xml:space="preserve">); the authored layer never names one, because a layer that pinned a version would defeat the registry's ability to serve a corrected artifact.</w:t>
      </w:r>
    </w:p>
    <w:p>
      <w:pPr>
        <w:pStyle w:val="PARAGRAPH"/>
      </w:pPr>
      <w:r>
        <w:rPr>
          <w:b/>
        </w:rPr>
        <w:t xml:space="preserve">Presence requirements.</w:t>
      </w:r>
      <w:r>
        <w:t xml:space="preserve"> </w:t>
      </w:r>
      <w:r>
        <w:rPr>
          <w:rStyle w:val="VARIABLE"/>
        </w:rPr>
        <w:t xml:space="preserve">Xid</w:t>
      </w:r>
      <w:r>
        <w:t xml:space="preserve">, </w:t>
      </w:r>
      <w:r>
        <w:rPr>
          <w:rStyle w:val="VARIABLE"/>
        </w:rPr>
        <w:t xml:space="preserve">Epoch</w:t>
      </w:r>
      <w:r>
        <w:t xml:space="preserve"> and </w:t>
      </w:r>
      <w:r>
        <w:rPr>
          <w:rStyle w:val="VARIABLE"/>
        </w:rPr>
        <w:t xml:space="preserve">Digest</w:t>
      </w:r>
      <w:r>
        <w:t xml:space="preserve"> are Optional on the base </w:t>
      </w:r>
      <w:r>
        <w:rPr>
          <w:rStyle w:val="VARIABLE"/>
        </w:rPr>
        <w:t xml:space="preserve">ResourceType</w:t>
      </w:r>
      <w:r>
        <w:t xml:space="preserve">, which would make this clause and the staleness rule of </w:t>
      </w:r>
      <w:r>
        <w:t xml:space="preserve">§7.11.2</w:t>
      </w:r>
      <w:r>
        <w:t xml:space="preserve"> untestable. A server claiming </w:t>
      </w:r>
      <w:r>
        <w:rPr>
          <w:rStyle w:val="VARIABLE"/>
        </w:rPr>
        <w:t xml:space="preserve">OU-ArtifactRegistry</w:t>
      </w:r>
      <w:r>
        <w:t xml:space="preserve"> </w:t>
      </w:r>
      <w:r>
        <w:rPr>
          <w:b/>
        </w:rPr>
        <w:t xml:space="preserve">shall</w:t>
      </w:r>
      <w:r>
        <w:t xml:space="preserve"> therefore expose </w:t>
      </w:r>
      <w:r>
        <w:rPr>
          <w:rStyle w:val="VARIABLE"/>
        </w:rPr>
        <w:t xml:space="preserve">Xid</w:t>
      </w:r>
      <w:r>
        <w:t xml:space="preserve">, </w:t>
      </w:r>
      <w:r>
        <w:rPr>
          <w:rStyle w:val="VARIABLE"/>
        </w:rPr>
        <w:t xml:space="preserve">Epoch</w:t>
      </w:r>
      <w:r>
        <w:t xml:space="preserve">, </w:t>
      </w:r>
      <w:r>
        <w:rPr>
          <w:rStyle w:val="VARIABLE"/>
        </w:rPr>
        <w:t xml:space="preserve">Digest</w:t>
      </w:r>
      <w:r>
        <w:t xml:space="preserve"> and </w:t>
      </w:r>
      <w:r>
        <w:rPr>
          <w:rStyle w:val="VARIABLE"/>
        </w:rPr>
        <w:t xml:space="preserve">DigestAlgorithm</w:t>
      </w:r>
      <w:r>
        <w:t xml:space="preserve"> on every artifact it hosts. (An artifact it merely federates carries the federation links instead of bytes, and consequently no </w:t>
      </w:r>
      <w:r>
        <w:rPr>
          <w:rStyle w:val="VARIABLE"/>
        </w:rPr>
        <w:t xml:space="preserve">Digest</w:t>
      </w:r>
      <w:r>
        <w:t xml:space="preserve">.)</w:t>
      </w:r>
    </w:p>
    <w:p>
      <w:pPr>
        <w:pStyle w:val="PARAGRAPH"/>
      </w:pPr>
      <w:r>
        <w:t xml:space="preserve">The consequence is that a server exposing </w:t>
      </w:r>
      <w:r>
        <w:rPr>
          <w:rStyle w:val="VARIABLE"/>
        </w:rPr>
        <w:t xml:space="preserve">Artifacts</w:t>
      </w:r>
      <w:r>
        <w:t xml:space="preserve"> </w:t>
      </w:r>
      <w:r>
        <w:rPr>
          <w:b/>
        </w:rPr>
        <w:t xml:space="preserve">is</w:t>
      </w:r>
      <w:r>
        <w:t xml:space="preserve"> an addressable resolver backend: a USD-side resolver plugin holding a container context resolves an authored </w:t>
      </w:r>
      <w:r>
        <w:rPr>
          <w:rStyle w:val="VARIABLE"/>
        </w:rPr>
        <w:t xml:space="preserve">@...@</w:t>
      </w:r>
      <w:r>
        <w:t xml:space="preserve"> reference to an artifact node by computation alone, and reads its bytes with </w:t>
      </w:r>
      <w:r>
        <w:rPr>
          <w:rStyle w:val="VARIABLE"/>
        </w:rPr>
        <w:t xml:space="preserve">Open</w:t>
      </w:r>
      <w:r>
        <w:t xml:space="preserve">/</w:t>
      </w:r>
      <w:r>
        <w:rPr>
          <w:rStyle w:val="VARIABLE"/>
        </w:rPr>
        <w:t xml:space="preserve">Read</w:t>
      </w:r>
      <w:r>
        <w:t xml:space="preserve">/</w:t>
      </w:r>
      <w:r>
        <w:rPr>
          <w:rStyle w:val="VARIABLE"/>
        </w:rPr>
        <w:t xml:space="preserve">Close</w:t>
      </w:r>
      <w:r>
        <w:t xml:space="preserve">. Three corollaries:</w:t>
      </w:r>
    </w:p>
    <w:p>
      <w:pPr>
        <w:pStyle w:val="ListBullet"/>
        <w:numPr>
          <w:ilvl w:val="0"/>
          <w:numId w:val="21"/>
        </w:numPr>
      </w:pPr>
      <w:r>
        <w:rPr>
          <w:b/>
        </w:rPr>
        <w:t xml:space="preserve">Cache placement.</w:t>
      </w:r>
      <w:r>
        <w:t xml:space="preserve"> A connector caches each artifact at the relative path given by </w:t>
      </w:r>
      <w:r>
        <w:rPr>
          <w:rStyle w:val="VARIABLE"/>
        </w:rPr>
        <w:t xml:space="preserve">AssetIdentifier</w:t>
      </w:r>
      <w:r>
        <w:t xml:space="preserve"> (</w:t>
      </w:r>
      <w:r>
        <w:fldChar w:fldCharType="begin"/>
      </w:r>
      <w:r>
        <w:instrText xml:space="preserve"> REF _Clause_c7_11_2 \r \h </w:instrText>
      </w:r>
      <w:r>
        <w:fldChar w:fldCharType="separate"/>
      </w:r>
      <w:r>
        <w:rPr>
          <w:noProof/>
        </w:rPr>
        <w:t xml:space="preserve">7.11.2</w:t>
      </w:r>
      <w:r>
        <w:fldChar w:fldCharType="end"/>
      </w:r>
      <w:r>
        <w:t xml:space="preserve"> step 4), so authored relative references such as </w:t>
      </w:r>
      <w:r>
        <w:rPr>
          <w:rStyle w:val="VARIABLE"/>
        </w:rPr>
        <w:t xml:space="preserve">@./live.usda@</w:t>
      </w:r>
      <w:r>
        <w:t xml:space="preserve"> resolve locally. </w:t>
      </w:r>
      <w:r>
        <w:rPr>
          <w:rStyle w:val="VARIABLE"/>
        </w:rPr>
        <w:t xml:space="preserve">Xid</w:t>
      </w:r>
      <w:r>
        <w:t xml:space="preserve"> governs the </w:t>
      </w:r>
      <w:r>
        <w:rPr>
          <w:i/>
        </w:rPr>
        <w:t xml:space="preserve">registry</w:t>
      </w:r>
      <w:r>
        <w:t xml:space="preserve"> layout, </w:t>
      </w:r>
      <w:r>
        <w:rPr>
          <w:rStyle w:val="VARIABLE"/>
        </w:rPr>
        <w:t xml:space="preserve">AssetIdentifier</w:t>
      </w:r>
      <w:r>
        <w:t xml:space="preserve"> the </w:t>
      </w:r>
      <w:r>
        <w:rPr>
          <w:i/>
        </w:rPr>
        <w:t xml:space="preserve">asset</w:t>
      </w:r>
      <w:r>
        <w:t xml:space="preserve"> layout; conflating them would break relative resolution.</w:t>
      </w:r>
    </w:p>
    <w:p>
      <w:pPr>
        <w:pStyle w:val="ListBullet"/>
        <w:numPr>
          <w:ilvl w:val="0"/>
          <w:numId w:val="21"/>
        </w:numPr>
      </w:pPr>
      <w:r>
        <w:rPr>
          <w:rStyle w:val="VARIABLE"/>
        </w:rPr>
        <w:t xml:space="preserve">DependsOn</w:t>
      </w:r>
      <w:r>
        <w:rPr>
          <w:b/>
        </w:rPr>
        <w:t xml:space="preserve"> carries asset identifiers, not </w:t>
      </w:r>
      <w:r>
        <w:rPr>
          <w:rStyle w:val="VARIABLE"/>
        </w:rPr>
        <w:t xml:space="preserve">Xid</w:t>
      </w:r>
      <w:r>
        <w:rPr>
          <w:b/>
        </w:rPr>
        <w:t xml:space="preserve">s</w:t>
      </w:r>
      <w:r>
        <w:t xml:space="preserve">, for the same reason: it records what the layer authored, so a resolver can match it directly against an </w:t>
      </w:r>
      <w:r>
        <w:rPr>
          <w:rStyle w:val="VARIABLE"/>
        </w:rPr>
        <w:t xml:space="preserve">@...@</w:t>
      </w:r>
      <w:r>
        <w:t xml:space="preserve"> reference.</w:t>
      </w:r>
    </w:p>
    <w:p>
      <w:pPr>
        <w:pStyle w:val="ListBullet"/>
        <w:numPr>
          <w:ilvl w:val="0"/>
          <w:numId w:val="21"/>
        </w:numPr>
      </w:pPr>
      <w:r>
        <w:rPr>
          <w:b/>
        </w:rPr>
        <w:t xml:space="preserve">Federation is the resolver fallback chain.</w:t>
      </w:r>
      <w:r>
        <w:t xml:space="preserve"> An artifact this registry knows about but does not host carries the xRegistry federation links </w:t>
      </w:r>
      <w:r>
        <w:rPr>
          <w:rStyle w:val="VARIABLE"/>
        </w:rPr>
        <w:t xml:space="preserve">ResourceUrl</w:t>
      </w:r>
      <w:r>
        <w:t xml:space="preserve"> and/or </w:t>
      </w:r>
      <w:r>
        <w:rPr>
          <w:rStyle w:val="VARIABLE"/>
        </w:rPr>
        <w:t xml:space="preserve">ExternalReference</w:t>
      </w:r>
      <w:r>
        <w:t xml:space="preserve"> (an </w:t>
      </w:r>
      <w:r>
        <w:rPr>
          <w:rStyle w:val="VARIABLE"/>
        </w:rPr>
        <w:t xml:space="preserve">ExpandedNodeId</w:t>
      </w:r>
      <w:r>
        <w:t xml:space="preserve">) instead of bytes. A resolver follows them exactly as it would consult the next resolver in its chain, so a plant-level registry can delegate to a vendor's without copying content.</w:t>
      </w:r>
    </w:p>
    <w:p>
      <w:pPr>
        <w:pStyle w:val="ListBullet"/>
        <w:numPr>
          <w:ilvl w:val="0"/>
          <w:numId w:val="21"/>
        </w:numPr>
      </w:pPr>
      <w:r>
        <w:rPr>
          <w:b/>
        </w:rPr>
        <w:t xml:space="preserve">Package-relative paths.</w:t>
      </w:r>
      <w:r>
        <w:t xml:space="preserve"> A package-relative identifier such as </w:t>
      </w:r>
      <w:r>
        <w:rPr>
          <w:rStyle w:val="VARIABLE"/>
        </w:rPr>
        <w:t xml:space="preserve">pkg.usdz[textures/albedo.png]</w:t>
      </w:r>
      <w:r>
        <w:t xml:space="preserve"> is an </w:t>
      </w:r>
      <w:r>
        <w:rPr>
          <w:rStyle w:val="VARIABLE"/>
        </w:rPr>
        <w:t xml:space="preserve">AssetIdentifier</w:t>
      </w:r>
      <w:r>
        <w:t xml:space="preserve"> like any other and encodes into a single </w:t>
      </w:r>
      <w:r>
        <w:rPr>
          <w:rStyle w:val="VARIABLE"/>
        </w:rPr>
        <w:t xml:space="preserve">ResourceId</w:t>
      </w:r>
      <w:r>
        <w:t xml:space="preserve"> within the containing package's group. A server may serve the whole </w:t>
      </w:r>
      <w:r>
        <w:rPr>
          <w:rStyle w:val="VARIABLE"/>
        </w:rPr>
        <w:t xml:space="preserve">Package</w:t>
      </w:r>
      <w:r>
        <w:t xml:space="preserve"> artifact, its members individually, or both. To keep the closure rule of </w:t>
      </w:r>
      <w:r>
        <w:fldChar w:fldCharType="begin"/>
      </w:r>
      <w:r>
        <w:instrText xml:space="preserve"> REF _Clause_c7_11_2 \r \h </w:instrText>
      </w:r>
      <w:r>
        <w:fldChar w:fldCharType="separate"/>
      </w:r>
      <w:r>
        <w:rPr>
          <w:noProof/>
        </w:rPr>
        <w:t xml:space="preserve">7.11.2</w:t>
      </w:r>
      <w:r>
        <w:fldChar w:fldCharType="end"/>
      </w:r>
      <w:r>
        <w:t xml:space="preserve"> decidable:</w:t>
      </w:r>
    </w:p>
    <w:p>
      <w:pPr>
        <w:pStyle w:val="ListBullet"/>
        <w:numPr>
          <w:ilvl w:val="0"/>
          <w:numId w:val="21"/>
        </w:numPr>
      </w:pPr>
      <w:r>
        <w:t xml:space="preserve">The </w:t>
      </w:r>
      <w:r>
        <w:rPr>
          <w:b/>
        </w:rPr>
        <w:t xml:space="preserve">package is canonical</w:t>
      </w:r>
      <w:r>
        <w:t xml:space="preserve">. Serving the </w:t>
      </w:r>
      <w:r>
        <w:rPr>
          <w:rStyle w:val="VARIABLE"/>
        </w:rPr>
        <w:t xml:space="preserve">Package</w:t>
      </w:r>
      <w:r>
        <w:t xml:space="preserve"> artifact alone satisfies the closure for everything it contains; a connector </w:t>
      </w:r>
      <w:r>
        <w:rPr>
          <w:b/>
        </w:rPr>
        <w:t xml:space="preserve">shall not</w:t>
      </w:r>
      <w:r>
        <w:t xml:space="preserve"> treat a package member that is absent as a missing entry, because it can extract it.</w:t>
      </w:r>
    </w:p>
    <w:p>
      <w:pPr>
        <w:pStyle w:val="ListBullet"/>
        <w:numPr>
          <w:ilvl w:val="0"/>
          <w:numId w:val="21"/>
        </w:numPr>
      </w:pPr>
      <w:r>
        <w:t xml:space="preserve">Individually served members are an </w:t>
      </w:r>
      <w:r>
        <w:rPr>
          <w:b/>
        </w:rPr>
        <w:t xml:space="preserve">optimization</w:t>
      </w:r>
      <w:r>
        <w:t xml:space="preserve">, letting a connector fetch one texture without the whole package. When a server serves both, a member's </w:t>
      </w:r>
      <w:r>
        <w:rPr>
          <w:rStyle w:val="VARIABLE"/>
        </w:rPr>
        <w:t xml:space="preserve">Digest</w:t>
      </w:r>
      <w:r>
        <w:t xml:space="preserve"> is over the extracted member bytes, not the package, and the member's bytes </w:t>
      </w:r>
      <w:r>
        <w:rPr>
          <w:b/>
        </w:rPr>
        <w:t xml:space="preserve">shall not</w:t>
      </w:r>
      <w:r>
        <w:t xml:space="preserve"> count a second time towards any </w:t>
      </w:r>
      <w:r>
        <w:rPr>
          <w:rStyle w:val="VARIABLE"/>
        </w:rPr>
        <w:t xml:space="preserve">Size</w:t>
      </w:r>
      <w:r>
        <w:t xml:space="preserve"> the server reports for the package.</w:t>
      </w:r>
    </w:p>
    <w:p>
      <w:pPr>
        <w:pStyle w:val="ListBullet"/>
        <w:numPr>
          <w:ilvl w:val="0"/>
          <w:numId w:val="21"/>
        </w:numPr>
      </w:pPr>
      <w:r>
        <w:t xml:space="preserve">A member served </w:t>
      </w:r>
      <w:r>
        <w:rPr>
          <w:i/>
        </w:rPr>
        <w:t xml:space="preserve">without</w:t>
      </w:r>
      <w:r>
        <w:t xml:space="preserve"> its package is a normal artifact and is subject to the ordinary closure rule.</w:t>
      </w:r>
    </w:p>
    <w:p>
      <w:pPr>
        <w:pStyle w:val="Heading2"/>
      </w:pPr>
      <w:bookmarkStart w:id="521" w:name="_Clause_c7_12"/>
      <w:r>
        <w:t xml:space="preserve">OpenUsdAssetGroupType</w:t>
      </w:r>
      <w:bookmarkEnd w:id="521"/>
    </w:p>
    <w:p>
      <w:pPr>
        <w:pStyle w:val="PARAGRAPH"/>
      </w:pPr>
      <w:r>
        <w:t xml:space="preserve">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pPr>
        <w:pStyle w:val="TABLE-title"/>
        <w:keepNext/>
      </w:pPr>
      <w:bookmarkStart w:id="522" w:name="_Tab_c7_12_tab"/>
      <w:r>
        <w:t xml:space="preserve">Table </w:t>
      </w:r>
      <w:r>
        <w:fldChar w:fldCharType="begin"/>
      </w:r>
      <w:r>
        <w:instrText xml:space="preserve"> SEQ Table \* ARABIC </w:instrText>
      </w:r>
      <w:r>
        <w:fldChar w:fldCharType="separate"/>
      </w:r>
      <w:r>
        <w:rPr>
          <w:noProof/>
        </w:rPr>
        <w:t xml:space="preserve">14</w:t>
      </w:r>
      <w:r>
        <w:fldChar w:fldCharType="end"/>
      </w:r>
      <w:r>
        <w:t xml:space="preserve"> – OpenUsdAssetGroupType definition</w:t>
      </w:r>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2:OpenUsdAssetGroupType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1:GroupType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AssetContainerId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&lt;Asset&gt;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OpenUsdAssetType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OU-ArtifactRegistry</w:t>
            </w:r>
          </w:p>
        </w:tc>
      </w:tr>
    </w:tbl>
    <w:p>
      <w:pPr>
        <w:pStyle w:val="spacer"/>
      </w:pPr>
    </w:p>
    <w:p>
      <w:pPr>
        <w:pStyle w:val="Heading2"/>
      </w:pPr>
      <w:bookmarkStart w:id="523" w:name="_Clause_c7_13"/>
      <w:r>
        <w:t xml:space="preserve">OpenUsdSchemaPluginGroupType</w:t>
      </w:r>
      <w:bookmarkEnd w:id="523"/>
    </w:p>
    <w:p>
      <w:pPr>
        <w:pStyle w:val="PARAGRAPH"/>
      </w:pPr>
      <w:r>
        <w:t xml:space="preserve">Part 2 </w:t>
      </w:r>
      <w:r>
        <w:t xml:space="preserve">§6.7</w:t>
      </w:r>
      <w:r>
        <w:t xml:space="preserve"> lets a vendor introduce new typed prims by subtyping </w:t>
      </w:r>
      <w:r>
        <w:rPr>
          <w:rStyle w:val="VARIABLE"/>
        </w:rPr>
        <w:t xml:space="preserve">UsdTypedType</w:t>
      </w:r>
      <w:r>
        <w:t xml:space="preserve"> in OPC UA. A USD-side client has no way to interpret those prims unless it also has the corresponding </w:t>
      </w:r>
      <w:r>
        <w:rPr>
          <w:b/>
        </w:rPr>
        <w:t xml:space="preserve">USD</w:t>
      </w:r>
      <w:r>
        <w:t xml:space="preserve"> schema. OpenUSD solves this with </w:t>
      </w:r>
      <w:r>
        <w:rPr>
          <w:b/>
        </w:rPr>
        <w:t xml:space="preserve">codeless schemas</w:t>
      </w:r>
      <w:r>
        <w:t xml:space="preserve">, which require exactly two files — a </w:t>
      </w:r>
      <w:r>
        <w:rPr>
          <w:rStyle w:val="VARIABLE"/>
        </w:rPr>
        <w:t xml:space="preserve">plugInfo.json</w:t>
      </w:r>
      <w:r>
        <w:t xml:space="preserve"> manifest and a </w:t>
      </w:r>
      <w:r>
        <w:rPr>
          <w:rStyle w:val="VARIABLE"/>
        </w:rPr>
        <w:t xml:space="preserve">generatedSchema.usda</w:t>
      </w:r>
      <w:r>
        <w:t xml:space="preserve"> — discovered through </w:t>
      </w:r>
      <w:r>
        <w:rPr>
          <w:rStyle w:val="VARIABLE"/>
        </w:rPr>
        <w:t xml:space="preserve">PlugRegistry</w:t>
      </w:r>
      <w:r>
        <w:t xml:space="preserve"> and registered by </w:t>
      </w:r>
      <w:r>
        <w:rPr>
          <w:rStyle w:val="VARIABLE"/>
        </w:rPr>
        <w:t xml:space="preserve">UsdSchemaRegistry</w:t>
      </w:r>
      <w:r>
        <w:t xml:space="preserve"> without any compiled code.</w:t>
      </w:r>
    </w:p>
    <w:p>
      <w:pPr>
        <w:pStyle w:val="PARAGRAPH"/>
      </w:pPr>
      <w:r>
        <w:t xml:space="preserve">A server that materializes vendor prim types </w:t>
      </w:r>
      <w:r>
        <w:rPr>
          <w:b/>
        </w:rPr>
        <w:t xml:space="preserve">should</w:t>
      </w:r>
      <w:r>
        <w:t xml:space="preserve"> therefore serve the matching codeless schema as an </w:t>
      </w:r>
      <w:r>
        <w:rPr>
          <w:rStyle w:val="VARIABLE"/>
        </w:rPr>
        <w:t xml:space="preserve">OpenUsdSchemaPluginGroupType</w:t>
      </w:r>
      <w:r>
        <w:t xml:space="preserve"> group whose </w:t>
      </w:r>
      <w:r>
        <w:rPr>
          <w:rStyle w:val="VARIABLE"/>
        </w:rPr>
        <w:t xml:space="preserve">PluginName</w:t>
      </w:r>
      <w:r>
        <w:t xml:space="preserve"> is the plugin name from the manifest (</w:t>
      </w:r>
      <w:r>
        <w:rPr>
          <w:rStyle w:val="VARIABLE"/>
        </w:rPr>
        <w:t xml:space="preserve">Plugins[].Name</w:t>
      </w:r>
      <w:r>
        <w:t xml:space="preserve">), containing one </w:t>
      </w:r>
      <w:r>
        <w:rPr>
          <w:rStyle w:val="VARIABLE"/>
        </w:rPr>
        <w:t xml:space="preserve">SchemaPlugin</w:t>
      </w:r>
      <w:r>
        <w:t xml:space="preserve"> artifact (the </w:t>
      </w:r>
      <w:r>
        <w:rPr>
          <w:rStyle w:val="VARIABLE"/>
        </w:rPr>
        <w:t xml:space="preserve">plugInfo.json</w:t>
      </w:r>
      <w:r>
        <w:t xml:space="preserve">) and one </w:t>
      </w:r>
      <w:r>
        <w:rPr>
          <w:rStyle w:val="VARIABLE"/>
        </w:rPr>
        <w:t xml:space="preserve">GeneratedSchema</w:t>
      </w:r>
      <w:r>
        <w:t xml:space="preserve"> artifact (the </w:t>
      </w:r>
      <w:r>
        <w:rPr>
          <w:rStyle w:val="VARIABLE"/>
        </w:rPr>
        <w:t xml:space="preserve">generatedSchema.usda</w:t>
      </w:r>
      <w:r>
        <w:t xml:space="preserve">). A server claiming </w:t>
      </w:r>
      <w:r>
        <w:rPr>
          <w:rStyle w:val="VARIABLE"/>
        </w:rPr>
        <w:t xml:space="preserve">OU-SchemaPluginDelivery</w:t>
      </w:r>
      <w:r>
        <w:t xml:space="preserve"> </w:t>
      </w:r>
      <w:r>
        <w:rPr>
          <w:b/>
        </w:rPr>
        <w:t xml:space="preserve">shall</w:t>
      </w:r>
      <w:r>
        <w:t xml:space="preserve"> serve exactly that pair for every vendor prim type it materializes, so the capability is testable rather than advisory.</w:t>
      </w:r>
    </w:p>
    <w:p>
      <w:pPr>
        <w:pStyle w:val="PARAGRAPH"/>
      </w:pPr>
      <w:r>
        <w:t xml:space="preserve">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pPr>
        <w:pStyle w:val="TABLE-title"/>
        <w:keepNext/>
      </w:pPr>
      <w:bookmarkStart w:id="524" w:name="_Tab_c7_13_tab"/>
      <w:r>
        <w:t xml:space="preserve">Table </w:t>
      </w:r>
      <w:r>
        <w:fldChar w:fldCharType="begin"/>
      </w:r>
      <w:r>
        <w:instrText xml:space="preserve"> SEQ Table \* ARABIC </w:instrText>
      </w:r>
      <w:r>
        <w:fldChar w:fldCharType="separate"/>
      </w:r>
      <w:r>
        <w:rPr>
          <w:noProof/>
        </w:rPr>
        <w:t xml:space="preserve">15</w:t>
      </w:r>
      <w:r>
        <w:fldChar w:fldCharType="end"/>
      </w:r>
      <w:r>
        <w:t xml:space="preserve"> – OpenUsdSchemaPluginGroupType definition</w:t>
      </w:r>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2:OpenUsdSchemaPluginGroupType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1:GroupType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PluginName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&lt;Asset&gt;</w:t>
            </w:r>
          </w:p>
        </w:tc>
        <w:tc>
          <w:tcPr>
            <w:tcW w:w="1275" w:type="dxa"/>
            <w:tcBorders>
              <w:top w:val="single" w:sz="4" w:space="0" w:color="auto"/>
              <w:left w:val="single" w:sz="4" w:space="0" w:color="auto"/>
              <w:bottom w:val="single" w:sz="4" w:space="0" w:color="auto"/>
              <w:right w:val="single" w:sz="4" w:space="0" w:color="auto"/>
            </w:tcBorders>
          </w:tcPr>
          <w:p>
            <w:pPr>
              <w:pStyle w:val="TableText"/>
            </w:pP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OpenUsdAssetType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OU-SchemaPluginDelivery</w:t>
            </w:r>
          </w:p>
        </w:tc>
      </w:tr>
    </w:tbl>
    <w:p>
      <w:pPr>
        <w:pStyle w:val="spacer"/>
      </w:pPr>
    </w:p>
    <w:p>
      <w:pPr>
        <w:pStyle w:val="Heading2"/>
      </w:pPr>
      <w:bookmarkStart w:id="525" w:name="_Clause_c7_14"/>
      <w:r>
        <w:t xml:space="preserve">OpenUsdAssetType</w:t>
      </w:r>
      <w:bookmarkEnd w:id="525"/>
    </w:p>
    <w:p>
      <w:pPr>
        <w:pStyle w:val="PARAGRAPH"/>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p>
      <w:pPr>
        <w:pStyle w:val="TABLE-title"/>
        <w:keepNext/>
      </w:pPr>
      <w:bookmarkStart w:id="526" w:name="_Tab_c7_14_tab"/>
      <w:r>
        <w:t xml:space="preserve">Table </w:t>
      </w:r>
      <w:r>
        <w:fldChar w:fldCharType="begin"/>
      </w:r>
      <w:r>
        <w:instrText xml:space="preserve"> SEQ Table \* ARABIC </w:instrText>
      </w:r>
      <w:r>
        <w:fldChar w:fldCharType="separate"/>
      </w:r>
      <w:r>
        <w:rPr>
          <w:noProof/>
        </w:rPr>
        <w:t xml:space="preserve">16</w:t>
      </w:r>
      <w:r>
        <w:fldChar w:fldCharType="end"/>
      </w:r>
      <w:r>
        <w:t xml:space="preserve"> – OpenUsdAssetType definition</w:t>
      </w:r>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2:OpenUsdAssetType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1:ResourceType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AssetIdentifier</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AssetKind</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OpenUsdAssetKindEnum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MediaType</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Digest</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0:ByteString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DigestAlgorithm</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OpenUsdDigestAlgorithmEnum</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DependsOn</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OU-AssetDelivery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OU-ArtifactRegistry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OU-ArtifactFederation</w:t>
            </w:r>
          </w:p>
        </w:tc>
      </w:tr>
    </w:tbl>
    <w:p>
      <w:pPr>
        <w:pStyle w:val="spacer"/>
      </w:pPr>
    </w:p>
    <w:p>
      <w:pPr>
        <w:pStyle w:val="Heading1"/>
      </w:pPr>
      <w:bookmarkStart w:id="527" w:name="_Clause_c8"/>
      <w:r>
        <w:t xml:space="preserve">OPC UA DataTypes</w:t>
      </w:r>
      <w:bookmarkEnd w:id="527"/>
    </w:p>
    <w:p>
      <w:pPr>
        <w:pStyle w:val="Heading2"/>
      </w:pPr>
      <w:bookmarkStart w:id="528" w:name="_Clause_c8_1"/>
      <w:r>
        <w:t xml:space="preserve">OpenUsdRenderTargetKindEnum</w:t>
      </w:r>
      <w:bookmarkEnd w:id="528"/>
    </w:p>
    <w:p>
      <w:pPr>
        <w:pStyle w:val="PARAGRAPH"/>
      </w:pPr>
      <w:r>
        <w:t xml:space="preserve">Classifies the USD render target a live value drives (advisory routing hint).</w:t>
      </w:r>
    </w:p>
    <w:p>
      <w:pPr>
        <w:pStyle w:val="TABLE-title"/>
        <w:keepNext/>
      </w:pPr>
      <w:bookmarkStart w:id="529" w:name="_Tab_c8_1_items_items"/>
      <w:r>
        <w:t xml:space="preserve">Table </w:t>
      </w:r>
      <w:r>
        <w:fldChar w:fldCharType="begin"/>
      </w:r>
      <w:r>
        <w:instrText xml:space="preserve"> SEQ Table \* ARABIC </w:instrText>
      </w:r>
      <w:r>
        <w:fldChar w:fldCharType="separate"/>
      </w:r>
      <w:r>
        <w:rPr>
          <w:noProof/>
        </w:rPr>
        <w:t xml:space="preserve">17</w:t>
      </w:r>
      <w:r>
        <w:fldChar w:fldCharType="end"/>
      </w:r>
      <w:r>
        <w:t xml:space="preserve"> – OpenUsdRenderTargetKindEnum Items</w:t>
      </w:r>
      <w:bookmarkEnd w:id="5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Translation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Rotation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Scale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Transform</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Visibility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DisplayColor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EmissiveColor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Opacity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Custom</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Georeference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9</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geodetic anchor coordinate (latitude/longitude/height) on a USD georeference or globe-anchor schema; see the geospatial rule (Bindings spec §5.8) and Annex D.</w:t>
            </w:r>
          </w:p>
        </w:tc>
      </w:tr>
    </w:tbl>
    <w:p>
      <w:pPr>
        <w:pStyle w:val="spacer"/>
      </w:pPr>
    </w:p>
    <w:p>
      <w:pPr>
        <w:pStyle w:val="TABLE-title"/>
        <w:keepNext/>
      </w:pPr>
      <w:bookmarkStart w:id="530" w:name="_Tab_c8_1_def"/>
      <w:r>
        <w:t xml:space="preserve">Table </w:t>
      </w:r>
      <w:r>
        <w:fldChar w:fldCharType="begin"/>
      </w:r>
      <w:r>
        <w:instrText xml:space="preserve"> SEQ Table \* ARABIC </w:instrText>
      </w:r>
      <w:r>
        <w:fldChar w:fldCharType="separate"/>
      </w:r>
      <w:r>
        <w:rPr>
          <w:noProof/>
        </w:rPr>
        <w:t xml:space="preserve">18</w:t>
      </w:r>
      <w:r>
        <w:fldChar w:fldCharType="end"/>
      </w:r>
      <w:r>
        <w:t xml:space="preserve"> – OpenUsdRenderTargetKindEnum definition</w:t>
      </w:r>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2:OpenUsdRenderTargetKindEnum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0:LocalizedText[10]</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OU-Binding</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OU-Conversion-Transform</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OU-Conversion-Geo</w:t>
            </w:r>
          </w:p>
        </w:tc>
      </w:tr>
    </w:tbl>
    <w:p>
      <w:pPr>
        <w:pStyle w:val="spacer"/>
      </w:pPr>
    </w:p>
    <w:p>
      <w:pPr>
        <w:pStyle w:val="Heading2"/>
      </w:pPr>
      <w:bookmarkStart w:id="531" w:name="_Clause_c8_2"/>
      <w:r>
        <w:t xml:space="preserve">OpenUsdBadQualityActionEnum</w:t>
      </w:r>
      <w:bookmarkEnd w:id="531"/>
    </w:p>
    <w:p>
      <w:pPr>
        <w:pStyle w:val="PARAGRAPH"/>
      </w:pPr>
      <w:r>
        <w:t xml:space="preserve">What the connector does with a non-Good source value.</w:t>
      </w:r>
    </w:p>
    <w:p>
      <w:pPr>
        <w:pStyle w:val="TABLE-title"/>
        <w:keepNext/>
      </w:pPr>
      <w:bookmarkStart w:id="532" w:name="_Tab_c8_2_items_items"/>
      <w:r>
        <w:t xml:space="preserve">Table </w:t>
      </w:r>
      <w:r>
        <w:fldChar w:fldCharType="begin"/>
      </w:r>
      <w:r>
        <w:instrText xml:space="preserve"> SEQ Table \* ARABIC </w:instrText>
      </w:r>
      <w:r>
        <w:fldChar w:fldCharType="separate"/>
      </w:r>
      <w:r>
        <w:rPr>
          <w:noProof/>
        </w:rPr>
        <w:t xml:space="preserve">19</w:t>
      </w:r>
      <w:r>
        <w:fldChar w:fldCharType="end"/>
      </w:r>
      <w:r>
        <w:t xml:space="preserve"> – OpenUsdBadQualityActionEnum Items</w:t>
      </w:r>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Skip</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Do not update the target.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HoldLast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Keep the last Good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ClearOpinion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Remove the authored opinion (reveal a weaker layer).</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Fallback</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Author a configured fallback value.</w:t>
            </w:r>
          </w:p>
        </w:tc>
      </w:tr>
    </w:tbl>
    <w:p>
      <w:pPr>
        <w:pStyle w:val="spacer"/>
      </w:pPr>
    </w:p>
    <w:p>
      <w:pPr>
        <w:pStyle w:val="TABLE-title"/>
        <w:keepNext/>
      </w:pPr>
      <w:bookmarkStart w:id="533" w:name="_Tab_c8_2_def"/>
      <w:r>
        <w:t xml:space="preserve">Table </w:t>
      </w:r>
      <w:r>
        <w:fldChar w:fldCharType="begin"/>
      </w:r>
      <w:r>
        <w:instrText xml:space="preserve"> SEQ Table \* ARABIC </w:instrText>
      </w:r>
      <w:r>
        <w:fldChar w:fldCharType="separate"/>
      </w:r>
      <w:r>
        <w:rPr>
          <w:noProof/>
        </w:rPr>
        <w:t xml:space="preserve">20</w:t>
      </w:r>
      <w:r>
        <w:fldChar w:fldCharType="end"/>
      </w:r>
      <w:r>
        <w:t xml:space="preserve"> – OpenUsdBadQualityActionEnum definition</w:t>
      </w:r>
      <w:bookmarkEnd w:id="5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2:OpenUsdBadQualityActionEnum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OU-Quality</w:t>
            </w:r>
          </w:p>
        </w:tc>
      </w:tr>
    </w:tbl>
    <w:p>
      <w:pPr>
        <w:pStyle w:val="spacer"/>
      </w:pPr>
    </w:p>
    <w:p>
      <w:pPr>
        <w:pStyle w:val="Heading2"/>
      </w:pPr>
      <w:bookmarkStart w:id="534" w:name="_Clause_c8_3"/>
      <w:r>
        <w:t xml:space="preserve">OpenUsdBindingStateEnum</w:t>
      </w:r>
      <w:bookmarkEnd w:id="534"/>
    </w:p>
    <w:p>
      <w:pPr>
        <w:pStyle w:val="PARAGRAPH"/>
      </w:pPr>
      <w:r>
        <w:t xml:space="preserve">Runtime lifecycle state of a live binding, exposed for diagnostics.</w:t>
      </w:r>
    </w:p>
    <w:p>
      <w:pPr>
        <w:pStyle w:val="TABLE-title"/>
        <w:keepNext/>
      </w:pPr>
      <w:bookmarkStart w:id="535" w:name="_Tab_c8_3_items_items"/>
      <w:r>
        <w:t xml:space="preserve">Table </w:t>
      </w:r>
      <w:r>
        <w:fldChar w:fldCharType="begin"/>
      </w:r>
      <w:r>
        <w:instrText xml:space="preserve"> SEQ Table \* ARABIC </w:instrText>
      </w:r>
      <w:r>
        <w:fldChar w:fldCharType="separate"/>
      </w:r>
      <w:r>
        <w:rPr>
          <w:noProof/>
        </w:rPr>
        <w:t xml:space="preserve">21</w:t>
      </w:r>
      <w:r>
        <w:fldChar w:fldCharType="end"/>
      </w:r>
      <w:r>
        <w:t xml:space="preserve"> – OpenUsdBindingStateEnum Items</w:t>
      </w:r>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Disabled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Unresolved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Ready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Active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Degraded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Error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bl>
    <w:p>
      <w:pPr>
        <w:pStyle w:val="spacer"/>
      </w:pPr>
    </w:p>
    <w:p>
      <w:pPr>
        <w:pStyle w:val="TABLE-title"/>
        <w:keepNext/>
      </w:pPr>
      <w:bookmarkStart w:id="536" w:name="_Tab_c8_3_def"/>
      <w:r>
        <w:t xml:space="preserve">Table </w:t>
      </w:r>
      <w:r>
        <w:fldChar w:fldCharType="begin"/>
      </w:r>
      <w:r>
        <w:instrText xml:space="preserve"> SEQ Table \* ARABIC </w:instrText>
      </w:r>
      <w:r>
        <w:fldChar w:fldCharType="separate"/>
      </w:r>
      <w:r>
        <w:rPr>
          <w:noProof/>
        </w:rPr>
        <w:t xml:space="preserve">22</w:t>
      </w:r>
      <w:r>
        <w:fldChar w:fldCharType="end"/>
      </w:r>
      <w:r>
        <w:t xml:space="preserve"> – OpenUsdBindingStateEnum definition</w:t>
      </w:r>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2:OpenUsdBindingStateEnum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OU-Diagnostics</w:t>
            </w:r>
          </w:p>
        </w:tc>
      </w:tr>
    </w:tbl>
    <w:p>
      <w:pPr>
        <w:pStyle w:val="spacer"/>
      </w:pPr>
    </w:p>
    <w:p>
      <w:pPr>
        <w:pStyle w:val="Heading2"/>
      </w:pPr>
      <w:bookmarkStart w:id="537" w:name="_Clause_c8_4"/>
      <w:r>
        <w:t xml:space="preserve">OpenUsdSignalRoleEnum</w:t>
      </w:r>
      <w:bookmarkEnd w:id="537"/>
    </w:p>
    <w:p>
      <w:pPr>
        <w:pStyle w:val="PARAGRAPH"/>
      </w:pPr>
      <w:r>
        <w:t xml:space="preserve">Role of the bound signal, mirroring the asset-definition observable/controllable tagging. Only Controllable signals are eligible for a command binding.</w:t>
      </w:r>
    </w:p>
    <w:p>
      <w:pPr>
        <w:pStyle w:val="TABLE-title"/>
        <w:keepNext/>
      </w:pPr>
      <w:bookmarkStart w:id="538" w:name="_Tab_c8_4_items_items"/>
      <w:r>
        <w:t xml:space="preserve">Table </w:t>
      </w:r>
      <w:r>
        <w:fldChar w:fldCharType="begin"/>
      </w:r>
      <w:r>
        <w:instrText xml:space="preserve"> SEQ Table \* ARABIC </w:instrText>
      </w:r>
      <w:r>
        <w:fldChar w:fldCharType="separate"/>
      </w:r>
      <w:r>
        <w:rPr>
          <w:noProof/>
        </w:rPr>
        <w:t xml:space="preserve">23</w:t>
      </w:r>
      <w:r>
        <w:fldChar w:fldCharType="end"/>
      </w:r>
      <w:r>
        <w:t xml:space="preserve"> – OpenUsdSignalRoleEnum Items</w:t>
      </w:r>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Observable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Read-only; drives USD but cannot be commanded.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Controllable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May be commanded via an opt-in, authorized command binding.</w:t>
            </w:r>
          </w:p>
        </w:tc>
      </w:tr>
    </w:tbl>
    <w:p>
      <w:pPr>
        <w:pStyle w:val="spacer"/>
      </w:pPr>
    </w:p>
    <w:p>
      <w:pPr>
        <w:pStyle w:val="TABLE-title"/>
        <w:keepNext/>
      </w:pPr>
      <w:bookmarkStart w:id="539" w:name="_Tab_c8_4_def"/>
      <w:r>
        <w:t xml:space="preserve">Table </w:t>
      </w:r>
      <w:r>
        <w:fldChar w:fldCharType="begin"/>
      </w:r>
      <w:r>
        <w:instrText xml:space="preserve"> SEQ Table \* ARABIC </w:instrText>
      </w:r>
      <w:r>
        <w:fldChar w:fldCharType="separate"/>
      </w:r>
      <w:r>
        <w:rPr>
          <w:noProof/>
        </w:rPr>
        <w:t xml:space="preserve">24</w:t>
      </w:r>
      <w:r>
        <w:fldChar w:fldCharType="end"/>
      </w:r>
      <w:r>
        <w:t xml:space="preserve"> – OpenUsdSignalRoleEnum definition</w:t>
      </w:r>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2:OpenUsdSignalRoleEnum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OU-SemanticSource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OU-Command</w:t>
            </w:r>
          </w:p>
        </w:tc>
      </w:tr>
    </w:tbl>
    <w:p>
      <w:pPr>
        <w:pStyle w:val="spacer"/>
      </w:pPr>
    </w:p>
    <w:p>
      <w:pPr>
        <w:pStyle w:val="Heading2"/>
      </w:pPr>
      <w:bookmarkStart w:id="540" w:name="_Clause_c8_5"/>
      <w:r>
        <w:t xml:space="preserve">OpenUsdAlarmAspectEnum</w:t>
      </w:r>
      <w:bookmarkEnd w:id="540"/>
    </w:p>
    <w:p>
      <w:pPr>
        <w:pStyle w:val="PARAGRAPH"/>
      </w:pPr>
      <w:r>
        <w:t xml:space="preserve">For OpenUsdAlarmBindingType bindings: which A&amp;C condition aspect drives the target attribute.</w:t>
      </w:r>
    </w:p>
    <w:p>
      <w:pPr>
        <w:pStyle w:val="TABLE-title"/>
        <w:keepNext/>
      </w:pPr>
      <w:bookmarkStart w:id="541" w:name="_Tab_c8_5_items_items"/>
      <w:r>
        <w:t xml:space="preserve">Table </w:t>
      </w:r>
      <w:r>
        <w:fldChar w:fldCharType="begin"/>
      </w:r>
      <w:r>
        <w:instrText xml:space="preserve"> SEQ Table \* ARABIC </w:instrText>
      </w:r>
      <w:r>
        <w:fldChar w:fldCharType="separate"/>
      </w:r>
      <w:r>
        <w:rPr>
          <w:noProof/>
        </w:rPr>
        <w:t xml:space="preserve">25</w:t>
      </w:r>
      <w:r>
        <w:fldChar w:fldCharType="end"/>
      </w:r>
      <w:r>
        <w:t xml:space="preserve"> – OpenUsdAlarmAspectEnum Items</w:t>
      </w:r>
      <w:bookmarkEnd w:id="5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ActiveState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Condition ActiveState (boolean).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Severity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Condition Severity (numeric).</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AckedState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Condition AckedState (boolean).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EnabledState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Condition EnabledState (boolean).</w:t>
            </w:r>
          </w:p>
        </w:tc>
      </w:tr>
    </w:tbl>
    <w:p>
      <w:pPr>
        <w:pStyle w:val="spacer"/>
      </w:pPr>
    </w:p>
    <w:p>
      <w:pPr>
        <w:pStyle w:val="TABLE-title"/>
        <w:keepNext/>
      </w:pPr>
      <w:bookmarkStart w:id="542" w:name="_Tab_c8_5_def"/>
      <w:r>
        <w:t xml:space="preserve">Table </w:t>
      </w:r>
      <w:r>
        <w:fldChar w:fldCharType="begin"/>
      </w:r>
      <w:r>
        <w:instrText xml:space="preserve"> SEQ Table \* ARABIC </w:instrText>
      </w:r>
      <w:r>
        <w:fldChar w:fldCharType="separate"/>
      </w:r>
      <w:r>
        <w:rPr>
          <w:noProof/>
        </w:rPr>
        <w:t xml:space="preserve">26</w:t>
      </w:r>
      <w:r>
        <w:fldChar w:fldCharType="end"/>
      </w:r>
      <w:r>
        <w:t xml:space="preserve"> – OpenUsdAlarmAspectEnum definition</w:t>
      </w:r>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2:OpenUsdAlarmAspectEnum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OU-Alarm</w:t>
            </w:r>
          </w:p>
        </w:tc>
      </w:tr>
    </w:tbl>
    <w:p>
      <w:pPr>
        <w:pStyle w:val="spacer"/>
      </w:pPr>
    </w:p>
    <w:p>
      <w:pPr>
        <w:pStyle w:val="Heading2"/>
      </w:pPr>
      <w:bookmarkStart w:id="543" w:name="_Clause_c8_6"/>
      <w:r>
        <w:t xml:space="preserve">OpenUsdDigestAlgorithmEnum</w:t>
      </w:r>
      <w:bookmarkEnd w:id="543"/>
    </w:p>
    <w:p>
      <w:pPr>
        <w:pStyle w:val="PARAGRAPH"/>
      </w:pPr>
      <w:r>
        <w:t xml:space="preserve">Digest algorithm for OpenUsdStageType.RootLayerDigest (Twin BOM content integrity).</w:t>
      </w:r>
    </w:p>
    <w:p>
      <w:pPr>
        <w:pStyle w:val="TABLE-title"/>
        <w:keepNext/>
      </w:pPr>
      <w:bookmarkStart w:id="544" w:name="_Tab_c8_6_items_items"/>
      <w:r>
        <w:t xml:space="preserve">Table </w:t>
      </w:r>
      <w:r>
        <w:fldChar w:fldCharType="begin"/>
      </w:r>
      <w:r>
        <w:instrText xml:space="preserve"> SEQ Table \* ARABIC </w:instrText>
      </w:r>
      <w:r>
        <w:fldChar w:fldCharType="separate"/>
      </w:r>
      <w:r>
        <w:rPr>
          <w:noProof/>
        </w:rPr>
        <w:t xml:space="preserve">27</w:t>
      </w:r>
      <w:r>
        <w:fldChar w:fldCharType="end"/>
      </w:r>
      <w:r>
        <w:t xml:space="preserve"> – OpenUsdDigestAlgorithmEnum Items</w:t>
      </w:r>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None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Sha256</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SHA-256.</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Sha384</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SHA-384.</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Sha512</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SHA-512.</w:t>
            </w:r>
          </w:p>
        </w:tc>
      </w:tr>
    </w:tbl>
    <w:p>
      <w:pPr>
        <w:pStyle w:val="spacer"/>
      </w:pPr>
    </w:p>
    <w:p>
      <w:pPr>
        <w:pStyle w:val="TABLE-title"/>
        <w:keepNext/>
      </w:pPr>
      <w:bookmarkStart w:id="545" w:name="_Tab_c8_6_def"/>
      <w:r>
        <w:t xml:space="preserve">Table </w:t>
      </w:r>
      <w:r>
        <w:fldChar w:fldCharType="begin"/>
      </w:r>
      <w:r>
        <w:instrText xml:space="preserve"> SEQ Table \* ARABIC </w:instrText>
      </w:r>
      <w:r>
        <w:fldChar w:fldCharType="separate"/>
      </w:r>
      <w:r>
        <w:rPr>
          <w:noProof/>
        </w:rPr>
        <w:t xml:space="preserve">28</w:t>
      </w:r>
      <w:r>
        <w:fldChar w:fldCharType="end"/>
      </w:r>
      <w:r>
        <w:t xml:space="preserve"> – OpenUsdDigestAlgorithmEnum definition</w:t>
      </w:r>
      <w:bookmarkEnd w:id="5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2:OpenUsdDigestAlgorithmEnum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OU-Integrity</w:t>
            </w:r>
          </w:p>
        </w:tc>
      </w:tr>
    </w:tbl>
    <w:p>
      <w:pPr>
        <w:pStyle w:val="spacer"/>
      </w:pPr>
    </w:p>
    <w:p>
      <w:pPr>
        <w:pStyle w:val="Heading2"/>
      </w:pPr>
      <w:bookmarkStart w:id="546" w:name="_Clause_c8_7"/>
      <w:r>
        <w:t xml:space="preserve">OpenUsdCardinalityEnum</w:t>
      </w:r>
      <w:bookmarkEnd w:id="546"/>
    </w:p>
    <w:p>
      <w:pPr>
        <w:pStyle w:val="PARAGRAPH"/>
      </w:pPr>
      <w:r>
        <w:t xml:space="preserve">Cardinality of a component binding: 1:1 or 1..n.</w:t>
      </w:r>
    </w:p>
    <w:p>
      <w:pPr>
        <w:pStyle w:val="TABLE-title"/>
        <w:keepNext/>
      </w:pPr>
      <w:bookmarkStart w:id="547" w:name="_Tab_c8_7_items_items"/>
      <w:r>
        <w:t xml:space="preserve">Table </w:t>
      </w:r>
      <w:r>
        <w:fldChar w:fldCharType="begin"/>
      </w:r>
      <w:r>
        <w:instrText xml:space="preserve"> SEQ Table \* ARABIC </w:instrText>
      </w:r>
      <w:r>
        <w:fldChar w:fldCharType="separate"/>
      </w:r>
      <w:r>
        <w:rPr>
          <w:noProof/>
        </w:rPr>
        <w:t xml:space="preserve">29</w:t>
      </w:r>
      <w:r>
        <w:fldChar w:fldCharType="end"/>
      </w:r>
      <w:r>
        <w:t xml:space="preserve"> – OpenUsdCardinalityEnum Items</w:t>
      </w:r>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One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Exactly one component (1:1).</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Many</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Zero or more components of a type (1..n).</w:t>
            </w:r>
          </w:p>
        </w:tc>
      </w:tr>
    </w:tbl>
    <w:p>
      <w:pPr>
        <w:pStyle w:val="spacer"/>
      </w:pPr>
    </w:p>
    <w:p>
      <w:pPr>
        <w:pStyle w:val="TABLE-title"/>
        <w:keepNext/>
      </w:pPr>
      <w:bookmarkStart w:id="548" w:name="_Tab_c8_7_def"/>
      <w:r>
        <w:t xml:space="preserve">Table </w:t>
      </w:r>
      <w:r>
        <w:fldChar w:fldCharType="begin"/>
      </w:r>
      <w:r>
        <w:instrText xml:space="preserve"> SEQ Table \* ARABIC </w:instrText>
      </w:r>
      <w:r>
        <w:fldChar w:fldCharType="separate"/>
      </w:r>
      <w:r>
        <w:rPr>
          <w:noProof/>
        </w:rPr>
        <w:t xml:space="preserve">30</w:t>
      </w:r>
      <w:r>
        <w:fldChar w:fldCharType="end"/>
      </w:r>
      <w:r>
        <w:t xml:space="preserve"> – OpenUsdCardinalityEnum definition</w:t>
      </w:r>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2:OpenUsdCardinalityEnum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0:LocalizedText[2]</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OU-Composition</w:t>
            </w:r>
          </w:p>
        </w:tc>
      </w:tr>
    </w:tbl>
    <w:p>
      <w:pPr>
        <w:pStyle w:val="spacer"/>
      </w:pPr>
    </w:p>
    <w:p>
      <w:pPr>
        <w:pStyle w:val="Heading2"/>
      </w:pPr>
      <w:bookmarkStart w:id="549" w:name="_Clause_c8_8"/>
      <w:r>
        <w:t xml:space="preserve">OpenUsdCompositionArcEnum</w:t>
      </w:r>
      <w:bookmarkEnd w:id="549"/>
    </w:p>
    <w:p>
      <w:pPr>
        <w:pStyle w:val="PARAGRAPH"/>
      </w:pPr>
      <w:r>
        <w:t xml:space="preserve">USD composition arc used to place a component prim under its parent.</w:t>
      </w:r>
    </w:p>
    <w:p>
      <w:pPr>
        <w:pStyle w:val="TABLE-title"/>
        <w:keepNext/>
      </w:pPr>
      <w:bookmarkStart w:id="550" w:name="_Tab_c8_8_items_items"/>
      <w:r>
        <w:t xml:space="preserve">Table </w:t>
      </w:r>
      <w:r>
        <w:fldChar w:fldCharType="begin"/>
      </w:r>
      <w:r>
        <w:instrText xml:space="preserve"> SEQ Table \* ARABIC </w:instrText>
      </w:r>
      <w:r>
        <w:fldChar w:fldCharType="separate"/>
      </w:r>
      <w:r>
        <w:rPr>
          <w:noProof/>
        </w:rPr>
        <w:t xml:space="preserve">31</w:t>
      </w:r>
      <w:r>
        <w:fldChar w:fldCharType="end"/>
      </w:r>
      <w:r>
        <w:t xml:space="preserve"> – OpenUsdCompositionArcEnum Items</w:t>
      </w:r>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Child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Inline nested prim under the parent prim.</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Reference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Prim that references the component's external asset.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Payload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Prim that payloads (deferred-load) the component's external asset.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Instance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Instanceable reference (instanceable=true), for efficient 1..n.</w:t>
            </w:r>
          </w:p>
        </w:tc>
      </w:tr>
    </w:tbl>
    <w:p>
      <w:pPr>
        <w:pStyle w:val="spacer"/>
      </w:pPr>
    </w:p>
    <w:p>
      <w:pPr>
        <w:pStyle w:val="TABLE-title"/>
        <w:keepNext/>
      </w:pPr>
      <w:bookmarkStart w:id="551" w:name="_Tab_c8_8_def"/>
      <w:r>
        <w:t xml:space="preserve">Table </w:t>
      </w:r>
      <w:r>
        <w:fldChar w:fldCharType="begin"/>
      </w:r>
      <w:r>
        <w:instrText xml:space="preserve"> SEQ Table \* ARABIC </w:instrText>
      </w:r>
      <w:r>
        <w:fldChar w:fldCharType="separate"/>
      </w:r>
      <w:r>
        <w:rPr>
          <w:noProof/>
        </w:rPr>
        <w:t xml:space="preserve">32</w:t>
      </w:r>
      <w:r>
        <w:fldChar w:fldCharType="end"/>
      </w:r>
      <w:r>
        <w:t xml:space="preserve"> – OpenUsdCompositionArcEnum definition</w:t>
      </w:r>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2:OpenUsdCompositionArcEnum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OU-Composition</w:t>
            </w:r>
          </w:p>
        </w:tc>
      </w:tr>
    </w:tbl>
    <w:p>
      <w:pPr>
        <w:pStyle w:val="spacer"/>
      </w:pPr>
    </w:p>
    <w:p>
      <w:pPr>
        <w:pStyle w:val="Heading2"/>
      </w:pPr>
      <w:bookmarkStart w:id="552" w:name="_Clause_c8_9"/>
      <w:r>
        <w:t xml:space="preserve">OpenUsdAssetKindEnum</w:t>
      </w:r>
      <w:bookmarkEnd w:id="552"/>
    </w:p>
    <w:p>
      <w:pPr>
        <w:pStyle w:val="PARAGRAPH"/>
      </w:pPr>
      <w:r>
        <w:t xml:space="preserve">Role of a served USD artifact within a stage's served layer closure.</w:t>
      </w:r>
    </w:p>
    <w:p>
      <w:pPr>
        <w:pStyle w:val="TABLE-title"/>
        <w:keepNext/>
      </w:pPr>
      <w:bookmarkStart w:id="553" w:name="_Tab_c8_9_items_items"/>
      <w:r>
        <w:t xml:space="preserve">Table </w:t>
      </w:r>
      <w:r>
        <w:fldChar w:fldCharType="begin"/>
      </w:r>
      <w:r>
        <w:instrText xml:space="preserve"> SEQ Table \* ARABIC </w:instrText>
      </w:r>
      <w:r>
        <w:fldChar w:fldCharType="separate"/>
      </w:r>
      <w:r>
        <w:rPr>
          <w:noProof/>
        </w:rPr>
        <w:t xml:space="preserve">33</w:t>
      </w:r>
      <w:r>
        <w:fldChar w:fldCharType="end"/>
      </w:r>
      <w:r>
        <w:t xml:space="preserve"> – OpenUsdAssetKindEnum Items</w:t>
      </w:r>
      <w:bookmarkEnd w:id="5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RootLayer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The stage's root/base layer (exactly one served RootLayer per stage).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SubLayer</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sublayer contributing to the root layer's composition.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Reference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An asset introduced by a reference arc (e.g. a component's asset).</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Payload</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An asset introduced by a payload arc (deferred-loaded).</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Texture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texture / image asset referenced by a material.</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Package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packaged asset bundle (e.g. USDZ) carrying the whole closure.</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MaterialX</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MaterialX document (.mtlx) defining a material/shader network.</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Volume</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volume or geometry cache asset (OpenVDB, Alembic).</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SchemaPlugin</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USD plugin manifest (plugInfo.json) declaring a schema plugin.</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GeneratedSchema</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9</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generatedSchema.usda carrying codeless schema definitions.</w:t>
            </w:r>
          </w:p>
        </w:tc>
      </w:tr>
      <w:tr>
        <w:trPr>
          <w:jc w:val="center"/>
        </w:trPr>
        <w:tc>
          <w:tcPr>
            <w:tcW w:w="2200" w:type="dxa"/>
            <w:tcBorders>
              <w:top w:val="single" w:sz="4" w:space="0" w:color="auto"/>
              <w:left w:val="single" w:sz="4" w:space="0" w:color="auto"/>
              <w:bottom w:val="single" w:sz="4" w:space="0" w:color="auto"/>
              <w:right w:val="single" w:sz="4" w:space="0" w:color="auto"/>
            </w:tcBorders>
          </w:tcPr>
          <w:p>
            <w:pPr>
              <w:pStyle w:val="TableText"/>
            </w:pPr>
            <w:r>
              <w:t xml:space="preserve">Manifest</w:t>
            </w:r>
          </w:p>
        </w:tc>
        <w:tc>
          <w:tcPr>
            <w:tcW w:w="1200" w:type="dxa"/>
            <w:tcBorders>
              <w:top w:val="single" w:sz="4" w:space="0" w:color="auto"/>
              <w:left w:val="single" w:sz="4" w:space="0" w:color="auto"/>
              <w:bottom w:val="single" w:sz="4" w:space="0" w:color="auto"/>
              <w:right w:val="single" w:sz="4" w:space="0" w:color="auto"/>
            </w:tcBorders>
          </w:tcPr>
          <w:p>
            <w:pPr>
              <w:pStyle w:val="TableText"/>
            </w:pPr>
            <w:r>
              <w:t xml:space="preserve">10</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An asset manifest or metadata sidecar describing the container.</w:t>
            </w:r>
          </w:p>
        </w:tc>
      </w:tr>
    </w:tbl>
    <w:p>
      <w:pPr>
        <w:pStyle w:val="spacer"/>
      </w:pPr>
    </w:p>
    <w:p>
      <w:pPr>
        <w:pStyle w:val="TABLE-title"/>
        <w:keepNext/>
      </w:pPr>
      <w:bookmarkStart w:id="554" w:name="_Tab_c8_9_def"/>
      <w:r>
        <w:t xml:space="preserve">Table </w:t>
      </w:r>
      <w:r>
        <w:fldChar w:fldCharType="begin"/>
      </w:r>
      <w:r>
        <w:instrText xml:space="preserve"> SEQ Table \* ARABIC </w:instrText>
      </w:r>
      <w:r>
        <w:fldChar w:fldCharType="separate"/>
      </w:r>
      <w:r>
        <w:rPr>
          <w:noProof/>
        </w:rPr>
        <w:t xml:space="preserve">34</w:t>
      </w:r>
      <w:r>
        <w:fldChar w:fldCharType="end"/>
      </w:r>
      <w:r>
        <w:t xml:space="preserve"> – OpenUsdAssetKindEnum definition</w:t>
      </w:r>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pPr>
              <w:pStyle w:val="TableText"/>
            </w:pPr>
            <w:r>
              <w:t xml:space="preserve">2:OpenUsdAssetKindEnum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pPr>
              <w:pStyle w:val="TableText"/>
            </w:pPr>
            <w:r>
              <w:t xml:space="preserve">0:LocalizedText[11]</w:t>
            </w:r>
          </w:p>
        </w:tc>
        <w:tc>
          <w:tcPr>
            <w:tcW w:w="1843" w:type="dxa"/>
            <w:tcBorders>
              <w:top w:val="single" w:sz="4" w:space="0" w:color="auto"/>
              <w:left w:val="single" w:sz="4" w:space="0" w:color="auto"/>
              <w:bottom w:val="single" w:sz="4" w:space="0" w:color="auto"/>
              <w:right w:val="single" w:sz="4" w:space="0" w:color="auto"/>
            </w:tcBorders>
          </w:tcPr>
          <w:p>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pPr>
              <w:pStyle w:val="TableText"/>
            </w:pPr>
            <w:r>
              <w:t xml:space="preserve">OU-AssetDelivery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pPr>
              <w:pStyle w:val="TableText"/>
            </w:pPr>
            <w:r>
              <w:t xml:space="preserve">OU-SchemaPluginDelivery</w:t>
            </w:r>
          </w:p>
        </w:tc>
      </w:tr>
    </w:tbl>
    <w:p>
      <w:pPr>
        <w:pStyle w:val="spacer"/>
      </w:pPr>
    </w:p>
    <w:p w14:paraId="3BC1B8B8" w14:textId="12BB010D" w:rsidR="005E69BD" w:rsidRPr="00EC120D" w:rsidRDefault="006235B1" w:rsidP="002E7A22">
      <w:pPr>
        <w:pStyle w:val="Heading1"/>
        <w:pageBreakBefore/>
      </w:pPr>
      <w:bookmarkStart w:id="555" w:name="_Clause_c9"/>
      <w:bookmarkStart w:id="589"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589"/>
      <w:bookmarkEnd w:id="555"/>
    </w:p>
    <w:p>
      <w:pPr>
        <w:pStyle w:val="PARAGRAPH"/>
      </w:pPr>
      <w:r>
        <w:t xml:space="preserve">Conformance Units (each a normative, testable requirement):</w:t>
      </w:r>
    </w:p>
    <w:p>
      <w:pPr>
        <w:pStyle w:val="ListBullet"/>
        <w:numPr>
          <w:ilvl w:val="0"/>
          <w:numId w:val="21"/>
        </w:numPr>
      </w:pPr>
      <w:r>
        <w:rPr>
          <w:b/>
        </w:rPr>
        <w:t xml:space="preserve">OU-Namespace</w:t>
      </w:r>
      <w:r>
        <w:t xml:space="preserve"> — declares the OpenUSD namespace and RequiredModel.</w:t>
      </w:r>
    </w:p>
    <w:p>
      <w:pPr>
        <w:pStyle w:val="ListBullet"/>
        <w:numPr>
          <w:ilvl w:val="0"/>
          <w:numId w:val="21"/>
        </w:numPr>
      </w:pPr>
      <w:r>
        <w:rPr>
          <w:b/>
        </w:rPr>
        <w:t xml:space="preserve">OU-Discovery</w:t>
      </w:r>
      <w:r>
        <w:t xml:space="preserve"> — exposes the mandatory </w:t>
      </w:r>
      <w:r>
        <w:rPr>
          <w:rStyle w:val="VARIABLE"/>
        </w:rPr>
        <w:t xml:space="preserve">Server/OpenUSD</w:t>
      </w:r>
      <w:r>
        <w:t xml:space="preserve"> root with </w:t>
      </w:r>
      <w:r>
        <w:rPr>
          <w:rStyle w:val="VARIABLE"/>
        </w:rPr>
        <w:t xml:space="preserve">Stages</w:t>
      </w:r>
      <w:r>
        <w:t xml:space="preserve"> and </w:t>
      </w:r>
      <w:r>
        <w:rPr>
          <w:rStyle w:val="VARIABLE"/>
        </w:rPr>
        <w:t xml:space="preserve">Representations</w:t>
      </w:r>
      <w:r>
        <w:t xml:space="preserve">.</w:t>
      </w:r>
    </w:p>
    <w:p>
      <w:pPr>
        <w:pStyle w:val="ListBullet"/>
        <w:numPr>
          <w:ilvl w:val="0"/>
          <w:numId w:val="21"/>
        </w:numPr>
      </w:pPr>
      <w:r>
        <w:rPr>
          <w:b/>
        </w:rPr>
        <w:t xml:space="preserve">OU-Stage</w:t>
      </w:r>
      <w:r>
        <w:t xml:space="preserve"> — </w:t>
      </w:r>
      <w:r>
        <w:rPr>
          <w:rStyle w:val="VARIABLE"/>
        </w:rPr>
        <w:t xml:space="preserve">OpenUsdStageType</w:t>
      </w:r>
      <w:r>
        <w:t xml:space="preserve"> with a valid </w:t>
      </w:r>
      <w:r>
        <w:rPr>
          <w:rStyle w:val="VARIABLE"/>
        </w:rPr>
        <w:t xml:space="preserve">RootLayerIdentifier</w:t>
      </w:r>
      <w:r>
        <w:t xml:space="preserve">.</w:t>
      </w:r>
    </w:p>
    <w:p>
      <w:pPr>
        <w:pStyle w:val="ListBullet"/>
        <w:numPr>
          <w:ilvl w:val="0"/>
          <w:numId w:val="21"/>
        </w:numPr>
      </w:pPr>
      <w:r>
        <w:rPr>
          <w:b/>
        </w:rPr>
        <w:t xml:space="preserve">OU-Representation</w:t>
      </w:r>
      <w:r>
        <w:t xml:space="preserve"> — a valid </w:t>
      </w:r>
      <w:r>
        <w:rPr>
          <w:rStyle w:val="VARIABLE"/>
        </w:rPr>
        <w:t xml:space="preserve">OpenUsdRepresentation</w:t>
      </w:r>
      <w:r>
        <w:t xml:space="preserve"> AddIn (Stage NodeId resolves; canonical absolute </w:t>
      </w:r>
      <w:r>
        <w:rPr>
          <w:rStyle w:val="VARIABLE"/>
        </w:rPr>
        <w:t xml:space="preserve">PrimPath</w:t>
      </w:r>
      <w:r>
        <w:t xml:space="preserve">).</w:t>
      </w:r>
    </w:p>
    <w:p>
      <w:pPr>
        <w:pStyle w:val="ListBullet"/>
        <w:numPr>
          <w:ilvl w:val="0"/>
          <w:numId w:val="21"/>
        </w:numPr>
      </w:pPr>
      <w:r>
        <w:rPr>
          <w:b/>
        </w:rPr>
        <w:t xml:space="preserve">OU-RepresentationRegistry</w:t>
      </w:r>
      <w:r>
        <w:t xml:space="preserve"> — every representation is Organized from </w:t>
      </w:r>
      <w:r>
        <w:rPr>
          <w:rStyle w:val="VARIABLE"/>
        </w:rPr>
        <w:t xml:space="preserve">Representations</w:t>
      </w:r>
      <w:r>
        <w:t xml:space="preserve">.</w:t>
      </w:r>
    </w:p>
    <w:p>
      <w:pPr>
        <w:pStyle w:val="ListBullet"/>
        <w:numPr>
          <w:ilvl w:val="0"/>
          <w:numId w:val="21"/>
        </w:numPr>
      </w:pPr>
      <w:r>
        <w:rPr>
          <w:b/>
        </w:rPr>
        <w:t xml:space="preserve">OU-Binding</w:t>
      </w:r>
      <w:r>
        <w:t xml:space="preserve"> — a concrete </w:t>
      </w:r>
      <w:r>
        <w:rPr>
          <w:rStyle w:val="VARIABLE"/>
        </w:rPr>
        <w:t xml:space="preserve">OpenUsdLiveBindingType</w:t>
      </w:r>
      <w:r>
        <w:t xml:space="preserve"> subtype (the baseline </w:t>
      </w:r>
      <w:r>
        <w:rPr>
          <w:rStyle w:val="VARIABLE"/>
        </w:rPr>
        <w:t xml:space="preserve">OpenUsdValueChangeBindingType</w:t>
      </w:r>
      <w:r>
        <w:t xml:space="preserve">) with a resolvable source and target and a stable </w:t>
      </w:r>
      <w:r>
        <w:rPr>
          <w:rStyle w:val="VARIABLE"/>
        </w:rPr>
        <w:t xml:space="preserve">BindingDefinitionId</w:t>
      </w:r>
      <w:r>
        <w:t xml:space="preserve">.</w:t>
      </w:r>
    </w:p>
    <w:p>
      <w:pPr>
        <w:pStyle w:val="ListBullet"/>
        <w:numPr>
          <w:ilvl w:val="0"/>
          <w:numId w:val="21"/>
        </w:numPr>
      </w:pPr>
      <w:r>
        <w:rPr>
          <w:b/>
        </w:rPr>
        <w:t xml:space="preserve">OU-Conversion-Scalar</w:t>
      </w:r>
      <w:r>
        <w:t xml:space="preserve"> — scalar unit/scale/offset conversion.</w:t>
      </w:r>
    </w:p>
    <w:p>
      <w:pPr>
        <w:pStyle w:val="ListBullet"/>
        <w:numPr>
          <w:ilvl w:val="0"/>
          <w:numId w:val="21"/>
        </w:numPr>
      </w:pPr>
      <w:r>
        <w:rPr>
          <w:b/>
        </w:rPr>
        <w:t xml:space="preserve">OU-Conversion-Transform</w:t>
      </w:r>
      <w:r>
        <w:t xml:space="preserve"> — RSL transform profile (angles, units, up-axis).</w:t>
      </w:r>
    </w:p>
    <w:p>
      <w:pPr>
        <w:pStyle w:val="ListBullet"/>
        <w:numPr>
          <w:ilvl w:val="0"/>
          <w:numId w:val="21"/>
        </w:numPr>
      </w:pPr>
      <w:r>
        <w:rPr>
          <w:b/>
        </w:rPr>
        <w:t xml:space="preserve">OU-Conversion-Geo</w:t>
      </w:r>
      <w:r>
        <w:t xml:space="preserve"> — geospatial/georeference target conversion: a binding whose </w:t>
      </w:r>
      <w:r>
        <w:rPr>
          <w:rStyle w:val="VARIABLE"/>
        </w:rPr>
        <w:t xml:space="preserve">RenderTargetKind = Georeference</w:t>
      </w:r>
      <w:r>
        <w:t xml:space="preserve"> maps an OPC UA/GPOS </w:t>
      </w:r>
      <w:r>
        <w:rPr>
          <w:rStyle w:val="VARIABLE"/>
        </w:rPr>
        <w:t xml:space="preserve">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Pr>
          <w:noProof/>
        </w:rPr>
        <w:t xml:space="preserve">7.4.2</w:t>
      </w:r>
      <w:r>
        <w:fldChar w:fldCharType="end"/>
      </w:r>
      <w:r>
        <w:t xml:space="preserve"> and Annex F.</w:t>
      </w:r>
    </w:p>
    <w:p>
      <w:pPr>
        <w:pStyle w:val="ListBullet"/>
        <w:numPr>
          <w:ilvl w:val="0"/>
          <w:numId w:val="21"/>
        </w:numPr>
      </w:pPr>
      <w:r>
        <w:rPr>
          <w:b/>
        </w:rPr>
        <w:t xml:space="preserve">OU-Quality</w:t>
      </w:r>
      <w:r>
        <w:t xml:space="preserve"> — Good-default handling and </w:t>
      </w:r>
      <w:r>
        <w:rPr>
          <w:rStyle w:val="VARIABLE"/>
        </w:rPr>
        <w:t xml:space="preserve">BadQualityAction</w:t>
      </w:r>
      <w:r>
        <w:t xml:space="preserve">.</w:t>
      </w:r>
    </w:p>
    <w:p>
      <w:pPr>
        <w:pStyle w:val="ListBullet"/>
        <w:numPr>
          <w:ilvl w:val="0"/>
          <w:numId w:val="21"/>
        </w:numPr>
      </w:pPr>
      <w:r>
        <w:rPr>
          <w:b/>
        </w:rPr>
        <w:t xml:space="preserve">OU-Diagnostics</w:t>
      </w:r>
      <w:r>
        <w:t xml:space="preserve"> — </w:t>
      </w:r>
      <w:r>
        <w:rPr>
          <w:rStyle w:val="VARIABLE"/>
        </w:rPr>
        <w:t xml:space="preserve">State</w:t>
      </w:r>
      <w:r>
        <w:t xml:space="preserve"> / </w:t>
      </w:r>
      <w:r>
        <w:rPr>
          <w:rStyle w:val="VARIABLE"/>
        </w:rPr>
        <w:t xml:space="preserve">LastError</w:t>
      </w:r>
      <w:r>
        <w:t xml:space="preserve"> populated at runtime.</w:t>
      </w:r>
    </w:p>
    <w:p>
      <w:pPr>
        <w:pStyle w:val="ListBullet"/>
        <w:numPr>
          <w:ilvl w:val="0"/>
          <w:numId w:val="21"/>
        </w:numPr>
      </w:pPr>
      <w:r>
        <w:rPr>
          <w:b/>
        </w:rPr>
        <w:t xml:space="preserve">OU-SemanticSource</w:t>
      </w:r>
      <w:r>
        <w:t xml:space="preserve"> — a binding whose source resolves via </w:t>
      </w:r>
      <w:r>
        <w:rPr>
          <w:rStyle w:val="VARIABLE"/>
        </w:rPr>
        <w:t xml:space="preserve">SourceSemanticId</w:t>
      </w:r>
      <w:r>
        <w:t xml:space="preserve"> (ECLASS / IEC CDD).</w:t>
      </w:r>
    </w:p>
    <w:p>
      <w:pPr>
        <w:pStyle w:val="ListBullet"/>
        <w:numPr>
          <w:ilvl w:val="0"/>
          <w:numId w:val="21"/>
        </w:numPr>
      </w:pPr>
      <w:r>
        <w:rPr>
          <w:b/>
        </w:rPr>
        <w:t xml:space="preserve">OU-Alarm</w:t>
      </w:r>
      <w:r>
        <w:t xml:space="preserve"> — an </w:t>
      </w:r>
      <w:r>
        <w:rPr>
          <w:rStyle w:val="VARIABLE"/>
        </w:rPr>
        <w:t xml:space="preserve">OpenUsdAlarmBindingType</w:t>
      </w:r>
      <w:r>
        <w:t xml:space="preserve"> binding driving a target from an A&amp;C condition aspect.</w:t>
      </w:r>
    </w:p>
    <w:p>
      <w:pPr>
        <w:pStyle w:val="ListBullet"/>
        <w:numPr>
          <w:ilvl w:val="0"/>
          <w:numId w:val="21"/>
        </w:numPr>
      </w:pPr>
      <w:r>
        <w:rPr>
          <w:b/>
        </w:rPr>
        <w:t xml:space="preserve">OU-History</w:t>
      </w:r>
      <w:r>
        <w:t xml:space="preserve"> — an </w:t>
      </w:r>
      <w:r>
        <w:rPr>
          <w:rStyle w:val="VARIABLE"/>
        </w:rPr>
        <w:t xml:space="preserve">OpenUsdHistoryBindingType</w:t>
      </w:r>
      <w:r>
        <w:t xml:space="preserve"> binding authoring USD time samples from </w:t>
      </w:r>
      <w:r>
        <w:rPr>
          <w:rStyle w:val="VARIABLE"/>
        </w:rPr>
        <w:t xml:space="preserve">HistoryRead</w:t>
      </w:r>
      <w:r>
        <w:t xml:space="preserve">.</w:t>
      </w:r>
    </w:p>
    <w:p>
      <w:pPr>
        <w:pStyle w:val="ListBullet"/>
        <w:numPr>
          <w:ilvl w:val="0"/>
          <w:numId w:val="21"/>
        </w:numPr>
      </w:pPr>
      <w:r>
        <w:rPr>
          <w:b/>
        </w:rPr>
        <w:t xml:space="preserve">OU-Command</w:t>
      </w:r>
      <w:r>
        <w:t xml:space="preserve"> — an opt-in, authorized, single-writer </w:t>
      </w:r>
      <w:r>
        <w:rPr>
          <w:rStyle w:val="VARIABLE"/>
        </w:rPr>
        <w:t xml:space="preserve">OpenUsdCommandBindingType</w:t>
      </w:r>
      <w:r>
        <w:t xml:space="preserve"> binding (Controllable role; fail-closed).</w:t>
      </w:r>
    </w:p>
    <w:p>
      <w:pPr>
        <w:pStyle w:val="ListBullet"/>
        <w:numPr>
          <w:ilvl w:val="0"/>
          <w:numId w:val="21"/>
        </w:numPr>
      </w:pPr>
      <w:r>
        <w:rPr>
          <w:b/>
        </w:rPr>
        <w:t xml:space="preserve">OU-Integrity</w:t>
      </w:r>
      <w:r>
        <w:t xml:space="preserve"> — </w:t>
      </w:r>
      <w:r>
        <w:rPr>
          <w:rStyle w:val="VARIABLE"/>
        </w:rPr>
        <w:t xml:space="preserve">OpenUsdStageType</w:t>
      </w:r>
      <w:r>
        <w:t xml:space="preserve"> with a verified </w:t>
      </w:r>
      <w:r>
        <w:rPr>
          <w:rStyle w:val="VARIABLE"/>
        </w:rPr>
        <w:t xml:space="preserve">RootLayerDigest</w:t>
      </w:r>
      <w:r>
        <w:t xml:space="preserve">.</w:t>
      </w:r>
    </w:p>
    <w:p>
      <w:pPr>
        <w:pStyle w:val="ListBullet"/>
        <w:numPr>
          <w:ilvl w:val="0"/>
          <w:numId w:val="21"/>
        </w:numPr>
      </w:pPr>
      <w:r>
        <w:rPr>
          <w:b/>
        </w:rPr>
        <w:t xml:space="preserve">OU-Composition</w:t>
      </w:r>
      <w:r>
        <w:t xml:space="preserve"> — an </w:t>
      </w:r>
      <w:r>
        <w:rPr>
          <w:rStyle w:val="VARIABLE"/>
        </w:rPr>
        <w:t xml:space="preserve">OpenUsdComponentBindingType</w:t>
      </w:r>
      <w:r>
        <w:t xml:space="preserve"> composing a component Object into the parent prim (</w:t>
      </w:r>
      <w:r>
        <w:rPr>
          <w:rStyle w:val="VARIABLE"/>
        </w:rPr>
        <w:t xml:space="preserve">One</w:t>
      </w:r>
      <w:r>
        <w:t xml:space="preserve"> and </w:t>
      </w:r>
      <w:r>
        <w:rPr>
          <w:rStyle w:val="VARIABLE"/>
        </w:rPr>
        <w:t xml:space="preserve">Many</w:t>
      </w:r>
      <w:r>
        <w:t xml:space="preserve">, with a valid </w:t>
      </w:r>
      <w:r>
        <w:rPr>
          <w:rStyle w:val="VARIABLE"/>
        </w:rPr>
        <w:t xml:space="preserve">CompositionArc</w:t>
      </w:r>
      <w:r>
        <w:t xml:space="preserve">).</w:t>
      </w:r>
    </w:p>
    <w:p>
      <w:pPr>
        <w:pStyle w:val="ListBullet"/>
        <w:numPr>
          <w:ilvl w:val="0"/>
          <w:numId w:val="21"/>
        </w:numPr>
      </w:pPr>
      <w:r>
        <w:rPr>
          <w:b/>
        </w:rPr>
        <w:t xml:space="preserve">OU-DynamicComposition</w:t>
      </w:r>
      <w:r>
        <w:t xml:space="preserve"> — a </w:t>
      </w:r>
      <w:r>
        <w:rPr>
          <w:rStyle w:val="VARIABLE"/>
        </w:rPr>
        <w:t xml:space="preserve">Dynamic</w:t>
      </w:r>
      <w:r>
        <w:t xml:space="preserve"> component binding reconciled on </w:t>
      </w:r>
      <w:r>
        <w:rPr>
          <w:rStyle w:val="VARIABLE"/>
        </w:rPr>
        <w:t xml:space="preserve">GeneralModelChangeEventType</w:t>
      </w:r>
      <w:r>
        <w:t xml:space="preserve"> / </w:t>
      </w:r>
      <w:r>
        <w:rPr>
          <w:rStyle w:val="VARIABLE"/>
        </w:rPr>
        <w:t xml:space="preserve">SemanticChangeEventType</w:t>
      </w:r>
      <w:r>
        <w:t xml:space="preserve">.</w:t>
      </w:r>
    </w:p>
    <w:p>
      <w:pPr>
        <w:pStyle w:val="ListBullet"/>
        <w:numPr>
          <w:ilvl w:val="0"/>
          <w:numId w:val="21"/>
        </w:numPr>
      </w:pPr>
      <w:r>
        <w:rPr>
          <w:b/>
        </w:rPr>
        <w:t xml:space="preserve">OU-CrossServerComposition</w:t>
      </w:r>
      <w:r>
        <w:t xml:space="preserve"> — a component binding resolved by federation to </w:t>
      </w:r>
      <w:r>
        <w:rPr>
          <w:rStyle w:val="VARIABLE"/>
        </w:rPr>
        <w:t xml:space="preserve">ComponentServerUri</w:t>
      </w:r>
      <w:r>
        <w:t xml:space="preserve"> / </w:t>
      </w:r>
      <w:r>
        <w:rPr>
          <w:rStyle w:val="VARIABLE"/>
        </w:rPr>
        <w:t xml:space="preserve">ComponentEndpointUrl</w:t>
      </w:r>
      <w:r>
        <w:t xml:space="preserve">.</w:t>
      </w:r>
    </w:p>
    <w:p>
      <w:pPr>
        <w:pStyle w:val="ListBullet"/>
        <w:numPr>
          <w:ilvl w:val="0"/>
          <w:numId w:val="21"/>
        </w:numPr>
      </w:pPr>
      <w:r>
        <w:rPr>
          <w:b/>
        </w:rPr>
        <w:t xml:space="preserve">OU-AssetDelivery</w:t>
      </w:r>
      <w:r>
        <w:t xml:space="preserve"> — a server serves the stage's complete USD asset closure as </w:t>
      </w:r>
      <w:r>
        <w:rPr>
          <w:rStyle w:val="VARIABLE"/>
        </w:rPr>
        <w:t xml:space="preserve">OpenUsdAssetType</w:t>
      </w:r>
      <w:r>
        <w:t xml:space="preserve"> nodes with read-only Part 5 </w:t>
      </w:r>
      <w:r>
        <w:rPr>
          <w:rStyle w:val="VARIABLE"/>
        </w:rPr>
        <w:t xml:space="preserve">FileType</w:t>
      </w:r>
      <w:r>
        <w:t xml:space="preserve"> streams and per-layer digests; a connector fetches, verifies, caches by </w:t>
      </w:r>
      <w:r>
        <w:rPr>
          <w:rStyle w:val="VARIABLE"/>
        </w:rPr>
        <w:t xml:space="preserve">AssetIdentifier</w:t>
      </w:r>
      <w:r>
        <w:t xml:space="preserve">, and composes a self-contained local stage.</w:t>
      </w:r>
    </w:p>
    <w:p>
      <w:pPr>
        <w:pStyle w:val="ListBullet"/>
        <w:numPr>
          <w:ilvl w:val="0"/>
          <w:numId w:val="21"/>
        </w:numPr>
      </w:pPr>
      <w:r>
        <w:rPr>
          <w:b/>
        </w:rPr>
        <w:t xml:space="preserve">OU-ArtifactRegistry</w:t>
      </w:r>
      <w:r>
        <w:t xml:space="preserve"> — the served artifacts are exposed as the xRegistry artifact registry of </w:t>
      </w:r>
      <w:r>
        <w:t xml:space="preserve">§7.11</w:t>
      </w:r>
      <w:r>
        <w:t xml:space="preserve">: an </w:t>
      </w:r>
      <w:r>
        <w:rPr>
          <w:rStyle w:val="VARIABLE"/>
        </w:rPr>
        <w:t xml:space="preserve">OpenUsdArtifactRegistryType</w:t>
      </w:r>
      <w:r>
        <w:t xml:space="preserve"> at </w:t>
      </w:r>
      <w:r>
        <w:rPr>
          <w:rStyle w:val="VARIABLE"/>
        </w:rPr>
        <w:t xml:space="preserve">Server/OpenUSD/Artifacts</w:t>
      </w:r>
      <w:r>
        <w:t xml:space="preserve">, artifacts grouped per asset container, each artifact's </w:t>
      </w:r>
      <w:r>
        <w:rPr>
          <w:rStyle w:val="VARIABLE"/>
        </w:rPr>
        <w:t xml:space="preserve">ResourceId</w:t>
      </w:r>
      <w:r>
        <w:t xml:space="preserve"> the URL-safe encoding of its </w:t>
      </w:r>
      <w:r>
        <w:rPr>
          <w:rStyle w:val="VARIABLE"/>
        </w:rPr>
        <w:t xml:space="preserve">AssetIdentifier</w:t>
      </w:r>
      <w:r>
        <w:t xml:space="preserve"> so the two are inter-derivable (</w:t>
      </w:r>
      <w:r>
        <w:t xml:space="preserve">§7.11.3</w:t>
      </w:r>
      <w:r>
        <w:t xml:space="preserve">), and a stage's </w:t>
      </w:r>
      <w:r>
        <w:rPr>
          <w:rStyle w:val="VARIABLE"/>
        </w:rPr>
        <w:t xml:space="preserve">Assets</w:t>
      </w:r>
      <w:r>
        <w:t xml:space="preserve"> folder Organizing (not duplicating) them. Implies OU-AssetDelivery.</w:t>
      </w:r>
    </w:p>
    <w:p>
      <w:pPr>
        <w:pStyle w:val="ListBullet"/>
        <w:numPr>
          <w:ilvl w:val="0"/>
          <w:numId w:val="21"/>
        </w:numPr>
      </w:pPr>
      <w:r>
        <w:rPr>
          <w:b/>
        </w:rPr>
        <w:t xml:space="preserve">OU-ArtifactFederation</w:t>
      </w:r>
      <w:r>
        <w:t xml:space="preserve"> — the registry resolves artifacts it does not host through the xRegistry federation links (</w:t>
      </w:r>
      <w:r>
        <w:rPr>
          <w:rStyle w:val="VARIABLE"/>
        </w:rPr>
        <w:t xml:space="preserve">ResourceUrl</w:t>
      </w:r>
      <w:r>
        <w:t xml:space="preserve"> / </w:t>
      </w:r>
      <w:r>
        <w:rPr>
          <w:rStyle w:val="VARIABLE"/>
        </w:rPr>
        <w:t xml:space="preserve">ExternalReference</w:t>
      </w:r>
      <w:r>
        <w:t xml:space="preserve">), so a connector follows the chain to another registry (</w:t>
      </w:r>
      <w:r>
        <w:t xml:space="preserve">§7.11.3</w:t>
      </w:r>
      <w:r>
        <w:t xml:space="preserve">). Requires OU-ArtifactRegistry.</w:t>
      </w:r>
    </w:p>
    <w:p>
      <w:pPr>
        <w:pStyle w:val="ListBullet"/>
        <w:numPr>
          <w:ilvl w:val="0"/>
          <w:numId w:val="21"/>
        </w:numPr>
      </w:pPr>
      <w:r>
        <w:rPr>
          <w:b/>
        </w:rPr>
        <w:t xml:space="preserve">OU-SchemaPluginDelivery</w:t>
      </w:r>
      <w:r>
        <w:t xml:space="preserve"> — the registry serves codeless USD schemas as </w:t>
      </w:r>
      <w:r>
        <w:rPr>
          <w:rStyle w:val="VARIABLE"/>
        </w:rPr>
        <w:t xml:space="preserve">OpenUsdSchemaPluginGroupType</w:t>
      </w:r>
      <w:r>
        <w:t xml:space="preserve"> groups (a </w:t>
      </w:r>
      <w:r>
        <w:rPr>
          <w:rStyle w:val="VARIABLE"/>
        </w:rPr>
        <w:t xml:space="preserve">plugInfo.json</w:t>
      </w:r>
      <w:r>
        <w:t xml:space="preserve"> plus a </w:t>
      </w:r>
      <w:r>
        <w:rPr>
          <w:rStyle w:val="VARIABLE"/>
        </w:rPr>
        <w:t xml:space="preserve">generatedSchema.usda</w:t>
      </w:r>
      <w:r>
        <w:t xml:space="preserve">), so a USD client can register a vendor schema and interpret vendor prim types rather than degrading them (</w:t>
      </w:r>
      <w:r>
        <w:fldChar w:fldCharType="begin"/>
      </w:r>
      <w:r>
        <w:instrText xml:space="preserve"> REF _Clause_c7_13 \r \h </w:instrText>
      </w:r>
      <w:r>
        <w:fldChar w:fldCharType="separate"/>
      </w:r>
      <w:r>
        <w:rPr>
          <w:noProof/>
        </w:rPr>
        <w:t xml:space="preserve">7.13</w:t>
      </w:r>
      <w:r>
        <w:fldChar w:fldCharType="end"/>
      </w:r>
      <w:r>
        <w:t xml:space="preserve">). Requires OU-ArtifactRegistry.</w:t>
      </w:r>
    </w:p>
    <w:p>
      <w:pPr>
        <w:pStyle w:val="PARAGRAPH"/>
      </w:pPr>
      <w:r>
        <w:t xml:space="preserve">Profiles:</w:t>
      </w:r>
    </w:p>
    <w:p>
      <w:pPr>
        <w:pStyle w:val="ListBullet"/>
        <w:numPr>
          <w:ilvl w:val="0"/>
          <w:numId w:val="21"/>
        </w:numPr>
      </w:pPr>
      <w:r>
        <w:rPr>
          <w:b/>
        </w:rPr>
        <w:t xml:space="preserve">OpenUSD Representation Server</w:t>
      </w:r>
      <w:r>
        <w:t xml:space="preserve"> — OU-Namespace, OU-Discovery, OU-Stage, OU-Representation, OU-RepresentationRegistry.</w:t>
      </w:r>
    </w:p>
    <w:p>
      <w:pPr>
        <w:pStyle w:val="ListBullet"/>
        <w:numPr>
          <w:ilvl w:val="0"/>
          <w:numId w:val="21"/>
        </w:numPr>
      </w:pPr>
      <w:r>
        <w:rPr>
          <w:b/>
        </w:rPr>
        <w:t xml:space="preserve">OpenUSD Live Rendering Server</w:t>
      </w:r>
      <w:r>
        <w:t xml:space="preserve"> — the Representation profile + OU-Binding, OU-Conversion-Scalar, OU-Quality (OU-Conversion-Transform, OU-Conversion-Geo, OU-SemanticSource, OU-Integrity, and OU-Diagnostics optional).</w:t>
      </w:r>
    </w:p>
    <w:p>
      <w:pPr>
        <w:pStyle w:val="ListBullet"/>
        <w:numPr>
          <w:ilvl w:val="0"/>
          <w:numId w:val="21"/>
        </w:numPr>
      </w:pPr>
      <w:r>
        <w:rPr>
          <w:b/>
        </w:rPr>
        <w:t xml:space="preserve">OpenUSD Interactive Server</w:t>
      </w:r>
      <w:r>
        <w:t xml:space="preserve"> — the Live Rendering profile + OU-Command (and typically OU-Alarm); adds the authorized, opt-in control path for agent/operator interaction. OU-History is optional.</w:t>
      </w:r>
    </w:p>
    <w:p>
      <w:pPr>
        <w:pStyle w:val="ListBullet"/>
        <w:numPr>
          <w:ilvl w:val="0"/>
          <w:numId w:val="21"/>
        </w:numPr>
      </w:pPr>
      <w:r>
        <w:rPr>
          <w:b/>
        </w:rPr>
        <w:t xml:space="preserve">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pPr>
        <w:pStyle w:val="ListBullet"/>
        <w:numPr>
          <w:ilvl w:val="0"/>
          <w:numId w:val="21"/>
        </w:numPr>
      </w:pPr>
      <w:r>
        <w:rPr>
          <w:b/>
        </w:rPr>
        <w:t xml:space="preserve">OpenUSD Artifact Server</w:t>
      </w:r>
      <w:r>
        <w:t xml:space="preserve"> — OU-Namespace, OU-Discovery, OU-Stage + OU-AssetDelivery and OU-ArtifactRegistry (OU-ArtifactFederation and OU-SchemaPluginDelivery optional). A server whose purpose is to </w:t>
      </w:r>
      <w:r>
        <w:rPr>
          <w:i/>
        </w:rPr>
        <w:t xml:space="preserve">deliver</w:t>
      </w:r>
      <w:r>
        <w:t xml:space="preserve"> USD content: it hosts the artifact registry and is addressable as a USD resolver backend (</w:t>
      </w:r>
      <w:r>
        <w:fldChar w:fldCharType="begin"/>
      </w:r>
      <w:r>
        <w:instrText xml:space="preserve"> REF _Clause_c7_11_3 \r \h </w:instrText>
      </w:r>
      <w:r>
        <w:fldChar w:fldCharType="separate"/>
      </w:r>
      <w:r>
        <w:rPr>
          <w:noProof/>
        </w:rPr>
        <w:t xml:space="preserve">7.11.3</w:t>
      </w:r>
      <w:r>
        <w:fldChar w:fldCharType="end"/>
      </w:r>
      <w:r>
        <w:t xml:space="preserve">), with or without live bindings.</w:t>
      </w:r>
    </w:p>
    <w:p>
      <w:pPr>
        <w:pStyle w:val="PARAGRAPH"/>
      </w:pPr>
      <w:r>
        <w:t xml:space="preserve">Each CU requires a conformance test (Browse the node, Read the properties, and — for bindings — resolve source/target and observe a converted value or, for OU-Command, an authorized write/</w:t>
      </w:r>
      <w:r>
        <w:rPr>
          <w:rStyle w:val="VARIABLE"/>
        </w:rPr>
        <w:t xml:space="preserve">Call</w:t>
      </w:r>
      <w:r>
        <w:t xml:space="preserve">; for OU-AssetDelivery, stream at least the root and one dependent asset, verify their digests, and open the cached composed stage; for OU-ArtifactRegistry, additionally confirm that each artifact's </w:t>
      </w:r>
      <w:r>
        <w:rPr>
          <w:rStyle w:val="VARIABLE"/>
        </w:rPr>
        <w:t xml:space="preserve">ResourceId</w:t>
      </w:r>
      <w:r>
        <w:t xml:space="preserve"> percent-decodes to its </w:t>
      </w:r>
      <w:r>
        <w:rPr>
          <w:rStyle w:val="VARIABLE"/>
        </w:rPr>
        <w:t xml:space="preserve">AssetIdentifier</w:t>
      </w:r>
      <w:r>
        <w:t xml:space="preserve">, that </w:t>
      </w:r>
      <w:r>
        <w:rPr>
          <w:rStyle w:val="VARIABLE"/>
        </w:rPr>
        <w:t xml:space="preserve">DependsOn</w:t>
      </w:r>
      <w:r>
        <w:t xml:space="preserve"> entries resolve to artifacts by asset identifier, and that a stage's </w:t>
      </w:r>
      <w:r>
        <w:rPr>
          <w:rStyle w:val="VARIABLE"/>
        </w:rPr>
        <w:t xml:space="preserve">Assets</w:t>
      </w:r>
      <w:r>
        <w:t xml:space="preserve"> folder Organizes rather than duplicates the registry artifacts). See the Pumps addendum for a worked, testable instance.</w:t>
      </w:r>
    </w:p>
    <w:p>
      <w:pPr>
        <w:pStyle w:val="Heading1"/>
      </w:pPr>
      <w:bookmarkStart w:id="556" w:name="_Clause_c10"/>
      <w:r>
        <w:t xml:space="preserve">Namespaces</w:t>
      </w:r>
      <w:bookmarkEnd w:id="556"/>
    </w:p>
    <w:p>
      <w:pPr>
        <w:pStyle w:val="Heading2"/>
      </w:pPr>
      <w:bookmarkStart w:id="590" w:name="_Ref127248897"/>
      <w:bookmarkStart w:id="557" w:name="_Clause_c10_1"/>
      <w:r>
        <w:t xml:space="preserve">Namespace metadata</w:t>
      </w:r>
      <w:bookmarkEnd w:id="557"/>
      <w:bookmarkEnd w:id="590"/>
    </w:p>
    <w:p>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pPr>
        <w:pStyle w:val="TABLE-title"/>
        <w:keepNext/>
      </w:pPr>
      <w:bookmarkStart w:id="593" w:name="_Ref16863029"/>
      <w:bookmarkStart w:id="558" w:name="_Tab_namespace_metadata_tab1"/>
      <w:r>
        <w:t xml:space="preserve">Table </w:t>
      </w:r>
      <w:r>
        <w:fldChar w:fldCharType="begin"/>
      </w:r>
      <w:r>
        <w:instrText xml:space="preserve"> SEQ Table \* ARABIC </w:instrText>
      </w:r>
      <w:r>
        <w:fldChar w:fldCharType="separate"/>
      </w:r>
      <w:r>
        <w:rPr>
          <w:noProof/>
        </w:rPr>
        <w:t xml:space="preserve">35</w:t>
      </w:r>
      <w:r>
        <w:fldChar w:fldCharType="end"/>
      </w:r>
      <w:r>
        <w:t xml:space="preserve"> – NamespaceMetadata Object for this document</w:t>
      </w:r>
      <w:bookmarkEnd w:id="558"/>
      <w:bookmarkEnd w:id="5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http://opcfoundation.org/UA/OpenUSD/</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0.5.0</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2026-07-29</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1001:6075</w:t>
            </w:r>
          </w:p>
        </w:tc>
      </w:tr>
      <w:tr>
        <w:trPr>
          <w:jc w:val="center"/>
        </w:trPr>
        <w:tc>
          <w:tcPr>
            <w:tcW w:w="2800" w:type="dxa"/>
            <w:tcBorders>
              <w:top w:val="single" w:sz="4" w:space="0" w:color="auto"/>
              <w:left w:val="single" w:sz="4" w:space="0" w:color="auto"/>
              <w:bottom w:val="single" w:sz="4" w:space="0" w:color="auto"/>
              <w:right w:val="single" w:sz="4" w:space="0" w:color="auto"/>
            </w:tcBorders>
          </w:tcPr>
          <w:p>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pPr>
              <w:pStyle w:val="TableText"/>
            </w:pPr>
            <w:r>
              <w:t xml:space="preserve">--</w:t>
            </w:r>
          </w:p>
        </w:tc>
      </w:tr>
    </w:tbl>
    <w:p>
      <w:pPr>
        <w:pStyle w:val="spacer"/>
      </w:pPr>
    </w:p>
    <w:p>
      <w:pPr>
        <w:pStyle w:val="PARAGRAPH"/>
      </w:pPr>
      <w:r>
        <w:t xml:space="preserve">The IsNamespaceSubset Property is False because the UANodeSet XML file contains the complete namespace. A Server exposing only a subset sets it to True.</w:t>
      </w:r>
    </w:p>
    <w:p>
      <w:pPr>
        <w:pStyle w:val="Heading2"/>
      </w:pPr>
      <w:bookmarkStart w:id="591" w:name="_Ref55114991"/>
      <w:bookmarkStart w:id="559" w:name="_Clause_c10_2"/>
      <w:r>
        <w:t xml:space="preserve">Handling of OPC UA namespaces</w:t>
      </w:r>
      <w:bookmarkEnd w:id="559"/>
      <w:bookmarkEnd w:id="591"/>
    </w:p>
    <w:p>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pPr>
        <w:pStyle w:val="TABLE-title"/>
        <w:keepNext/>
      </w:pPr>
      <w:bookmarkStart w:id="560" w:name="_Tab_handling_of_opc_ua_namespaces_tab1"/>
      <w:r>
        <w:t xml:space="preserve">Table </w:t>
      </w:r>
      <w:r>
        <w:fldChar w:fldCharType="begin"/>
      </w:r>
      <w:r>
        <w:instrText xml:space="preserve"> SEQ Table \* ARABIC </w:instrText>
      </w:r>
      <w:r>
        <w:fldChar w:fldCharType="separate"/>
      </w:r>
      <w:r>
        <w:rPr>
          <w:noProof/>
        </w:rPr>
        <w:t xml:space="preserve">36</w:t>
      </w:r>
      <w:r>
        <w:fldChar w:fldCharType="end"/>
      </w:r>
      <w:r>
        <w:t xml:space="preserve"> – Namespaces used in an OpenUSD Server</w:t>
      </w:r>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http://opcfoundation.org/UA/OpenUSD/</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pPr>
              <w:pStyle w:val="TableText"/>
            </w:pPr>
            <w:r>
              <w:t xml:space="preserve">A Server may provide vendor-specific types derived from the types defined in this document, in one or more additional namespaces.</w:t>
            </w:r>
          </w:p>
        </w:tc>
      </w:tr>
    </w:tbl>
    <w:p>
      <w:pPr>
        <w:pStyle w:val="spacer"/>
      </w:pPr>
    </w:p>
    <w:p>
      <w:pPr>
        <w:pStyle w:val="PARAGRAPH"/>
      </w:pPr>
      <w:r>
        <w:t xml:space="preserve">The following table lists the namespaces and their indexes used for BrowseNames in this document. The default namespace of this document is not listed, because every BrowseName without a prefix uses it.</w:t>
      </w:r>
    </w:p>
    <w:p>
      <w:pPr>
        <w:pStyle w:val="TABLE-title"/>
        <w:keepNext/>
      </w:pPr>
      <w:bookmarkStart w:id="592" w:name="_Ref16577438"/>
      <w:bookmarkStart w:id="561" w:name="_Tab_handling_of_opc_ua_namespaces_tab2"/>
      <w:r>
        <w:t xml:space="preserve">Table </w:t>
      </w:r>
      <w:r>
        <w:fldChar w:fldCharType="begin"/>
      </w:r>
      <w:r>
        <w:instrText xml:space="preserve"> SEQ Table \* ARABIC </w:instrText>
      </w:r>
      <w:r>
        <w:fldChar w:fldCharType="separate"/>
      </w:r>
      <w:r>
        <w:rPr>
          <w:noProof/>
        </w:rPr>
        <w:t xml:space="preserve">37</w:t>
      </w:r>
      <w:r>
        <w:fldChar w:fldCharType="end"/>
      </w:r>
      <w:r>
        <w:t xml:space="preserve"> – Namespaces used in this document</w:t>
      </w:r>
      <w:bookmarkEnd w:id="561"/>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pPr>
              <w:pStyle w:val="TableText"/>
            </w:pPr>
            <w:r>
              <w:t xml:space="preserve">1:ResourceType</w:t>
            </w:r>
          </w:p>
        </w:tc>
      </w:tr>
    </w:tbl>
    <w:p>
      <w:pPr>
        <w:pStyle w:val="spacer"/>
      </w:pPr>
    </w:p>
    <w:p>
      <w:pPr>
        <w:pStyle w:val="Heading1"/>
      </w:pPr>
      <w:bookmarkStart w:id="562" w:name="_Clause_c11"/>
      <w:r>
        <w:t xml:space="preserve">Security</w:t>
      </w:r>
      <w:bookmarkEnd w:id="562"/>
    </w:p>
    <w:p>
      <w:pPr>
        <w:pStyle w:val="ListBullet"/>
        <w:numPr>
          <w:ilvl w:val="0"/>
          <w:numId w:val="21"/>
        </w:numPr>
      </w:pPr>
      <w:r>
        <w:rPr>
          <w:b/>
        </w:rPr>
        <w:t xml:space="preserve">Endpoint.</w:t>
      </w:r>
      <w:r>
        <w:t xml:space="preserve"> A connector </w:t>
      </w:r>
      <w:r>
        <w:rPr>
          <w:b/>
        </w:rPr>
        <w:t xml:space="preserve">shall</w:t>
      </w:r>
      <w:r>
        <w:t xml:space="preserve"> use an authenticated, integrity-protected endpoint; the represented model itself carries no secrets. Server certificate trust is required.</w:t>
      </w:r>
    </w:p>
    <w:p>
      <w:pPr>
        <w:pStyle w:val="ListBullet"/>
        <w:numPr>
          <w:ilvl w:val="0"/>
          <w:numId w:val="21"/>
        </w:numPr>
      </w:pPr>
      <w:r>
        <w:rPr>
          <w:b/>
        </w:rPr>
        <w:t xml:space="preserve">Authorization.</w:t>
      </w:r>
      <w:r>
        <w:t xml:space="preserve"> Read access to the representation/binding nodes and to the source Variables is governed by normal OPC UA </w:t>
      </w:r>
      <w:r>
        <w:rPr>
          <w:rStyle w:val="VARIABLE"/>
        </w:rPr>
        <w:t xml:space="preserve">RolePermissions</w:t>
      </w:r>
      <w:r>
        <w:t xml:space="preserve">/</w:t>
      </w:r>
      <w:r>
        <w:rPr>
          <w:rStyle w:val="VARIABLE"/>
        </w:rPr>
        <w:t xml:space="preserve">AccessRestrictions</w:t>
      </w:r>
      <w:r>
        <w:t xml:space="preserve">. Telemetry, alarm, and history bindings are read-only over process data and require no write authority. </w:t>
      </w:r>
      <w:r>
        <w:rPr>
          <w:b/>
        </w:rPr>
        <w:t xml:space="preserve">Command bindings</w:t>
      </w:r>
      <w:r>
        <w:t xml:space="preserve"> (</w:t>
      </w:r>
      <w:r>
        <w:fldChar w:fldCharType="begin"/>
      </w:r>
      <w:r>
        <w:instrText xml:space="preserve"> REF _Clause_c7_8 \r \h </w:instrText>
      </w:r>
      <w:r>
        <w:fldChar w:fldCharType="separate"/>
      </w:r>
      <w:r>
        <w:rPr>
          <w:noProof/>
        </w:rPr>
        <w:t xml:space="preserve">7.8</w:t>
      </w:r>
      <w:r>
        <w:fldChar w:fldCharType="end"/>
      </w:r>
      <w:r>
        <w:t xml:space="preserve">) require explicit write/</w:t>
      </w:r>
      <w:r>
        <w:rPr>
          <w:rStyle w:val="VARIABLE"/>
        </w:rPr>
        <w:t xml:space="preserve">Call</w:t>
      </w:r>
      <w:r>
        <w:t xml:space="preserve"> authorization on the target Variable/Method, are disabled by default, and are subject to a single-writer discipline; a connector </w:t>
      </w:r>
      <w:r>
        <w:rPr>
          <w:b/>
        </w:rPr>
        <w:t xml:space="preserve">shall</w:t>
      </w:r>
      <w:r>
        <w:t xml:space="preserve"> obtain and check the required Role before issuing any command.</w:t>
      </w:r>
    </w:p>
    <w:p>
      <w:pPr>
        <w:pStyle w:val="ListBullet"/>
        <w:numPr>
          <w:ilvl w:val="0"/>
          <w:numId w:val="21"/>
        </w:numPr>
      </w:pPr>
      <w:r>
        <w:rPr>
          <w:b/>
        </w:rPr>
        <w:t xml:space="preserve">Resolver safety &amp; content integrity.</w:t>
      </w:r>
      <w:r>
        <w:t xml:space="preserve"> </w:t>
      </w:r>
      <w:r>
        <w:rPr>
          <w:rStyle w:val="VARIABLE"/>
        </w:rPr>
        <w:t xml:space="preserve">RootLayerIdentifier</w:t>
      </w:r>
      <w:r>
        <w:t xml:space="preserve">/</w:t>
      </w:r>
      <w:r>
        <w:rPr>
          <w:rStyle w:val="VARIABLE"/>
        </w:rPr>
        <w:t xml:space="preserve">ResolvedRootLayerUri</w:t>
      </w:r>
      <w:r>
        <w:t xml:space="preserve"> are server-provided and could point a connector at an arbitrary asset location (an SSRF-class risk). A connector </w:t>
      </w:r>
      <w:r>
        <w:rPr>
          <w:b/>
        </w:rPr>
        <w:t xml:space="preserve">shall</w:t>
      </w:r>
      <w:r>
        <w:t xml:space="preserve"> apply a scheme/root </w:t>
      </w:r>
      <w:r>
        <w:rPr>
          <w:b/>
        </w:rPr>
        <w:t xml:space="preserve">allowlist</w:t>
      </w:r>
      <w:r>
        <w:t xml:space="preserve"> and a trusted resolver-context policy, and </w:t>
      </w:r>
      <w:r>
        <w:rPr>
          <w:b/>
        </w:rPr>
        <w:t xml:space="preserve">shall</w:t>
      </w:r>
      <w:r>
        <w:t xml:space="preserve"> impose resource limits on stage open/asset resolution. When </w:t>
      </w:r>
      <w:r>
        <w:rPr>
          <w:rStyle w:val="VARIABLE"/>
        </w:rPr>
        <w:t xml:space="preserve">RootLayerDigest</w:t>
      </w:r>
      <w:r>
        <w:t xml:space="preserve"> is present, the connector </w:t>
      </w:r>
      <w:r>
        <w:rPr>
          <w:b/>
        </w:rPr>
        <w:t xml:space="preserve">shall</w:t>
      </w:r>
      <w:r>
        <w:t xml:space="preserve"> verify the resolved layer against it before composing the stage and </w:t>
      </w:r>
      <w:r>
        <w:rPr>
          <w:b/>
        </w:rPr>
        <w:t xml:space="preserve">shall</w:t>
      </w:r>
      <w:r>
        <w:t xml:space="preserve"> refuse a mismatch; when </w:t>
      </w:r>
      <w:r>
        <w:rPr>
          <w:rStyle w:val="VARIABLE"/>
        </w:rPr>
        <w:t xml:space="preserve">Signature</w:t>
      </w:r>
      <w:r>
        <w:t xml:space="preserve">/</w:t>
      </w:r>
      <w:r>
        <w:rPr>
          <w:rStyle w:val="VARIABLE"/>
        </w:rPr>
        <w:t xml:space="preserve">ProvenanceUri</w:t>
      </w:r>
      <w:r>
        <w:t xml:space="preserve"> are present, provenance </w:t>
      </w:r>
      <w:r>
        <w:rPr>
          <w:b/>
        </w:rPr>
        <w:t xml:space="preserve">should</w:t>
      </w:r>
      <w:r>
        <w:t xml:space="preserve"> be verified against a trusted policy (the Twin BOM anchor, §C.2).</w:t>
      </w:r>
    </w:p>
    <w:p>
      <w:pPr>
        <w:pStyle w:val="ListBullet"/>
        <w:numPr>
          <w:ilvl w:val="0"/>
          <w:numId w:val="21"/>
        </w:numPr>
      </w:pPr>
      <w:r>
        <w:rPr>
          <w:b/>
        </w:rPr>
        <w:t xml:space="preserve">Served asset safety.</w:t>
      </w:r>
      <w:r>
        <w:t xml:space="preserve"> Asset delivery reads require the same authenticated and authorized OPC UA Session as the representation model; a server </w:t>
      </w:r>
      <w:r>
        <w:rPr>
          <w:b/>
        </w:rPr>
        <w:t xml:space="preserve">shall</w:t>
      </w:r>
      <w:r>
        <w:t xml:space="preserve"> enforce </w:t>
      </w:r>
      <w:r>
        <w:rPr>
          <w:rStyle w:val="VARIABLE"/>
        </w:rPr>
        <w:t xml:space="preserve">RolePermissions</w:t>
      </w:r>
      <w:r>
        <w:t xml:space="preserve">/</w:t>
      </w:r>
      <w:r>
        <w:rPr>
          <w:rStyle w:val="VARIABLE"/>
        </w:rPr>
        <w:t xml:space="preserve">AccessRestrictions</w:t>
      </w:r>
      <w:r>
        <w:t xml:space="preserve"> on </w:t>
      </w:r>
      <w:r>
        <w:rPr>
          <w:rStyle w:val="VARIABLE"/>
        </w:rPr>
        <w:t xml:space="preserve">Assets</w:t>
      </w:r>
      <w:r>
        <w:t xml:space="preserve"> and the asset </w:t>
      </w:r>
      <w:r>
        <w:rPr>
          <w:rStyle w:val="VARIABLE"/>
        </w:rPr>
        <w:t xml:space="preserve">FileType</w:t>
      </w:r>
      <w:r>
        <w:t xml:space="preserve"> nodes, bound total served size, and bound concurrent file handles per session. A connector </w:t>
      </w:r>
      <w:r>
        <w:rPr>
          <w:b/>
        </w:rPr>
        <w:t xml:space="preserve">shall</w:t>
      </w:r>
      <w:r>
        <w:t xml:space="preserve"> treat every served </w:t>
      </w:r>
      <w:r>
        <w:rPr>
          <w:rStyle w:val="VARIABLE"/>
        </w:rPr>
        <w:t xml:space="preserve">AssetIdentifier</w:t>
      </w:r>
      <w:r>
        <w:t xml:space="preserve"> as untrusted input: reject absolute paths, drive-qualified paths, parent traversal, empty segments, and platform-reserved names before writing to a local cache, and write only under a connector-controlled cache root.</w:t>
      </w:r>
    </w:p>
    <w:p>
      <w:pPr>
        <w:pStyle w:val="ListBullet"/>
        <w:numPr>
          <w:ilvl w:val="0"/>
          <w:numId w:val="21"/>
        </w:numPr>
      </w:pPr>
      <w:r>
        <w:rPr>
          <w:b/>
        </w:rPr>
        <w:t xml:space="preserve">Writer ownership.</w:t>
      </w:r>
      <w:r>
        <w:t xml:space="preserve"> When authoring into a shared USD/Nucleus layer, a </w:t>
      </w:r>
      <w:r>
        <w:rPr>
          <w:b/>
        </w:rPr>
        <w:t xml:space="preserve">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OpenUSD</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OpenUSD</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OpenUSD</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http://opcfoundation.org/UA/OpenUSD/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http://opcfoundation.org/UA/OpenUSD/</w:t>
      </w:r>
      <w:r w:rsidRPr="007E383D">
        <w:t>&amp;v=</w:t>
      </w:r>
      <w:r w:rsidRPr="00621FAB">
        <w:rPr>
          <w:color w:val="FF0000"/>
        </w:rPr>
        <w:t xml:space="preserve">0.5.0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http://opcfoundation.org/UA/OpenUSD/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http://opcfoundation.org/UA/OpenUSD/</w:t>
      </w:r>
      <w:r w:rsidRPr="007E383D">
        <w:t>&amp;v=</w:t>
      </w:r>
      <w:r w:rsidRPr="00621FAB">
        <w:rPr>
          <w:color w:val="FF0000"/>
        </w:rPr>
        <w:t xml:space="preserve">0.5.0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Opc.ua.OpenUSD.</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OpenUSD</w:t>
      </w:r>
    </w:p>
    <w:p w14:paraId="6204D615" w14:textId="77777777" w:rsidR="00D83AA6" w:rsidRPr="004C388A" w:rsidRDefault="00D83AA6" w:rsidP="00FC03D7">
      <w:pPr>
        <w:pStyle w:val="PARAGRAPH"/>
        <w:spacing w:before="0"/>
        <w:rPr>
          <w:rStyle w:val="Hyperlink"/>
          <w:sz w:val="16"/>
        </w:rPr>
      </w:pPr>
    </w:p>
    <w:p>
      <w:pPr>
        <w:pStyle w:val="ANNEX-heading1"/>
      </w:pPr>
      <w:r>
        <w:t xml:space="preserve">Node reference</w:t>
      </w:r>
    </w:p>
    <w:p>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pPr>
        <w:pStyle w:val="TABLE-title"/>
        <w:keepNext/>
      </w:pPr>
      <w:bookmarkStart w:id="588" w:name="_Tab_annex_a_nodes"/>
      <w:r>
        <w:t xml:space="preserve">Table </w:t>
      </w:r>
      <w:r>
        <w:fldChar w:fldCharType="begin"/>
      </w:r>
      <w:r>
        <w:instrText xml:space="preserve"> SEQ Table \* ARABIC </w:instrText>
      </w:r>
      <w:r>
        <w:fldChar w:fldCharType="separate"/>
      </w:r>
      <w:r>
        <w:rPr>
          <w:noProof/>
        </w:rPr>
        <w:t xml:space="preserve">44</w:t>
      </w:r>
      <w:r>
        <w:fldChar w:fldCharType="end"/>
      </w:r>
      <w:r>
        <w:t xml:space="preserve"> – Nodes defined by this document</w:t>
      </w:r>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ns=2;i=3002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OpenUsdRenderTargetKindEnum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Classifies the USD render target a live value drives (advisory routing hint).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ns=2;i=3902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ns=2;i=3003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OpenUsdBadQualityActionEnum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What the connector does with a non-Good source 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ns=2;i=3903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ns=2;i=3004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OpenUsdBindingStateEnum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Runtime lifecycle state of a live binding, exposed for diagnostics.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ns=2;i=3904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OpenUsdLiveBindingType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BindingDefinitionId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Stable declaration identifier used for override/tombstone matching across type and instance levels. NOT a runtime instance key.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Enabled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False acts as a tombstone that suppresses an inherited binding.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SourceNodeId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Absolute NodeId of the source Variable (instance-level). Optional; prefer SourceBrowsePath for type-level declarations.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ns=2;i=6004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SourceBrowsePath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RelativePath to the source Variable, resolved from the represented object. Preferred, instance-portable form.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AttributeId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Source attribute id; default 13 (Value). Telemetry binds Value only.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TargetStage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NodeId of the stage holding the target prim: an OpenUsdStageType instance, or a materialized Part 2 UsdStageType instance when the target is an in-server materialized scene.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TargetPrimPath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Prim path of the target: absolute, or relative to the representation PrimPath.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TargetPropertyName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attribute name on the target prim, e.g. 'xformOp:rotateZ' or 'primvars:displayColor'.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TargetUsdTypeName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Expected USD Sdf value type name, e.g. 'double', 'float', 'bool', 'color3f'.</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RenderTargetKind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Advisory routing hint for the render target category.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ValueSemanticUri</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Value semantics: scalar/angle/length/point/vector/quaternion/matrix. The transform profile uses RSL CartesianFrameAngleOrientationType semantics.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Scale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Linear conversion scale: target = Scale * converted + Offset.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Offset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Linear conversion offset.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SourceEngineeringUnits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Asserted source engineering units (UNECE).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ns=2;i=6015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TargetEngineeringUnits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Requested target engineering units.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ns=2;i=6016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BadQualityAction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How the connector treats a non-Good source value. Default Skip.</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ns=2;i=6017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SamplingIntervalHint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Requested sampling interval hint in milliseconds. A HINT only; the actual MonitoredItem parameters are negotiated per client Subscription.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ns=2;i=6018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Runtime lifecycle state (diagnostic).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ns=2;i=6019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LastError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Last operation error text (diagnostic).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ns=2;i=1002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OpenUsdStageType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Describes one OpenUSD stage available to the server. Identity is the root layer identifier plus, where used, the session layer and resolver context; the stage Object NodeId is its same-server identity.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ns=2;i=6020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RootLayerIdentifier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Opaque authored root-layer / resolver identifier (NOT necessarily a URI).</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ns=2;i=6021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SessionLayerIdentifier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Opaque session-layer identifier, if any. Contributes to stage identity.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ns=2;i=6022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ResolverContext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Opaque resolver-context descriptor (e.g. a named context profile).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ns=2;i=6023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ResolvedRootLayerUri</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Informative current resolution as a URI, when representable. Not authoritative.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ns=2;i=1003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OpenUsdRepresentationType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AddIn that binds a domain Object to a canonical composed USD prim path on a specific stage. Mounted with HasAddIn; carries live bindings as children.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ns=2;i=6024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DefaultInstanceBrowseName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Default BrowseName for instances of this AddIn (Part 3 AddIn convention).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ns=2;i=6025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Stage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NodeId of the OpenUsdStageType instance this representation targets.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ns=2;i=6026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PrimPath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Canonical, absolute, composed-stage prim path (SdfPath) for this instance. Instance-level: a reusable type cannot supply an absolute instance path.</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ns=2;i=6027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&lt;Binding&gt;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live binding whose source resolves relative to the represented object.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ns=2;i=1001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OpenUsdRootType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Root of the server-wide OpenUSD facility. Contains the stage registry and the representation registry for deterministic discovery.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ns=2;i=6028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Stages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Registry of OpenUsdStageType instances available to the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ns=2;i=6029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Representations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Registry that Organizes every OpenUsdRepresentation AddIn in the server, so a connector can enumerate all representations from one place.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IOpenUsdRepresentedType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Optional interface advertising that a domain ObjectType participates in OpenUSD representation. Applied with HasInterface; informative for browsing.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ns=2;i=6030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&lt;OpenUsdRepresentation&gt;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Placeholder for the representation AddIn on an implementing instance.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ns=2;i=3005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OpenUsdSignalRoleEnum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Role of the bound signal, mirroring the asset-definition observable/controllable tagging. Only Controllable signals are eligible for a command binding.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ns=2;i=3905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ns=2;i=3006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OpenUsdAlarmAspectEnum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OpenUsdAlarmBindingType bindings: which A&amp;C condition aspect drives the target attribute.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ns=2;i=3906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ns=2;i=3007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OpenUsdDigestAlgorithmEnum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Digest algorithm for OpenUsdStageType.RootLayerDigest (Twin BOM content integrity).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ns=2;i=3907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ns=2;i=6031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SignalRole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Observable (read-only, default) or Controllable (eligible for a command binding).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ns=2;i=6032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SourceSemanticId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Semantic identifier (e.g. ECLASS / IEC CDD IRDI) of the source signal; resolved against the source's semantic annotations for cross-vendor portability.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ns=2;i=1007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OpenUsdValueChangeBindingType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source UA Variable Value change drives a USD attribute (the default binding). Adds no members beyond the abstract base; binds the source Value (AttributeId 13).</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OpenUsdAlarmBindingType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Read-only OPC UA A&amp;C condition aspect (Part 9) drives a USD attribute.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ns=2;i=6033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AlarmAspect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Which A&amp;C condition aspect drives the target (ActiveState/Severity/AckedState/EnabledState).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OpenUsdHistoryBindingType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Read-only history (Part 11 HistoryRead) authored as USD time samples.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ns=2;i=6034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TimeSampled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Author values as USD time samples (playback) rather than the latest default.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ns=2;i=1011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OpenUsdCommandBindingType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Opt-in, authorized USD-side intent drives an OPC UA write / Method call (USD -&gt; UA).</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ns=2;i=6035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CommandTargetNodeId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Variable to write, or the Object on which to Call CommandMethodId.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ns=2;i=6036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CommandMethodId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Optional Method to invoke instead of a Variable write.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ns=2;i=6037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CommandTriggerPropertyName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USD attribute whose change is interpreted as the command intent/value.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ns=2;i=6038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RootLayerDigest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Cryptographic digest of the resolved root layer, for content-integrity verification (Twin BOM). Verify before composing the stage.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ns=2;i=6039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RootLayerDigestAlgorithm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Digest algorithm for RootLayerDigest (default SHA-256).</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ns=2;i=6040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Signature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Optional detached signature over the digest / stage identity, for provenance.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ns=2;i=6041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ProvenanceUri</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Optional URI locating provenance / a signed Twin BOM manifest for the stage.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ns=2;i=3008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OpenUsdCardinalityEnum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Cardinality of a component binding: 1:1 or 1..n.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ns=2;i=3908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ns=2;i=3009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OpenUsdCompositionArcEnum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USD composition arc used to place a component prim under its parent.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ns=2;i=3909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ns=2;i=1005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OpenUsdComponentBindingType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One composition/aggregation binding: maps an OPC UA component relationship of the represented Object onto a USD composition arc, so a connector assembles the component prim(s). Carried as a &lt;Component&gt; child of a representation.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ns=2;i=6042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BindingDefinitionId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Stable declaration id for override/tombstone matching.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ns=2;i=6043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Enabled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False acts as a tombstone that suppresses an inherited component binding.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ns=2;i=6044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Cardinality</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One (1:1) or Many (1..n).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ns=2;i=6045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CompositionArc</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How the component maps into the parent prim: Child, Reference, Payload, Instance.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ns=2;i=6046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ComponentReferenceType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Aggregating ReferenceType from the represented Object to its component(s); default HasComponent.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ns=2;i=6047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ComponentBrowsePath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RelativePath to the component Object (One) or to the container from which components are enumerated (Many).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ns=2;i=6048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ComponentTypeDefinition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Expected component ObjectType; selects children for Many and locates each component's own representation.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ns=2;i=6049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TargetPrimPath</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Child prim (One) or parent scope prim (Many), relative to the parent representation PrimPath (or absolute).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ns=2;i=6050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TargetPrimNameSource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Many: how to name each instance prim (BrowseName default, a source-property RelativePath, or a {...} template).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ns=2;i=6051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ComponentAssetReference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Reference/Payload/Instance: the external USD asset + default prim, e.g. @pump.usda@&lt;/Pump&gt;.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ns=2;i=6052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ComponentRepresentation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NodeId of the component's own OpenUsdRepresentation AddIn (its sub-bindings compose under the component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ns=2;i=6053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Dynamic</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component set may change at runtime (reconciled from model-change events).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ns=2;i=6054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ChangeEventSource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Node whose GeneralModelChange/SemanticChange events signal recomposition; default the Server Object (i=2253).</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ns=2;i=6055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ComponentServerUri</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component on another server: the remote Server's application/namespace URI.</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ns=2;i=6056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ComponentEndpointUrl</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For a component on another server: the remote endpoint URL (else discovered).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ns=2;i=6057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State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Runtime lifecycle state (diagnostic).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ns=2;i=6058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LastError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Last operation error text (diagnostic).</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ns=2;i=6059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&lt;Component&gt;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 component/aggregation binding composing this Object's components into the USD prim tree.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ns=2;i=3010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OpenUsdAssetKindEnum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Role of a served USD artifact within a stage's served layer closure.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ns=2;i=3910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ns=2;i=1006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OpenUsdAssetType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ns=2;i=6060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AssetIdentifier</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Resolver identifier / relative path of this asset, matching the stage RootLayerIdentifier or a ComponentAssetReference asset path; used for @...@ resolution and cache placement.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ns=2;i=6061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AssetKind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Role of this asset within the stage's served layer closure.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ns=2;i=6062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MediaType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IANA media type of the content, e.g. 'model/vnd.usda', 'model/vnd.usdz+zip', 'image/png'.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ns=2;i=6063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Digest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Cryptographic digest of this asset's resolved content, for per-layer integrity verification. A connector verifies it before composing the asset.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ns=2;i=6064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DigestAlgorithm</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Digest algorithm for Digest (default SHA-256).</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ns=2;i=6065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Assets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connector that finds it fetches and composes the stage locally, else it resolves RootLayerIdentifier externally.</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ns=2;i=6066</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ComponentAssetNode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NodeId of the OpenUsdAssetType (under the stage's Assets folder) serving this component's asset, when the server delivers it. Complements ComponentAssetReference.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ns=2;i=6067</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TargetNodeId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Optional direct NodeId of the target when it is an in-server materialized Variable (a Part 2 UsdAttributeType). When present it takes precedence over the TargetPrimPath/TargetPropertyName pair, which remain the portable descriptors.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ns=2;i=1012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OpenUsdArtifactRegistryType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URL-safe encoding of its USD asset identifier, so the registry is directly addressable as an ArResolver backend and xRegistry federation (ResourceUrl / ExternalReference) is the resolver fallback chain.</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ns=2;i=1013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OpenUsdAssetGroupType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ns=2;i=6068</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AssetContainerId</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ns=2;i=1014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OpenUsdSchemaPluginGroupType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ns=2;i=6069</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PluginName</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The USD plugin name as it appears in plugInfo.json (Plugins[].Name).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ns=2;i=6070</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DependsOn</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ns=2;i=6071</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Artifacts</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Optional OpenUsdArtifactRegistryType holding every USD artifact the server serves. Present when the server delivers content; a stage's Assets folder then Organizes the artifacts of its closure from here rather than owning them.</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ns=2;i=6072</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&lt;AssetContainer&gt;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Constrains the inherited &lt;Group&gt; placeholder: an asset container group held by this registry, keyed by AssetContainerId.</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ns=2;i=6073</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&lt;SchemaPlugin&gt;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Constrains the inherited &lt;Group&gt; placeholder: a USD schema plugin group held by this registry, keyed by PluginName.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ns=2;i=6074</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&lt;Asset&gt;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Constrains the inherited &lt;Resource&gt; placeholder: an artifact of this asset container, addressed by the URL-safe encoding of its AssetIdentifier.</w:t>
            </w:r>
          </w:p>
        </w:tc>
      </w:tr>
      <w:tr>
        <w:trPr>
          <w:jc w:val="center"/>
        </w:trPr>
        <w:tc>
          <w:tcPr>
            <w:tcW w:w="1500" w:type="dxa"/>
            <w:tcBorders>
              <w:top w:val="single" w:sz="4" w:space="0" w:color="auto"/>
              <w:left w:val="single" w:sz="4" w:space="0" w:color="auto"/>
              <w:bottom w:val="single" w:sz="4" w:space="0" w:color="auto"/>
              <w:right w:val="single" w:sz="4" w:space="0" w:color="auto"/>
            </w:tcBorders>
          </w:tcPr>
          <w:p>
            <w:pPr>
              <w:pStyle w:val="TableText"/>
            </w:pPr>
            <w:r>
              <w:t xml:space="preserve">ns=2;i=6075</w:t>
            </w:r>
          </w:p>
        </w:tc>
        <w:tc>
          <w:tcPr>
            <w:tcW w:w="2600" w:type="dxa"/>
            <w:tcBorders>
              <w:top w:val="single" w:sz="4" w:space="0" w:color="auto"/>
              <w:left w:val="single" w:sz="4" w:space="0" w:color="auto"/>
              <w:bottom w:val="single" w:sz="4" w:space="0" w:color="auto"/>
              <w:right w:val="single" w:sz="4" w:space="0" w:color="auto"/>
            </w:tcBorders>
          </w:tcPr>
          <w:p>
            <w:pPr>
              <w:pStyle w:val="TableText"/>
            </w:pPr>
            <w:r>
              <w:t xml:space="preserve">&lt;Asset&gt;</w:t>
            </w:r>
          </w:p>
        </w:tc>
        <w:tc>
          <w:tcPr>
            <w:tcW w:w="1400" w:type="dxa"/>
            <w:tcBorders>
              <w:top w:val="single" w:sz="4" w:space="0" w:color="auto"/>
              <w:left w:val="single" w:sz="4" w:space="0" w:color="auto"/>
              <w:bottom w:val="single" w:sz="4" w:space="0" w:color="auto"/>
              <w:right w:val="single" w:sz="4" w:space="0" w:color="auto"/>
            </w:tcBorders>
          </w:tcPr>
          <w:p>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pPr>
              <w:pStyle w:val="TableText"/>
            </w:pPr>
            <w:r>
              <w:t xml:space="preserve">Constrains the inherited &lt;Resource&gt; placeholder: a file of this schema plugin - its plugInfo.json manifest or its generatedSchema.usda.</w:t>
            </w:r>
          </w:p>
        </w:tc>
      </w:tr>
    </w:tbl>
    <w:p>
      <w:pPr>
        <w:pStyle w:val="spacer"/>
      </w:pPr>
    </w:p>
    <w:p>
      <w:pPr>
        <w:pStyle w:val="ANNEXtitle"/>
        <w:pageBreakBefore/>
      </w:pPr>
      <w:bookmarkStart w:id="564" w:name="_Annex_cB"/>
      <w:r>
        <w:t xml:space="preserve">(informative)</w:t>
      </w:r>
      <w:r>
        <w:br/>
      </w:r>
      <w:r>
        <w:br/>
      </w:r>
      <w:r>
        <w:t xml:space="preserve">Using the model</w:t>
      </w:r>
      <w:bookmarkEnd w:id="564"/>
    </w:p>
    <w:p>
      <w:pPr>
        <w:pStyle w:val="PARAGRAPH"/>
      </w:pPr>
      <w:r>
        <w:t xml:space="preserve">A minimal connector:</w:t>
      </w:r>
    </w:p>
    <w:p>
      <w:pPr>
        <w:pStyle w:val="ListNumber"/>
        <w:numPr>
          <w:ilvl w:val="0"/>
          <w:numId w:val="21"/>
        </w:numPr>
      </w:pPr>
      <w:r>
        <w:t xml:space="preserve">Connect and create a Session; Browse </w:t>
      </w:r>
      <w:r>
        <w:rPr>
          <w:rStyle w:val="VARIABLE"/>
        </w:rPr>
        <w:t xml:space="preserve">Server/OpenUSD/Representations</w:t>
      </w:r>
      <w:r>
        <w:t xml:space="preserve">.</w:t>
      </w:r>
    </w:p>
    <w:p>
      <w:pPr>
        <w:pStyle w:val="ListNumber"/>
        <w:numPr>
          <w:ilvl w:val="0"/>
          <w:numId w:val="21"/>
        </w:numPr>
      </w:pPr>
      <w:r>
        <w:t xml:space="preserve">For each representation: read </w:t>
      </w:r>
      <w:r>
        <w:rPr>
          <w:rStyle w:val="VARIABLE"/>
        </w:rPr>
        <w:t xml:space="preserve">Stage</w:t>
      </w:r>
      <w:r>
        <w:t xml:space="preserve"> → </w:t>
      </w:r>
      <w:r>
        <w:rPr>
          <w:rStyle w:val="VARIABLE"/>
        </w:rPr>
        <w:t xml:space="preserve">OpenUsdStageType</w:t>
      </w:r>
      <w:r>
        <w:t xml:space="preserve"> (root/session/resolver context) and </w:t>
      </w:r>
      <w:r>
        <w:rPr>
          <w:rStyle w:val="VARIABLE"/>
        </w:rPr>
        <w:t xml:space="preserve">PrimPath</w:t>
      </w:r>
      <w:r>
        <w:t xml:space="preserve">; open (or attach to) the stage.</w:t>
      </w:r>
    </w:p>
    <w:p>
      <w:pPr>
        <w:pStyle w:val="ListNumber"/>
        <w:numPr>
          <w:ilvl w:val="0"/>
          <w:numId w:val="21"/>
        </w:numPr>
      </w:pPr>
      <w:r>
        <w:t xml:space="preserve">Browse the representation's </w:t>
      </w:r>
      <w:r>
        <w:rPr>
          <w:rStyle w:val="VARIABLE"/>
        </w:rPr>
        <w:t xml:space="preserve">&lt;Binding&gt;</w:t>
      </w:r>
      <w:r>
        <w:t xml:space="preserve"> children; for each enabled binding, resolve source and target (</w:t>
      </w:r>
      <w:r>
        <w:fldChar w:fldCharType="begin"/>
      </w:r>
      <w:r>
        <w:instrText xml:space="preserve"> REF _Clause_c7_4_1 \r \h </w:instrText>
      </w:r>
      <w:r>
        <w:fldChar w:fldCharType="separate"/>
      </w:r>
      <w:r>
        <w:rPr>
          <w:noProof/>
        </w:rPr>
        <w:t xml:space="preserve">7.4.1</w:t>
      </w:r>
      <w:r>
        <w:fldChar w:fldCharType="end"/>
      </w:r>
      <w:r>
        <w:t xml:space="preserve">) and build the conversion (</w:t>
      </w:r>
      <w:r>
        <w:fldChar w:fldCharType="begin"/>
      </w:r>
      <w:r>
        <w:instrText xml:space="preserve"> REF _Clause_c7_4_2 \r \h </w:instrText>
      </w:r>
      <w:r>
        <w:fldChar w:fldCharType="separate"/>
      </w:r>
      <w:r>
        <w:rPr>
          <w:noProof/>
        </w:rPr>
        <w:t xml:space="preserve">7.4.2</w:t>
      </w:r>
      <w:r>
        <w:fldChar w:fldCharType="end"/>
      </w:r>
      <w:r>
        <w:t xml:space="preserve">).</w:t>
      </w:r>
    </w:p>
    <w:p>
      <w:pPr>
        <w:pStyle w:val="ListNumber"/>
        <w:numPr>
          <w:ilvl w:val="0"/>
          <w:numId w:val="21"/>
        </w:numPr>
      </w:pPr>
      <w:r>
        <w:t xml:space="preserve">Browse the representation's </w:t>
      </w:r>
      <w:r>
        <w:rPr>
          <w:rStyle w:val="VARIABLE"/>
        </w:rPr>
        <w:t xml:space="preserve">&lt;Component&gt;</w:t>
      </w:r>
      <w:r>
        <w:t xml:space="preserve"> children; for each enabled component binding, resolve the component Object(s) and author the composed prim(s) per </w:t>
      </w:r>
      <w:r>
        <w:rPr>
          <w:rStyle w:val="VARIABLE"/>
        </w:rPr>
        <w:t xml:space="preserve">CompositionArc</w:t>
      </w:r>
      <w:r>
        <w:t xml:space="preserve"> (</w:t>
      </w:r>
      <w:r>
        <w:fldChar w:fldCharType="begin"/>
      </w:r>
      <w:r>
        <w:instrText xml:space="preserve"> REF _Clause_c7_10 \r \h </w:instrText>
      </w:r>
      <w:r>
        <w:fldChar w:fldCharType="separate"/>
      </w:r>
      <w:r>
        <w:rPr>
          <w:noProof/>
        </w:rPr>
        <w:t xml:space="preserve">7.10</w:t>
      </w:r>
      <w:r>
        <w:fldChar w:fldCharType="end"/>
      </w:r>
      <w:r>
        <w:t xml:space="preserve">) — enumerating for </w:t>
      </w:r>
      <w:r>
        <w:rPr>
          <w:rStyle w:val="VARIABLE"/>
        </w:rPr>
        <w:t xml:space="preserve">Many</w:t>
      </w:r>
      <w:r>
        <w:t xml:space="preserve">, recursing into each component's </w:t>
      </w:r>
      <w:r>
        <w:rPr>
          <w:rStyle w:val="VARIABLE"/>
        </w:rPr>
        <w:t xml:space="preserve">ComponentRepresentation</w:t>
      </w:r>
      <w:r>
        <w:t xml:space="preserve">, and federating to </w:t>
      </w:r>
      <w:r>
        <w:rPr>
          <w:rStyle w:val="VARIABLE"/>
        </w:rPr>
        <w:t xml:space="preserve">ComponentServerUri</w:t>
      </w:r>
      <w:r>
        <w:t xml:space="preserve"> when the component is remote (</w:t>
      </w:r>
      <w:r>
        <w:fldChar w:fldCharType="begin"/>
      </w:r>
      <w:r>
        <w:instrText xml:space="preserve"> REF _Clause_c7_10_2 \r \h </w:instrText>
      </w:r>
      <w:r>
        <w:fldChar w:fldCharType="separate"/>
      </w:r>
      <w:r>
        <w:rPr>
          <w:noProof/>
        </w:rPr>
        <w:t xml:space="preserve">7.10.2</w:t>
      </w:r>
      <w:r>
        <w:fldChar w:fldCharType="end"/>
      </w:r>
      <w:r>
        <w:t xml:space="preserve">).</w:t>
      </w:r>
    </w:p>
    <w:p>
      <w:pPr>
        <w:pStyle w:val="ListNumber"/>
        <w:numPr>
          <w:ilvl w:val="0"/>
          <w:numId w:val="21"/>
        </w:numPr>
      </w:pPr>
      <w:r>
        <w:t xml:space="preserve">Create a Subscription and MonitoredItems for the resolved sources.</w:t>
      </w:r>
    </w:p>
    <w:p>
      <w:pPr>
        <w:pStyle w:val="ListNumber"/>
        <w:numPr>
          <w:ilvl w:val="0"/>
          <w:numId w:val="21"/>
        </w:numPr>
      </w:pPr>
      <w:r>
        <w:t xml:space="preserve">On each DataChange, apply quality/conversion and write the target USD attribute (frame-coalesced; see Part 3).</w:t>
      </w:r>
    </w:p>
    <w:p>
      <w:pPr>
        <w:pStyle w:val="ListNumber"/>
        <w:numPr>
          <w:ilvl w:val="0"/>
          <w:numId w:val="21"/>
        </w:numPr>
      </w:pPr>
      <w:r>
        <w:t xml:space="preserve">If any component binding is </w:t>
      </w:r>
      <w:r>
        <w:rPr>
          <w:rStyle w:val="VARIABLE"/>
        </w:rPr>
        <w:t xml:space="preserve">Dynamic</w:t>
      </w:r>
      <w:r>
        <w:t xml:space="preserve">, subscribe to </w:t>
      </w:r>
      <w:r>
        <w:rPr>
          <w:rStyle w:val="VARIABLE"/>
        </w:rPr>
        <w:t xml:space="preserve">GeneralModelChangeEventType</w:t>
      </w:r>
      <w:r>
        <w:t xml:space="preserve"> + </w:t>
      </w:r>
      <w:r>
        <w:rPr>
          <w:rStyle w:val="VARIABLE"/>
        </w:rPr>
        <w:t xml:space="preserve">SemanticChangeEventType</w:t>
      </w:r>
      <w:r>
        <w:t xml:space="preserve"> on the relevant </w:t>
      </w:r>
      <w:r>
        <w:rPr>
          <w:rStyle w:val="VARIABLE"/>
        </w:rPr>
        <w:t xml:space="preserve">ChangeEventSource</w:t>
      </w:r>
      <w:r>
        <w:t xml:space="preserve"> and reconcile the composed prims on change (</w:t>
      </w:r>
      <w:r>
        <w:fldChar w:fldCharType="begin"/>
      </w:r>
      <w:r>
        <w:instrText xml:space="preserve"> REF _Clause_c7_10_1 \r \h </w:instrText>
      </w:r>
      <w:r>
        <w:fldChar w:fldCharType="separate"/>
      </w:r>
      <w:r>
        <w:rPr>
          <w:noProof/>
        </w:rPr>
        <w:t xml:space="preserve">7.10.1</w:t>
      </w:r>
      <w:r>
        <w:fldChar w:fldCharType="end"/>
      </w:r>
      <w:r>
        <w:t xml:space="preserve">).</w:t>
      </w:r>
    </w:p>
    <w:p>
      <w:pPr>
        <w:pStyle w:val="FIGURE"/>
      </w:pPr>
      <w:r>
        <w:object w:dxaOrig="10350" w:dyaOrig="6840">
          <v:shape id="_x0000_i1026" type="#_x0000_t75" style="width:430.00pt;height:284.17pt" o:ole="">
            <v:imagedata r:id="rId132" o:title=""/>
          </v:shape>
          <o:OLEObject Type="Embed" ProgID="PowerPoint.Show.12" ShapeID="_x0000_i1026" DrawAspect="Content" ObjectID="_1900000002" r:id="rId133"/>
        </w:object>
      </w:r>
    </w:p>
    <w:p>
      <w:pPr>
        <w:pStyle w:val="FIGURE-title"/>
      </w:pPr>
      <w:bookmarkStart w:id="565" w:name="_Fig_fig_connector_flow"/>
      <w:r>
        <w:t xml:space="preserve">Figure </w:t>
      </w:r>
      <w:r>
        <w:fldChar w:fldCharType="begin"/>
      </w:r>
      <w:r>
        <w:instrText xml:space="preserve"> SEQ Figure \* ARABIC </w:instrText>
      </w:r>
      <w:r>
        <w:fldChar w:fldCharType="separate"/>
      </w:r>
      <w:r>
        <w:rPr>
          <w:noProof/>
        </w:rPr>
        <w:t xml:space="preserve">2</w:t>
      </w:r>
      <w:r>
        <w:fldChar w:fldCharType="end"/>
      </w:r>
      <w:r>
        <w:t xml:space="preserve"> – Connector interaction with a conforming Server</w:t>
      </w:r>
      <w:bookmarkEnd w:id="565"/>
    </w:p>
    <w:p>
      <w:pPr>
        <w:pStyle w:val="ANNEXtitle"/>
        <w:pageBreakBefore/>
      </w:pPr>
      <w:bookmarkStart w:id="566" w:name="_Annex_cC"/>
      <w:r>
        <w:t xml:space="preserve">(informative)</w:t>
      </w:r>
      <w:r>
        <w:br/>
      </w:r>
      <w:r>
        <w:br/>
      </w:r>
      <w:r>
        <w:t xml:space="preserve">Interoperability with OpenUSD and Omniverse</w:t>
      </w:r>
      <w:bookmarkEnd w:id="566"/>
    </w:p>
    <w:p>
      <w:pPr>
        <w:pStyle w:val="TABLE-title"/>
        <w:keepNext/>
      </w:pPr>
      <w:bookmarkStart w:id="567" w:name="_Tab_interoperability_with_openusd_and_omniverse_tab1"/>
      <w:r>
        <w:t xml:space="preserve">Table </w:t>
      </w:r>
      <w:r>
        <w:fldChar w:fldCharType="begin"/>
      </w:r>
      <w:r>
        <w:instrText xml:space="preserve"> SEQ Table \* ARABIC </w:instrText>
      </w:r>
      <w:r>
        <w:fldChar w:fldCharType="separate"/>
      </w:r>
      <w:r>
        <w:rPr>
          <w:noProof/>
        </w:rPr>
        <w:t xml:space="preserve">38</w:t>
      </w:r>
      <w:r>
        <w:fldChar w:fldCharType="end"/>
      </w:r>
      <w:r>
        <w:t xml:space="preserve"> – Interoperability with OpenUSD and Omniverse</w:t>
      </w:r>
      <w:bookmarkEnd w:id="5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OPC UA (this model)</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OpenUSD</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OpenUsdStageType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 composed </w:t>
            </w:r>
            <w:r>
              <w:rPr>
                <w:rStyle w:val="VARIABLE"/>
              </w:rPr>
              <w:t xml:space="preserve">UsdStage</w:t>
            </w:r>
            <w:r>
              <w:t xml:space="preserve"> (root + session layers, resolver context)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OpenUsdRepresentation.PrimPath</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an </w:t>
            </w:r>
            <w:r>
              <w:rPr>
                <w:rStyle w:val="VARIABLE"/>
              </w:rPr>
              <w:t xml:space="preserve">SdfPath</w:t>
            </w:r>
            <w:r>
              <w:t xml:space="preserve"> prim on that stage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 </w:t>
            </w:r>
            <w:r>
              <w:rPr>
                <w:rStyle w:val="VARIABLE"/>
              </w:rPr>
              <w:t xml:space="preserve">UsdAttribute</w:t>
            </w:r>
            <w:r>
              <w:t xml:space="preserve"> on the target prim</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RenderTargetKind = Rotation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xformOp:rotateZ</w:t>
            </w:r>
            <w:r>
              <w:t xml:space="preserve"> / </w:t>
            </w:r>
            <w:r>
              <w:rPr>
                <w:rStyle w:val="VARIABLE"/>
              </w:rPr>
              <w:t xml:space="preserve">xformOp:orient</w:t>
            </w:r>
            <w:r>
              <w:t xml:space="preserve"> on a </w:t>
            </w:r>
            <w:r>
              <w:rPr>
                <w:rStyle w:val="VARIABLE"/>
              </w:rPr>
              <w:t xml:space="preserve">UsdGeomXformable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RenderTargetKind = DisplayColor</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primvars:displayColor</w:t>
            </w:r>
            <w:r>
              <w:t xml:space="preserve"> on a </w:t>
            </w:r>
            <w:r>
              <w:rPr>
                <w:rStyle w:val="VARIABLE"/>
              </w:rPr>
              <w:t xml:space="preserve">UsdGeomGprim</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RenderTargetKind = EmissiveColor</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inputs:emissiveColor</w:t>
            </w:r>
            <w:r>
              <w:t xml:space="preserve"> on a bound </w:t>
            </w:r>
            <w:r>
              <w:rPr>
                <w:rStyle w:val="VARIABLE"/>
              </w:rPr>
              <w:t xml:space="preserve">UsdPreviewSurface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RenderTargetKind = Visibility</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visibility</w:t>
            </w:r>
            <w:r>
              <w:t xml:space="preserve"> on a </w:t>
            </w:r>
            <w:r>
              <w:rPr>
                <w:rStyle w:val="VARIABLE"/>
              </w:rPr>
              <w:t xml:space="preserve">UsdGeomImageable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transform profile (RSL 3D frame)</w:t>
            </w:r>
          </w:p>
        </w:tc>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xformOp:transform</w:t>
            </w:r>
            <w:r>
              <w:t xml:space="preserve"> (matrix4d) or decomposed translate + orient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prim hierarchy: a </w:t>
            </w:r>
            <w:r>
              <w:rPr>
                <w:rStyle w:val="VARIABLE"/>
              </w:rPr>
              <w:t xml:space="preserve">Child</w:t>
            </w:r>
            <w:r>
              <w:t xml:space="preserve"> nested prim, a </w:t>
            </w:r>
            <w:r>
              <w:rPr>
                <w:rStyle w:val="VARIABLE"/>
              </w:rPr>
              <w:t xml:space="preserve">references</w:t>
            </w:r>
            <w:r>
              <w:t xml:space="preserve">/</w:t>
            </w:r>
            <w:r>
              <w:rPr>
                <w:rStyle w:val="VARIABLE"/>
              </w:rPr>
              <w:t xml:space="preserve">payload</w:t>
            </w:r>
            <w:r>
              <w:t xml:space="preserve"> to a sub-asset, or an </w:t>
            </w:r>
            <w:r>
              <w:rPr>
                <w:rStyle w:val="VARIABLE"/>
              </w:rPr>
              <w:t xml:space="preserve">instanceable</w:t>
            </w:r>
            <w:r>
              <w:t xml:space="preserve"> reference (1..n)</w:t>
            </w:r>
          </w:p>
        </w:tc>
      </w:tr>
    </w:tbl>
    <w:p>
      <w:pPr>
        <w:pStyle w:val="spacer"/>
      </w:pPr>
    </w:p>
    <w:p>
      <w:pPr>
        <w:pStyle w:val="ANNEX-heading1"/>
      </w:pPr>
      <w:bookmarkStart w:id="568" w:name="_Clause_cC_1"/>
      <w:r>
        <w:t xml:space="preserve">Omniverse realization</w:t>
      </w:r>
      <w:bookmarkEnd w:id="568"/>
    </w:p>
    <w:p>
      <w:pPr>
        <w:pStyle w:val="PARAGRAPH"/>
      </w:pPr>
      <w:r>
        <w:t xml:space="preserve">In NVIDIA Omniverse a connector opens the stage on Nucleus, creates or joins a </w:t>
      </w:r>
      <w:r>
        <w:rPr>
          <w:rStyle w:val="VARIABLE"/>
        </w:rPr>
        <w:t xml:space="preserve">.live</w:t>
      </w:r>
      <w:r>
        <w:t xml:space="preserve"> layer, and writes target attributes there (flushing with </w:t>
      </w:r>
      <w:r>
        <w:rPr>
          <w:rStyle w:val="VARIABLE"/>
        </w:rPr>
        <w:t xml:space="preserve">omni.client.live_process()</w:t>
      </w:r>
      <w:r>
        <w:t xml:space="preserve"> on the main thread), or applies high-rate updates through a </w:t>
      </w:r>
      <w:r>
        <w:rPr>
          <w:b/>
        </w:rPr>
        <w:t xml:space="preserve">runtime scene cache (USDRT)</w:t>
      </w:r>
      <w:r>
        <w:t xml:space="preserve"> and coalesces to the latest value </w:t>
      </w:r>
      <w:r>
        <w:rPr>
          <w:b/>
        </w:rPr>
        <w:t xml:space="preserve">once per render frame</w:t>
      </w:r>
      <w:r>
        <w:t xml:space="preserve"> rather than persisting every sample. USD-side command intents (</w:t>
      </w:r>
      <w:r>
        <w:fldChar w:fldCharType="begin"/>
      </w:r>
      <w:r>
        <w:instrText xml:space="preserve"> REF _Clause_c7_8 \r \h </w:instrText>
      </w:r>
      <w:r>
        <w:fldChar w:fldCharType="separate"/>
      </w:r>
      <w:r>
        <w:rPr>
          <w:noProof/>
        </w:rPr>
        <w:t xml:space="preserve">7.8</w:t>
      </w:r>
      <w:r>
        <w:fldChar w:fldCharType="end"/>
      </w:r>
      <w:r>
        <w:t xml:space="preserve">) map to an OmniGraph/Action Graph node that issues the authorized OPC UA write/</w:t>
      </w:r>
      <w:r>
        <w:rPr>
          <w:rStyle w:val="VARIABLE"/>
        </w:rPr>
        <w:t xml:space="preserve">Method</w:t>
      </w:r>
      <w:r>
        <w:t xml:space="preserve"> call. These behaviors are a vendor profile and are not part of the portable model; the base model must not normatively require Kit, USDRT, Nucleus, </w:t>
      </w:r>
      <w:r>
        <w:rPr>
          <w:rStyle w:val="VARIABLE"/>
        </w:rPr>
        <w:t xml:space="preserve">.live</w:t>
      </w:r>
      <w:r>
        <w:t xml:space="preserve">, MDL, or PhysX.</w:t>
      </w:r>
    </w:p>
    <w:p>
      <w:pPr>
        <w:pStyle w:val="ANNEX-heading1"/>
      </w:pPr>
      <w:bookmarkStart w:id="569" w:name="_Clause_cC_2"/>
      <w:r>
        <w:t xml:space="preserve">Alignment with an asset-definition-centric strategy</w:t>
      </w:r>
      <w:bookmarkEnd w:id="569"/>
    </w:p>
    <w:p>
      <w:pPr>
        <w:pStyle w:val="PARAGRAPH"/>
      </w:pPr>
      <w:r>
        <w:t xml:space="preserve">This model is the </w:t>
      </w:r>
      <w:r>
        <w:rPr>
          <w:b/>
        </w:rPr>
        <w:t xml:space="preserve">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pPr>
        <w:pStyle w:val="ListBullet"/>
        <w:numPr>
          <w:ilvl w:val="0"/>
          <w:numId w:val="21"/>
        </w:numPr>
      </w:pPr>
      <w:r>
        <w:rPr>
          <w:b/>
        </w:rPr>
        <w:t xml:space="preserve">Declared, discoverable binding.</w:t>
      </w:r>
      <w:r>
        <w:t xml:space="preserve"> The signal → USD-prim binding lives in the OPC UA address space (browsable, versioned, discoverable), so visualization is a </w:t>
      </w:r>
      <w:r>
        <w:rPr>
          <w:i/>
        </w:rPr>
        <w:t xml:space="preserve">projection</w:t>
      </w:r>
      <w:r>
        <w:t xml:space="preserve"> of the asset definition rather than a bespoke per-scene integration. This is exactly the "declared signal → USD-prim binding contract" the strategy needs on the spine.</w:t>
      </w:r>
    </w:p>
    <w:p>
      <w:pPr>
        <w:pStyle w:val="ListBullet"/>
        <w:numPr>
          <w:ilvl w:val="0"/>
          <w:numId w:val="21"/>
        </w:numPr>
      </w:pPr>
      <w:r>
        <w:rPr>
          <w:b/>
        </w:rPr>
        <w:t xml:space="preserve">Semantic-id portability.</w:t>
      </w:r>
      <w:r>
        <w:t xml:space="preserve"> </w:t>
      </w:r>
      <w:r>
        <w:rPr>
          <w:rStyle w:val="VARIABLE"/>
        </w:rPr>
        <w:t xml:space="preserve">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E).</w:t>
      </w:r>
    </w:p>
    <w:p>
      <w:pPr>
        <w:pStyle w:val="ListBullet"/>
        <w:numPr>
          <w:ilvl w:val="0"/>
          <w:numId w:val="21"/>
        </w:numPr>
      </w:pPr>
      <w:r>
        <w:rPr>
          <w:b/>
        </w:rPr>
        <w:t xml:space="preserve">Signal role + command.</w:t>
      </w:r>
      <w:r>
        <w:t xml:space="preserve"> </w:t>
      </w:r>
      <w:r>
        <w:rPr>
          <w:rStyle w:val="VARIABLE"/>
        </w:rPr>
        <w:t xml:space="preserve">SignalRole</w:t>
      </w:r>
      <w:r>
        <w:t xml:space="preserve"> mirrors the strategy's </w:t>
      </w:r>
      <w:r>
        <w:rPr>
          <w:i/>
        </w:rPr>
        <w:t xml:space="preserve">observable vs controllable</w:t>
      </w:r>
      <w:r>
        <w:t xml:space="preserve"> signal tagging, and </w:t>
      </w:r>
      <w:r>
        <w:rPr>
          <w:rStyle w:val="VARIABLE"/>
        </w:rPr>
        <w:t xml:space="preserve">OpenUsdCommandBindingType</w:t>
      </w:r>
      <w:r>
        <w:t xml:space="preserve"> provides the authorized, opt-in control path an agent needs to </w:t>
      </w:r>
      <w:r>
        <w:rPr>
          <w:i/>
        </w:rPr>
        <w:t xml:space="preserve">act</w:t>
      </w:r>
      <w:r>
        <w:t xml:space="preserve"> on the plant (gated externally by the operating envelope).</w:t>
      </w:r>
    </w:p>
    <w:p>
      <w:pPr>
        <w:pStyle w:val="ListBullet"/>
        <w:numPr>
          <w:ilvl w:val="0"/>
          <w:numId w:val="21"/>
        </w:numPr>
      </w:pPr>
      <w:r>
        <w:rPr>
          <w:b/>
        </w:rPr>
        <w:t xml:space="preserve">Twin BOM integrity.</w:t>
      </w:r>
      <w:r>
        <w:t xml:space="preserve"> </w:t>
      </w:r>
      <w:r>
        <w:rPr>
          <w:rStyle w:val="VARIABLE"/>
        </w:rPr>
        <w:t xml:space="preserve">RootLayerDigest</w:t>
      </w:r>
      <w:r>
        <w:t xml:space="preserve">/</w:t>
      </w:r>
      <w:r>
        <w:rPr>
          <w:rStyle w:val="VARIABLE"/>
        </w:rPr>
        <w:t xml:space="preserve">Signature</w:t>
      </w:r>
      <w:r>
        <w:t xml:space="preserve">/</w:t>
      </w:r>
      <w:r>
        <w:rPr>
          <w:rStyle w:val="VARIABLE"/>
        </w:rPr>
        <w:t xml:space="preserve">ProvenanceUri</w:t>
      </w:r>
      <w:r>
        <w:t xml:space="preserve"> let the referenced USD asset be digest-pinned and verified, so the visual reference can be packaged into a signed </w:t>
      </w:r>
      <w:r>
        <w:rPr>
          <w:i/>
        </w:rPr>
        <w:t xml:space="preserve">Twin BOM</w:t>
      </w:r>
      <w:r>
        <w:t xml:space="preserve"> alongside the definition, semantic ids, and provenance.</w:t>
      </w:r>
    </w:p>
    <w:p>
      <w:pPr>
        <w:pStyle w:val="ListBullet"/>
        <w:numPr>
          <w:ilvl w:val="0"/>
          <w:numId w:val="21"/>
        </w:numPr>
      </w:pPr>
      <w:r>
        <w:rPr>
          <w:b/>
        </w:rPr>
        <w:t xml:space="preserve">Twin BOM payload delivery.</w:t>
      </w:r>
      <w:r>
        <w:t xml:space="preserve"> Optional </w:t>
      </w:r>
      <w:r>
        <w:rPr>
          <w:rStyle w:val="VARIABLE"/>
        </w:rPr>
        <w:t xml:space="preserve">OpenUsdStageType.Assets</w:t>
      </w:r>
      <w:r>
        <w:t xml:space="preserve"> lets the machine ship the signed </w:t>
      </w:r>
      <w:r>
        <w:rPr>
          <w:i/>
        </w:rPr>
        <w:t xml:space="preserve">Twin BOM</w:t>
      </w:r>
      <w:r>
        <w:t xml:space="preserve"> payload itself — root layer, component assets, packages, and textures — through OPC UA, enabling zero-setup remote rendering of the twin without a preconfigured external asset repository.</w:t>
      </w:r>
    </w:p>
    <w:p>
      <w:pPr>
        <w:pStyle w:val="ListBullet"/>
        <w:numPr>
          <w:ilvl w:val="0"/>
          <w:numId w:val="21"/>
        </w:numPr>
      </w:pPr>
      <w:r>
        <w:rPr>
          <w:b/>
        </w:rPr>
        <w:t xml:space="preserve">Composition = the asset structure / BOM.</w:t>
      </w:r>
      <w:r>
        <w:t xml:space="preserve"> </w:t>
      </w:r>
      <w:r>
        <w:rPr>
          <w:rStyle w:val="VARIABLE"/>
        </w:rPr>
        <w:t xml:space="preserve">OpenUsdComponentBindingType</w:t>
      </w:r>
      <w:r>
        <w:t xml:space="preserve"> projects the asset's </w:t>
      </w:r>
      <w:r>
        <w:rPr>
          <w:i/>
        </w:rPr>
        <w:t xml:space="preserve">is-composed-of</w:t>
      </w:r>
      <w:r>
        <w:t xml:space="preserve"> structure (1:1 and 1..n, static or dynamic, even across vendor servers) onto the USD prim hierarchy, so the visual twin mirrors the same component breakdown the spine and the </w:t>
      </w:r>
      <w:r>
        <w:rPr>
          <w:i/>
        </w:rPr>
        <w:t xml:space="preserve">Twin BOM</w:t>
      </w:r>
      <w:r>
        <w:t xml:space="preserve"> declare — assembled from referenced/instanced OEM sub-assets rather than re-modelled per scene.</w:t>
      </w:r>
    </w:p>
    <w:p>
      <w:pPr>
        <w:pStyle w:val="ListBullet"/>
        <w:numPr>
          <w:ilvl w:val="0"/>
          <w:numId w:val="21"/>
        </w:numPr>
      </w:pPr>
      <w:r>
        <w:rPr>
          <w:b/>
        </w:rPr>
        <w:t xml:space="preserve">OpenUSD-native, not runtime-captive.</w:t>
      </w:r>
      <w:r>
        <w:t xml:space="preserve"> The normative model is AOUSD-native; Omniverse is an informative realization (§C.1), so the asset definition is not captive to one runtime.</w:t>
      </w:r>
    </w:p>
    <w:p>
      <w:pPr>
        <w:pStyle w:val="PARAGRAPH"/>
      </w:pPr>
      <w:r>
        <w:t xml:space="preserve">The intended standards path is a family of thin, composable binding contracts (this OpenUSD binding being one) advanced through the OPC Foundation and bridged to the AAS/IDTA on shared semantic ids, rather than a single monolithic profile.</w:t>
      </w:r>
    </w:p>
    <w:p>
      <w:pPr>
        <w:pStyle w:val="ANNEXtitle"/>
        <w:pageBreakBefore/>
      </w:pPr>
      <w:bookmarkStart w:id="570" w:name="_Annex_cD"/>
      <w:r>
        <w:t xml:space="preserve">(informative)</w:t>
      </w:r>
      <w:r>
        <w:br/>
      </w:r>
      <w:r>
        <w:br/>
      </w:r>
      <w:r>
        <w:t xml:space="preserve">End-to-end collaboration flow</w:t>
      </w:r>
      <w:bookmarkEnd w:id="570"/>
    </w:p>
    <w:p>
      <w:pPr>
        <w:pStyle w:val="PARAGRAPH"/>
      </w:pPr>
      <w:r>
        <w:t xml:space="preserve">This annex walks a complete "live digital twin" scenario to show </w:t>
      </w:r>
      <w:r>
        <w:rPr>
          <w:b/>
        </w:rPr>
        <w:t xml:space="preserve">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pPr>
        <w:pStyle w:val="ANNEX-heading1"/>
      </w:pPr>
      <w:bookmarkStart w:id="571" w:name="_Clause_cD_1"/>
      <w:r>
        <w:t xml:space="preserve">Actors and what each contributes</w:t>
      </w:r>
      <w:bookmarkEnd w:id="571"/>
    </w:p>
    <w:p>
      <w:pPr>
        <w:pStyle w:val="TABLE-title"/>
        <w:keepNext/>
      </w:pPr>
      <w:bookmarkStart w:id="572" w:name="_Tab_actors_and_what_each_contributes_tab1"/>
      <w:r>
        <w:t xml:space="preserve">Table </w:t>
      </w:r>
      <w:r>
        <w:fldChar w:fldCharType="begin"/>
      </w:r>
      <w:r>
        <w:instrText xml:space="preserve"> SEQ Table \* ARABIC </w:instrText>
      </w:r>
      <w:r>
        <w:fldChar w:fldCharType="separate"/>
      </w:r>
      <w:r>
        <w:rPr>
          <w:noProof/>
        </w:rPr>
        <w:t xml:space="preserve">39</w:t>
      </w:r>
      <w:r>
        <w:fldChar w:fldCharType="end"/>
      </w:r>
      <w:r>
        <w:t xml:space="preserve"> – Actors and what each contributes</w:t>
      </w:r>
      <w:bookmarkEnd w:id="5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Actor</w:t>
            </w:r>
          </w:p>
        </w:tc>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Provides</w:t>
            </w:r>
          </w:p>
        </w:tc>
        <w:tc>
          <w:tcPr>
            <w:tcW w:w="2231" w:type="dxa"/>
            <w:tcBorders>
              <w:top w:val="single" w:sz="4" w:space="0" w:color="auto"/>
              <w:left w:val="single" w:sz="4" w:space="0" w:color="auto"/>
              <w:bottom w:val="double" w:sz="4" w:space="0" w:color="auto"/>
              <w:right w:val="single" w:sz="4" w:space="0" w:color="auto"/>
            </w:tcBorders>
          </w:tcPr>
          <w:p>
            <w:pPr>
              <w:pStyle w:val="TableText"/>
            </w:pPr>
            <w:r>
              <w:t xml:space="preserve">Leverages / consumes</w:t>
            </w:r>
          </w:p>
        </w:tc>
        <w:tc>
          <w:tcPr>
            <w:tcW w:w="2233" w:type="dxa"/>
            <w:tcBorders>
              <w:top w:val="single" w:sz="4" w:space="0" w:color="auto"/>
              <w:left w:val="single" w:sz="4" w:space="0" w:color="auto"/>
              <w:bottom w:val="double" w:sz="4" w:space="0" w:color="auto"/>
              <w:right w:val="single" w:sz="4" w:space="0" w:color="auto"/>
            </w:tcBorders>
          </w:tcPr>
          <w:p>
            <w:pPr>
              <w:pStyle w:val="TableText"/>
            </w:pPr>
            <w:r>
              <w:t xml:space="preserve">Works at layer</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b/>
              </w:rPr>
              <w:t xml:space="preserve">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The domain information model (e.g., </w:t>
            </w:r>
            <w:r>
              <w:rPr>
                <w:rStyle w:val="VARIABLE"/>
              </w:rPr>
              <w:t xml:space="preserve">PumpType</w:t>
            </w:r>
            <w:r>
              <w:t xml:space="preserve">,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Core OPC UA.</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OPC UA type model</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b/>
              </w:rPr>
              <w:t xml:space="preserve">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OpenUSD core.</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USD schema</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b/>
              </w:rPr>
              <w:t xml:space="preserve">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The two model layers above.</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OPC UA ⇄ USD contract</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b/>
              </w:rPr>
              <w:t xml:space="preserve">Asset / machine OEM</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An OPC UA </w:t>
            </w:r>
            <w:r>
              <w:rPr>
                <w:b/>
              </w:rPr>
              <w:t xml:space="preserve">server</w:t>
            </w:r>
            <w:r>
              <w:t xml:space="preserve"> that exposes the domain model </w:t>
            </w:r>
            <w:r>
              <w:rPr>
                <w:b/>
              </w:rPr>
              <w:t xml:space="preserve">and</w:t>
            </w:r>
            <w:r>
              <w:t xml:space="preserve"> this binding model (a representation per Object + its live bindings); often ships the machine's </w:t>
            </w:r>
            <w:r>
              <w:rPr>
                <w:b/>
              </w:rPr>
              <w:t xml:space="preserve">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Domain spec + this spec.</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Server + USD asset</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b/>
              </w:rPr>
              <w:t xml:space="preserve">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The machine/plant </w:t>
            </w:r>
            <w:r>
              <w:rPr>
                <w:b/>
              </w:rPr>
              <w:t xml:space="preserve">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USD schemas.</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USD layers</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b/>
              </w:rPr>
              <w:t xml:space="preserve">System integrator / plant operator</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The composed </w:t>
            </w:r>
            <w:r>
              <w:rPr>
                <w:b/>
              </w:rPr>
              <w:t xml:space="preserve">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OEM servers + OEM/asset layers.</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USD composition + config</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b/>
              </w:rPr>
              <w:t xml:space="preserve">Connector / tool vendor</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A </w:t>
            </w:r>
            <w:r>
              <w:rPr>
                <w:b/>
              </w:rPr>
              <w:t xml:space="preserve">generic connector</w:t>
            </w:r>
            <w:r>
              <w:t xml:space="preserve"> that discovers </w:t>
            </w:r>
            <w:r>
              <w:rPr>
                <w:rStyle w:val="VARIABLE"/>
              </w:rPr>
              <w:t xml:space="preserve">Server/OpenUSD</w:t>
            </w:r>
            <w:r>
              <w:t xml:space="preserve">,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This spec only.</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Runtime bridge</w:t>
            </w:r>
          </w:p>
        </w:tc>
      </w:tr>
      <w:tr>
        <w:trPr>
          <w:jc w:val="center"/>
        </w:trPr>
        <w:tc>
          <w:tcPr>
            <w:tcW w:w="2231" w:type="dxa"/>
            <w:tcBorders>
              <w:top w:val="single" w:sz="4" w:space="0" w:color="auto"/>
              <w:left w:val="single" w:sz="4" w:space="0" w:color="auto"/>
              <w:bottom w:val="single" w:sz="4" w:space="0" w:color="auto"/>
              <w:right w:val="single" w:sz="4" w:space="0" w:color="auto"/>
            </w:tcBorders>
          </w:tcPr>
          <w:p>
            <w:pPr>
              <w:pStyle w:val="TableText"/>
            </w:pPr>
            <w:r>
              <w:rPr>
                <w:b/>
              </w:rPr>
              <w:t xml:space="preserve">Visualization / Omniverse operator</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The running </w:t>
            </w:r>
            <w:r>
              <w:rPr>
                <w:b/>
              </w:rPr>
              <w:t xml:space="preserve">renderer</w:t>
            </w:r>
            <w:r>
              <w:t xml:space="preserve"> (Omniverse RTX, </w:t>
            </w:r>
            <w:r>
              <w:rPr>
                <w:rStyle w:val="VARIABLE"/>
              </w:rPr>
              <w:t xml:space="preserve">usdview</w:t>
            </w:r>
            <w:r>
              <w:t xml:space="preserve">, web) over the live stage.</w:t>
            </w:r>
          </w:p>
        </w:tc>
        <w:tc>
          <w:tcPr>
            <w:tcW w:w="2231" w:type="dxa"/>
            <w:tcBorders>
              <w:top w:val="single" w:sz="4" w:space="0" w:color="auto"/>
              <w:left w:val="single" w:sz="4" w:space="0" w:color="auto"/>
              <w:bottom w:val="single" w:sz="4" w:space="0" w:color="auto"/>
              <w:right w:val="single" w:sz="4" w:space="0" w:color="auto"/>
            </w:tcBorders>
          </w:tcPr>
          <w:p>
            <w:pPr>
              <w:pStyle w:val="TableText"/>
            </w:pPr>
            <w:r>
              <w:t xml:space="preserve">The composed stage + connector output.</w:t>
            </w:r>
          </w:p>
        </w:tc>
        <w:tc>
          <w:tcPr>
            <w:tcW w:w="2233" w:type="dxa"/>
            <w:tcBorders>
              <w:top w:val="single" w:sz="4" w:space="0" w:color="auto"/>
              <w:left w:val="single" w:sz="4" w:space="0" w:color="auto"/>
              <w:bottom w:val="single" w:sz="4" w:space="0" w:color="auto"/>
              <w:right w:val="single" w:sz="4" w:space="0" w:color="auto"/>
            </w:tcBorders>
          </w:tcPr>
          <w:p>
            <w:pPr>
              <w:pStyle w:val="TableText"/>
            </w:pPr>
            <w:r>
              <w:t xml:space="preserve">Presentation</w:t>
            </w:r>
          </w:p>
        </w:tc>
      </w:tr>
    </w:tbl>
    <w:p>
      <w:pPr>
        <w:pStyle w:val="spacer"/>
      </w:pPr>
    </w:p>
    <w:p>
      <w:pPr>
        <w:pStyle w:val="PARAGRAPH"/>
      </w:pPr>
      <w:r>
        <w:t xml:space="preserve">The key property: each actor depends only on the </w:t>
      </w:r>
      <w:r>
        <w:rPr>
          <w:b/>
        </w:rPr>
        <w:t xml:space="preserve">published contract</w:t>
      </w:r>
      <w:r>
        <w:t xml:space="preserve"> of the layer beneath it, never on another actor's internal choices. A connector vendor never learns "pump"; a machine OEM never learns which renderer will be used; an artist never learns which NodeIds carry the data.</w:t>
      </w:r>
    </w:p>
    <w:p>
      <w:pPr>
        <w:pStyle w:val="ANNEX-heading1"/>
      </w:pPr>
      <w:bookmarkStart w:id="573" w:name="_Clause_cD_2"/>
      <w:r>
        <w:t xml:space="preserve">The flow</w:t>
      </w:r>
      <w:bookmarkEnd w:id="573"/>
    </w:p>
    <w:p>
      <w:pPr>
        <w:pStyle w:val="FIGURE"/>
      </w:pPr>
      <w:r>
        <w:object w:dxaOrig="17070" w:dyaOrig="9840">
          <v:shape id="_x0000_i1027" type="#_x0000_t75" style="width:430.00pt;height:247.87pt" o:ole="">
            <v:imagedata r:id="rId134" o:title=""/>
          </v:shape>
          <o:OLEObject Type="Embed" ProgID="PowerPoint.Show.12" ShapeID="_x0000_i1027" DrawAspect="Content" ObjectID="_1900000003" r:id="rId135"/>
        </w:object>
      </w:r>
    </w:p>
    <w:p>
      <w:pPr>
        <w:pStyle w:val="FIGURE-title"/>
      </w:pPr>
      <w:bookmarkStart w:id="574" w:name="_Fig_fig_collaboration"/>
      <w:r>
        <w:t xml:space="preserve">Figure </w:t>
      </w:r>
      <w:r>
        <w:fldChar w:fldCharType="begin"/>
      </w:r>
      <w:r>
        <w:instrText xml:space="preserve"> SEQ Figure \* ARABIC </w:instrText>
      </w:r>
      <w:r>
        <w:fldChar w:fldCharType="separate"/>
      </w:r>
      <w:r>
        <w:rPr>
          <w:noProof/>
        </w:rPr>
        <w:t xml:space="preserve">3</w:t>
      </w:r>
      <w:r>
        <w:fldChar w:fldCharType="end"/>
      </w:r>
      <w:r>
        <w:t xml:space="preserve"> – End-to-end collaboration flow</w:t>
      </w:r>
      <w:bookmarkEnd w:id="574"/>
    </w:p>
    <w:p>
      <w:pPr>
        <w:pStyle w:val="ANNEX-heading1"/>
      </w:pPr>
      <w:bookmarkStart w:id="575" w:name="_Clause_cD_3"/>
      <w:r>
        <w:t xml:space="preserve">Where the contract lives at each hand-off</w:t>
      </w:r>
      <w:bookmarkEnd w:id="575"/>
    </w:p>
    <w:p>
      <w:pPr>
        <w:pStyle w:val="ListBullet"/>
        <w:numPr>
          <w:ilvl w:val="0"/>
          <w:numId w:val="21"/>
        </w:numPr>
      </w:pPr>
      <w:r>
        <w:rPr>
          <w:b/>
        </w:rPr>
        <w:t xml:space="preserve">OEM → integrator:</w:t>
      </w:r>
      <w:r>
        <w:t xml:space="preserve"> the server's </w:t>
      </w:r>
      <w:r>
        <w:rPr>
          <w:rStyle w:val="VARIABLE"/>
        </w:rPr>
        <w:t xml:space="preserve">Server/OpenUSD</w:t>
      </w:r>
      <w:r>
        <w:t xml:space="preserve"> graph </w:t>
      </w:r>
      <w:r>
        <w:rPr>
          <w:i/>
        </w:rPr>
        <w:t xml:space="preserve">is</w:t>
      </w:r>
      <w:r>
        <w:t xml:space="preserve"> the interface. The integrator does not read OEM connector code; they browse the representation and bindings.</w:t>
      </w:r>
    </w:p>
    <w:p>
      <w:pPr>
        <w:pStyle w:val="ListBullet"/>
        <w:numPr>
          <w:ilvl w:val="0"/>
          <w:numId w:val="21"/>
        </w:numPr>
      </w:pPr>
      <w:r>
        <w:rPr>
          <w:b/>
        </w:rPr>
        <w:t xml:space="preserve">Artist → OEM/integrator:</w:t>
      </w:r>
      <w:r>
        <w:t xml:space="preserve"> the USD </w:t>
      </w:r>
      <w:r>
        <w:rPr>
          <w:b/>
        </w:rPr>
        <w:t xml:space="preserve">prim paths and attribute names</w:t>
      </w:r>
      <w:r>
        <w:t xml:space="preserve"> are the interface. As long as </w:t>
      </w:r>
      <w:r>
        <w:rPr>
          <w:rStyle w:val="VARIABLE"/>
        </w:rPr>
        <w:t xml:space="preserve">PrimPath</w:t>
      </w:r>
      <w:r>
        <w:t xml:space="preserve">, </w:t>
      </w:r>
      <w:r>
        <w:rPr>
          <w:rStyle w:val="VARIABLE"/>
        </w:rPr>
        <w:t xml:space="preserve">TargetPrimPath</w:t>
      </w:r>
      <w:r>
        <w:t xml:space="preserve">, and </w:t>
      </w:r>
      <w:r>
        <w:rPr>
          <w:rStyle w:val="VARIABLE"/>
        </w:rPr>
        <w:t xml:space="preserve">TargetPropertyName</w:t>
      </w:r>
      <w:r>
        <w:t xml:space="preserve"> match the authored asset, either side can change independently.</w:t>
      </w:r>
    </w:p>
    <w:p>
      <w:pPr>
        <w:pStyle w:val="ListBullet"/>
        <w:numPr>
          <w:ilvl w:val="0"/>
          <w:numId w:val="21"/>
        </w:numPr>
      </w:pPr>
      <w:r>
        <w:rPr>
          <w:b/>
        </w:rPr>
        <w:t xml:space="preserve">Connector vendor → everyone:</w:t>
      </w:r>
      <w:r>
        <w:t xml:space="preserve"> the connector consumes only this spec's model. The same binary serves a pump server, a robot server, and a line server.</w:t>
      </w:r>
    </w:p>
    <w:p>
      <w:pPr>
        <w:pStyle w:val="ListBullet"/>
        <w:numPr>
          <w:ilvl w:val="0"/>
          <w:numId w:val="21"/>
        </w:numPr>
      </w:pPr>
      <w:r>
        <w:rPr>
          <w:b/>
        </w:rPr>
        <w:t xml:space="preserve">Integrator → visualization:</w:t>
      </w:r>
      <w:r>
        <w:t xml:space="preserve"> the composed stage plus the connector's live overrides are the interface; the operator swaps renderers freely.</w:t>
      </w:r>
    </w:p>
    <w:p>
      <w:pPr>
        <w:pStyle w:val="ANNEX-heading1"/>
      </w:pPr>
      <w:bookmarkStart w:id="576" w:name="_Clause_cD_4"/>
      <w:r>
        <w:t xml:space="preserve">Concrete pass: the pump example</w:t>
      </w:r>
      <w:bookmarkEnd w:id="576"/>
    </w:p>
    <w:p>
      <w:pPr>
        <w:pStyle w:val="ListNumber"/>
        <w:numPr>
          <w:ilvl w:val="0"/>
          <w:numId w:val="21"/>
        </w:numPr>
      </w:pPr>
      <w:r>
        <w:t xml:space="preserve">The </w:t>
      </w:r>
      <w:r>
        <w:rPr>
          <w:b/>
        </w:rPr>
        <w:t xml:space="preserve">Pumps working group</w:t>
      </w:r>
      <w:r>
        <w:t xml:space="preserve"> publishes </w:t>
      </w:r>
      <w:r>
        <w:rPr>
          <w:rStyle w:val="VARIABLE"/>
        </w:rPr>
        <w:t xml:space="preserve">PumpType</w:t>
      </w:r>
      <w:r>
        <w:t xml:space="preserve"> (OPC 40223). The </w:t>
      </w:r>
      <w:r>
        <w:rPr>
          <w:b/>
        </w:rPr>
        <w:t xml:space="preserve">binding spec</w:t>
      </w:r>
      <w:r>
        <w:t xml:space="preserve"> (this document) publishes the representation/binding model.</w:t>
      </w:r>
    </w:p>
    <w:p>
      <w:pPr>
        <w:pStyle w:val="ListNumber"/>
        <w:numPr>
          <w:ilvl w:val="0"/>
          <w:numId w:val="21"/>
        </w:numPr>
      </w:pPr>
      <w:r>
        <w:t xml:space="preserve">A </w:t>
      </w:r>
      <w:r>
        <w:rPr>
          <w:b/>
        </w:rPr>
        <w:t xml:space="preserve">pump OEM</w:t>
      </w:r>
      <w:r>
        <w:t xml:space="preserve"> ships a server whose </w:t>
      </w:r>
      <w:r>
        <w:rPr>
          <w:rStyle w:val="VARIABLE"/>
        </w:rPr>
        <w:t xml:space="preserve">Pump #1</w:t>
      </w:r>
      <w:r>
        <w:t xml:space="preserve"> carries an </w:t>
      </w:r>
      <w:r>
        <w:rPr>
          <w:rStyle w:val="VARIABLE"/>
        </w:rPr>
        <w:t xml:space="preserve">OpenUsdRepresentation</w:t>
      </w:r>
      <w:r>
        <w:t xml:space="preserve"> (</w:t>
      </w:r>
      <w:r>
        <w:rPr>
          <w:rStyle w:val="VARIABLE"/>
        </w:rPr>
        <w:t xml:space="preserve">PrimPath = /Plant/Pumps/P101</w:t>
      </w:r>
      <w:r>
        <w:t xml:space="preserve">) and three bindings: </w:t>
      </w:r>
      <w:r>
        <w:rPr>
          <w:rStyle w:val="VARIABLE"/>
        </w:rPr>
        <w:t xml:space="preserve">MassFlow → xformOp:rotateZ</w:t>
      </w:r>
      <w:r>
        <w:t xml:space="preserve">, </w:t>
      </w:r>
      <w:r>
        <w:rPr>
          <w:rStyle w:val="VARIABLE"/>
        </w:rPr>
        <w:t xml:space="preserve">BearingTemperature → primvars:displayColor</w:t>
      </w:r>
      <w:r>
        <w:t xml:space="preserve">, </w:t>
      </w:r>
      <w:r>
        <w:rPr>
          <w:rStyle w:val="VARIABLE"/>
        </w:rPr>
        <w:t xml:space="preserve">DifferentialPressure → emissive</w:t>
      </w:r>
      <w:r>
        <w:t xml:space="preserve">.</w:t>
      </w:r>
    </w:p>
    <w:p>
      <w:pPr>
        <w:pStyle w:val="ListNumber"/>
        <w:numPr>
          <w:ilvl w:val="0"/>
          <w:numId w:val="21"/>
        </w:numPr>
      </w:pPr>
      <w:r>
        <w:t xml:space="preserve">A </w:t>
      </w:r>
      <w:r>
        <w:rPr>
          <w:b/>
        </w:rPr>
        <w:t xml:space="preserve">USD artist</w:t>
      </w:r>
      <w:r>
        <w:t xml:space="preserve"> authors </w:t>
      </w:r>
      <w:r>
        <w:rPr>
          <w:rStyle w:val="VARIABLE"/>
        </w:rPr>
        <w:t xml:space="preserve">Plant.usda</w:t>
      </w:r>
      <w:r>
        <w:t xml:space="preserve">: </w:t>
      </w:r>
      <w:r>
        <w:rPr>
          <w:rStyle w:val="VARIABLE"/>
        </w:rPr>
        <w:t xml:space="preserve">/Plant/Pumps/P101</w:t>
      </w:r>
      <w:r>
        <w:t xml:space="preserve"> with a rotatable impeller, a </w:t>
      </w:r>
      <w:r>
        <w:rPr>
          <w:rStyle w:val="VARIABLE"/>
        </w:rPr>
        <w:t xml:space="preserve">Body</w:t>
      </w:r>
      <w:r>
        <w:t xml:space="preserve"> with a display color, and an emissive material.</w:t>
      </w:r>
    </w:p>
    <w:p>
      <w:pPr>
        <w:pStyle w:val="ListNumber"/>
        <w:numPr>
          <w:ilvl w:val="0"/>
          <w:numId w:val="21"/>
        </w:numPr>
      </w:pPr>
      <w:r>
        <w:t xml:space="preserve">A </w:t>
      </w:r>
      <w:r>
        <w:rPr>
          <w:b/>
        </w:rPr>
        <w:t xml:space="preserve">system integrator</w:t>
      </w:r>
      <w:r>
        <w:t xml:space="preserve"> references that asset into the plant stage and points the deployment at the OEM server.</w:t>
      </w:r>
    </w:p>
    <w:p>
      <w:pPr>
        <w:pStyle w:val="ListNumber"/>
        <w:numPr>
          <w:ilvl w:val="0"/>
          <w:numId w:val="21"/>
        </w:numPr>
      </w:pPr>
      <w:r>
        <w:t xml:space="preserve">A </w:t>
      </w:r>
      <w:r>
        <w:rPr>
          <w:b/>
        </w:rPr>
        <w:t xml:space="preserve">connector vendor's</w:t>
      </w:r>
      <w:r>
        <w:t xml:space="preserve"> generic connector browses </w:t>
      </w:r>
      <w:r>
        <w:rPr>
          <w:rStyle w:val="VARIABLE"/>
        </w:rPr>
        <w:t xml:space="preserve">Server/OpenUSD/Representations</w:t>
      </w:r>
      <w:r>
        <w:t xml:space="preserve">, subscribes to the three Variables, converts, and writes a </w:t>
      </w:r>
      <w:r>
        <w:rPr>
          <w:rStyle w:val="VARIABLE"/>
        </w:rPr>
        <w:t xml:space="preserve">.live</w:t>
      </w:r>
      <w:r>
        <w:t xml:space="preserve"> override layer.</w:t>
      </w:r>
    </w:p>
    <w:p>
      <w:pPr>
        <w:pStyle w:val="ListNumber"/>
        <w:numPr>
          <w:ilvl w:val="0"/>
          <w:numId w:val="21"/>
        </w:numPr>
      </w:pPr>
      <w:r>
        <w:t xml:space="preserve">The </w:t>
      </w:r>
      <w:r>
        <w:rPr>
          <w:b/>
        </w:rPr>
        <w:t xml:space="preserve">visualization operator</w:t>
      </w:r>
      <w:r>
        <w:t xml:space="preserve"> opens the composed stage in Omniverse (or </w:t>
      </w:r>
      <w:r>
        <w:rPr>
          <w:rStyle w:val="VARIABLE"/>
        </w:rPr>
        <w:t xml:space="preserve">usdview</w:t>
      </w:r>
      <w:r>
        <w:t xml:space="preserve">) and sees the pump spin, warm toward red, and glow — driven live, with no pump-specific code anywhere in the connector or renderer.</w:t>
      </w:r>
    </w:p>
    <w:p>
      <w:pPr>
        <w:pStyle w:val="ANNEX-heading1"/>
      </w:pPr>
      <w:bookmarkStart w:id="577" w:name="_Clause_cD_5"/>
      <w:r>
        <w:t xml:space="preserve">Concrete pass: the robotics example</w:t>
      </w:r>
      <w:bookmarkEnd w:id="577"/>
    </w:p>
    <w:p>
      <w:pPr>
        <w:pStyle w:val="ListNumber"/>
        <w:numPr>
          <w:ilvl w:val="0"/>
          <w:numId w:val="21"/>
        </w:numPr>
      </w:pPr>
      <w:r>
        <w:t xml:space="preserve">The </w:t>
      </w:r>
      <w:r>
        <w:rPr>
          <w:b/>
        </w:rPr>
        <w:t xml:space="preserve">Robotics working group</w:t>
      </w:r>
      <w:r>
        <w:t xml:space="preserve"> publishes the OPC 40010 </w:t>
      </w:r>
      <w:r>
        <w:rPr>
          <w:rStyle w:val="VARIABLE"/>
        </w:rPr>
        <w:t xml:space="preserve">MotionDeviceSystem</w:t>
      </w:r>
      <w:r>
        <w:t xml:space="preserve">, </w:t>
      </w:r>
      <w:r>
        <w:rPr>
          <w:rStyle w:val="VARIABLE"/>
        </w:rPr>
        <w:t xml:space="preserve">MotionDevice</w:t>
      </w:r>
      <w:r>
        <w:t xml:space="preserve">, and </w:t>
      </w:r>
      <w:r>
        <w:rPr>
          <w:rStyle w:val="VARIABLE"/>
        </w:rPr>
        <w:t xml:space="preserve">Axis</w:t>
      </w:r>
      <w:r>
        <w:t xml:space="preserve"> model. The </w:t>
      </w:r>
      <w:r>
        <w:rPr>
          <w:b/>
        </w:rPr>
        <w:t xml:space="preserve">binding spec</w:t>
      </w:r>
      <w:r>
        <w:t xml:space="preserve"> (this document) publishes the representation/binding model.</w:t>
      </w:r>
    </w:p>
    <w:p>
      <w:pPr>
        <w:pStyle w:val="ListNumber"/>
        <w:numPr>
          <w:ilvl w:val="0"/>
          <w:numId w:val="21"/>
        </w:numPr>
      </w:pPr>
      <w:r>
        <w:t xml:space="preserve">A </w:t>
      </w:r>
      <w:r>
        <w:rPr>
          <w:b/>
        </w:rPr>
        <w:t xml:space="preserve">robot-cell OEM</w:t>
      </w:r>
      <w:r>
        <w:t xml:space="preserve"> ships a server whose </w:t>
      </w:r>
      <w:r>
        <w:rPr>
          <w:rStyle w:val="VARIABLE"/>
        </w:rPr>
        <w:t xml:space="preserve">RobotCell</w:t>
      </w:r>
      <w:r>
        <w:t xml:space="preserve"> carries an </w:t>
      </w:r>
      <w:r>
        <w:rPr>
          <w:rStyle w:val="VARIABLE"/>
        </w:rPr>
        <w:t xml:space="preserve">OpenUsdRepresentation</w:t>
      </w:r>
      <w:r>
        <w:t xml:space="preserve"> (</w:t>
      </w:r>
      <w:r>
        <w:rPr>
          <w:rStyle w:val="VARIABLE"/>
        </w:rPr>
        <w:t xml:space="preserve">PrimPath = /Cell</w:t>
      </w:r>
      <w:r>
        <w:t xml:space="preserve">), component bindings for </w:t>
      </w:r>
      <w:r>
        <w:rPr>
          <w:rStyle w:val="VARIABLE"/>
        </w:rPr>
        <w:t xml:space="preserve">MotionDevices</w:t>
      </w:r>
      <w:r>
        <w:t xml:space="preserve"> and </w:t>
      </w:r>
      <w:r>
        <w:rPr>
          <w:rStyle w:val="VARIABLE"/>
        </w:rPr>
        <w:t xml:space="preserve">Axes</w:t>
      </w:r>
      <w:r>
        <w:t xml:space="preserve">, and Axis bindings from </w:t>
      </w:r>
      <w:r>
        <w:rPr>
          <w:rStyle w:val="VARIABLE"/>
        </w:rPr>
        <w:t xml:space="preserve">ActualPosition</w:t>
      </w:r>
      <w:r>
        <w:t xml:space="preserve"> to nested joint rotate ops.</w:t>
      </w:r>
    </w:p>
    <w:p>
      <w:pPr>
        <w:pStyle w:val="ListNumber"/>
        <w:numPr>
          <w:ilvl w:val="0"/>
          <w:numId w:val="21"/>
        </w:numPr>
      </w:pPr>
      <w:r>
        <w:t xml:space="preserve">A </w:t>
      </w:r>
      <w:r>
        <w:rPr>
          <w:b/>
        </w:rPr>
        <w:t xml:space="preserve">USD artist</w:t>
      </w:r>
      <w:r>
        <w:t xml:space="preserve"> authors </w:t>
      </w:r>
      <w:r>
        <w:rPr>
          <w:rStyle w:val="VARIABLE"/>
        </w:rPr>
        <w:t xml:space="preserve">Cell.usda</w:t>
      </w:r>
      <w:r>
        <w:t xml:space="preserve">: </w:t>
      </w:r>
      <w:r>
        <w:rPr>
          <w:rStyle w:val="VARIABLE"/>
        </w:rPr>
        <w:t xml:space="preserve">/Cell</w:t>
      </w:r>
      <w:r>
        <w:t xml:space="preserve"> with the environment and positioned empty </w:t>
      </w:r>
      <w:r>
        <w:rPr>
          <w:rStyle w:val="VARIABLE"/>
        </w:rPr>
        <w:t xml:space="preserve">/Cell/Robots/R1</w:t>
      </w:r>
      <w:r>
        <w:t xml:space="preserve"> and </w:t>
      </w:r>
      <w:r>
        <w:rPr>
          <w:rStyle w:val="VARIABLE"/>
        </w:rPr>
        <w:t xml:space="preserve">/Cell/Robots/R2</w:t>
      </w:r>
      <w:r>
        <w:t xml:space="preserve"> mount-point Xforms, plus a reusable </w:t>
      </w:r>
      <w:r>
        <w:rPr>
          <w:rStyle w:val="VARIABLE"/>
        </w:rPr>
        <w:t xml:space="preserve">robot.usda</w:t>
      </w:r>
      <w:r>
        <w:t xml:space="preserve"> asset containing the nested </w:t>
      </w:r>
      <w:r>
        <w:rPr>
          <w:rStyle w:val="VARIABLE"/>
        </w:rPr>
        <w:t xml:space="preserve">Base/J1/.../J6/Flange</w:t>
      </w:r>
      <w:r>
        <w:t xml:space="preserve"> kinematic chain.</w:t>
      </w:r>
    </w:p>
    <w:p>
      <w:pPr>
        <w:pStyle w:val="ListNumber"/>
        <w:numPr>
          <w:ilvl w:val="0"/>
          <w:numId w:val="21"/>
        </w:numPr>
      </w:pPr>
      <w:r>
        <w:t xml:space="preserve">A </w:t>
      </w:r>
      <w:r>
        <w:rPr>
          <w:b/>
        </w:rPr>
        <w:t xml:space="preserve">system integrator</w:t>
      </w:r>
      <w:r>
        <w:t xml:space="preserve"> composes the cell stage and deploys the generic connector against </w:t>
      </w:r>
      <w:r>
        <w:rPr>
          <w:rStyle w:val="VARIABLE"/>
        </w:rPr>
        <w:t xml:space="preserve">RoboticsDeviceIntegrationServer</w:t>
      </w:r>
      <w:r>
        <w:t xml:space="preserve">.</w:t>
      </w:r>
    </w:p>
    <w:p>
      <w:pPr>
        <w:pStyle w:val="ListNumber"/>
        <w:numPr>
          <w:ilvl w:val="0"/>
          <w:numId w:val="21"/>
        </w:numPr>
      </w:pPr>
      <w:r>
        <w:t xml:space="preserve">A </w:t>
      </w:r>
      <w:r>
        <w:rPr>
          <w:b/>
        </w:rPr>
        <w:t xml:space="preserve">connector vendor's</w:t>
      </w:r>
      <w:r>
        <w:t xml:space="preserve"> generic connector browses </w:t>
      </w:r>
      <w:r>
        <w:rPr>
          <w:rStyle w:val="VARIABLE"/>
        </w:rPr>
        <w:t xml:space="preserve">Server/OpenUSD/Representations</w:t>
      </w:r>
      <w:r>
        <w:t xml:space="preserve">, composes </w:t>
      </w:r>
      <w:r>
        <w:rPr>
          <w:rStyle w:val="VARIABLE"/>
        </w:rPr>
        <w:t xml:space="preserve">/Cell/Robots/R1</w:t>
      </w:r>
      <w:r>
        <w:t xml:space="preserve"> and </w:t>
      </w:r>
      <w:r>
        <w:rPr>
          <w:rStyle w:val="VARIABLE"/>
        </w:rPr>
        <w:t xml:space="preserve">/Cell/Robots/R2</w:t>
      </w:r>
      <w:r>
        <w:t xml:space="preserve"> as references in </w:t>
      </w:r>
      <w:r>
        <w:rPr>
          <w:rStyle w:val="VARIABLE"/>
        </w:rPr>
        <w:t xml:space="preserve">live.usda</w:t>
      </w:r>
      <w:r>
        <w:t xml:space="preserve">, subscribes to the twelve Axis Variables plus safety state, and writes live override opinions.</w:t>
      </w:r>
    </w:p>
    <w:p>
      <w:pPr>
        <w:pStyle w:val="ListNumber"/>
        <w:numPr>
          <w:ilvl w:val="0"/>
          <w:numId w:val="21"/>
        </w:numPr>
      </w:pPr>
      <w:r>
        <w:t xml:space="preserve">The </w:t>
      </w:r>
      <w:r>
        <w:rPr>
          <w:b/>
        </w:rPr>
        <w:t xml:space="preserve">visualization operator</w:t>
      </w:r>
      <w:r>
        <w:t xml:space="preserve"> opens the composed stage in Omniverse (or </w:t>
      </w:r>
      <w:r>
        <w:rPr>
          <w:rStyle w:val="VARIABLE"/>
        </w:rPr>
        <w:t xml:space="preserve">usdview</w:t>
      </w:r>
      <w:r>
        <w:t xml:space="preserve">) and sees two independently articulated robots, safety beacon and warning visibility, and a dynamically mounted R1 gripper — driven live, with no robotics-specific code in the connector or renderer.</w:t>
      </w:r>
    </w:p>
    <w:p>
      <w:pPr>
        <w:pStyle w:val="ANNEXtitle"/>
        <w:pageBreakBefore/>
      </w:pPr>
      <w:bookmarkStart w:id="578" w:name="_Annex_cE"/>
      <w:r>
        <w:t xml:space="preserve">(informative)</w:t>
      </w:r>
      <w:r>
        <w:br/>
      </w:r>
      <w:r>
        <w:br/>
      </w:r>
      <w:r>
        <w:t xml:space="preserve">Bridging to the asset administration shell</w:t>
      </w:r>
      <w:bookmarkEnd w:id="578"/>
    </w:p>
    <w:p>
      <w:pPr>
        <w:pStyle w:val="PARAGRAPH"/>
      </w:pPr>
      <w:r>
        <w:t xml:space="preserve">The wider asset-definition strategy is deliberately </w:t>
      </w:r>
      <w:r>
        <w:rPr>
          <w:b/>
        </w:rPr>
        <w:t xml:space="preserve">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 xml:space="preserve">submodel template</w:t>
      </w:r>
      <w:r>
        <w:t xml:space="preserve"> so a curator can carry it in an AASX package or a signed Twin BOM.</w:t>
      </w:r>
    </w:p>
    <w:p>
      <w:pPr>
        <w:pStyle w:val="TABLE-title"/>
        <w:keepNext/>
      </w:pPr>
      <w:bookmarkStart w:id="579" w:name="_Tab_bridging_to_the_asset_administration_shell_tab1"/>
      <w:r>
        <w:t xml:space="preserve">Table </w:t>
      </w:r>
      <w:r>
        <w:fldChar w:fldCharType="begin"/>
      </w:r>
      <w:r>
        <w:instrText xml:space="preserve"> SEQ Table \* ARABIC </w:instrText>
      </w:r>
      <w:r>
        <w:fldChar w:fldCharType="separate"/>
      </w:r>
      <w:r>
        <w:rPr>
          <w:noProof/>
        </w:rPr>
        <w:t xml:space="preserve">40</w:t>
      </w:r>
      <w:r>
        <w:fldChar w:fldCharType="end"/>
      </w:r>
      <w:r>
        <w:t xml:space="preserve"> – Bridging to the asset administration shell</w:t>
      </w:r>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This model (OPC UA)</w:t>
            </w:r>
          </w:p>
        </w:tc>
        <w:tc>
          <w:tcPr>
            <w:tcW w:w="4463" w:type="dxa"/>
            <w:tcBorders>
              <w:top w:val="single" w:sz="4" w:space="0" w:color="auto"/>
              <w:left w:val="single" w:sz="4" w:space="0" w:color="auto"/>
              <w:bottom w:val="double" w:sz="4" w:space="0" w:color="auto"/>
              <w:right w:val="single" w:sz="4" w:space="0" w:color="auto"/>
            </w:tcBorders>
          </w:tcPr>
          <w:p>
            <w:pPr>
              <w:pStyle w:val="TableText"/>
            </w:pPr>
            <w:r>
              <w:t xml:space="preserve">AAS submodel template </w:t>
            </w:r>
            <w:r>
              <w:rPr>
                <w:rStyle w:val="VARIABLE"/>
              </w:rPr>
              <w:t xml:space="preserve">OpenUsdBinding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 </w:t>
            </w:r>
            <w:r>
              <w:rPr>
                <w:rStyle w:val="VARIABLE"/>
              </w:rPr>
              <w:t xml:space="preserve">SubmodelElementCollection</w:t>
            </w:r>
            <w:r>
              <w:t xml:space="preserve"> "Representation" with </w:t>
            </w:r>
            <w:r>
              <w:rPr>
                <w:rStyle w:val="VARIABLE"/>
              </w:rPr>
              <w:t xml:space="preserve">PrimPath</w:t>
            </w:r>
            <w:r>
              <w:t xml:space="preserve">, </w:t>
            </w:r>
            <w:r>
              <w:rPr>
                <w:rStyle w:val="VARIABLE"/>
              </w:rPr>
              <w:t xml:space="preserve">Stage</w:t>
            </w:r>
            <w:r>
              <w:t xml:space="preserve"> reference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OpenUsdStageType</w:t>
            </w:r>
            <w:r>
              <w:t xml:space="preserve"> (</w:t>
            </w:r>
            <w:r>
              <w:rPr>
                <w:rStyle w:val="VARIABLE"/>
              </w:rPr>
              <w:t xml:space="preserve">RootLayerIdentifier</w:t>
            </w:r>
            <w:r>
              <w:t xml:space="preserve">, digest, signature)</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 "Stage" collection with </w:t>
            </w:r>
            <w:r>
              <w:rPr>
                <w:rStyle w:val="VARIABLE"/>
              </w:rPr>
              <w:t xml:space="preserve">RootLayerIdentifier</w:t>
            </w:r>
            <w:r>
              <w:t xml:space="preserve">, </w:t>
            </w:r>
            <w:r>
              <w:rPr>
                <w:rStyle w:val="VARIABLE"/>
              </w:rPr>
              <w:t xml:space="preserve">RootLayerDigest</w:t>
            </w:r>
            <w:r>
              <w:t xml:space="preserve">, </w:t>
            </w:r>
            <w:r>
              <w:rPr>
                <w:rStyle w:val="VARIABLE"/>
              </w:rPr>
              <w:t xml:space="preserve">Signature</w:t>
            </w:r>
            <w:r>
              <w:t xml:space="preserve">, </w:t>
            </w:r>
            <w:r>
              <w:rPr>
                <w:rStyle w:val="VARIABLE"/>
              </w:rPr>
              <w:t xml:space="preserve">ProvenanceUri</w:t>
            </w:r>
            <w:r>
              <w:t xml:space="preserve"> properties (the USD asset stays external, digest-pinned)</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 "Binding" </w:t>
            </w:r>
            <w:r>
              <w:rPr>
                <w:rStyle w:val="VARIABLE"/>
              </w:rPr>
              <w:t xml:space="preserve">SubmodelElementCollection</w:t>
            </w:r>
            <w:r>
              <w:t xml:space="preserve"> with </w:t>
            </w:r>
            <w:r>
              <w:rPr>
                <w:rStyle w:val="VARIABLE"/>
              </w:rPr>
              <w:t xml:space="preserve">Target*</w:t>
            </w:r>
            <w:r>
              <w:t xml:space="preserve">, </w:t>
            </w:r>
            <w:r>
              <w:rPr>
                <w:rStyle w:val="VARIABLE"/>
              </w:rPr>
              <w:t xml:space="preserve">RenderTargetKind</w:t>
            </w:r>
            <w:r>
              <w:t xml:space="preserve">, conversion, the binding subtype (intent), </w:t>
            </w:r>
            <w:r>
              <w:rPr>
                <w:rStyle w:val="VARIABLE"/>
              </w:rPr>
              <w:t xml:space="preserve">SignalRole</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SourceSemanticId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the binding element's </w:t>
            </w:r>
            <w:r>
              <w:rPr>
                <w:rStyle w:val="VARIABLE"/>
              </w:rPr>
              <w:t xml:space="preserve">semanticId</w:t>
            </w:r>
            <w:r>
              <w:t xml:space="preserve"> (the shared ECLASS / IEC CDD anchor — the reconciliation 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SourceNodeId</w:t>
            </w:r>
            <w:r>
              <w:t xml:space="preserve"> / </w:t>
            </w:r>
            <w:r>
              <w:rPr>
                <w:rStyle w:val="VARIABLE"/>
              </w:rPr>
              <w:t xml:space="preserve">SourceBrowsePath</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 </w:t>
            </w:r>
            <w:r>
              <w:rPr>
                <w:rStyle w:val="VARIABLE"/>
              </w:rPr>
              <w:t xml:space="preserve">ReferenceElement</w:t>
            </w:r>
            <w:r>
              <w:t xml:space="preserve"> to the OPC UA source (or, in an AAS-only deployment, to the corresponding submodel property)</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 "Command" element referencing the controllable operation, gated by AAS access rules</w:t>
            </w:r>
          </w:p>
        </w:tc>
      </w:tr>
      <w:tr>
        <w:trPr>
          <w:jc w:val="center"/>
        </w:trPr>
        <w:tc>
          <w:tcPr>
            <w:tcW w:w="4463"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pPr>
              <w:pStyle w:val="TableText"/>
            </w:pPr>
            <w:r>
              <w:t xml:space="preserve">a "Component" </w:t>
            </w:r>
            <w:r>
              <w:rPr>
                <w:rStyle w:val="VARIABLE"/>
              </w:rPr>
              <w:t xml:space="preserve">SubmodelElementCollection</w:t>
            </w:r>
            <w:r>
              <w:t xml:space="preserve"> (or an </w:t>
            </w:r>
            <w:r>
              <w:rPr>
                <w:rStyle w:val="VARIABLE"/>
              </w:rPr>
              <w:t xml:space="preserve">Entity</w:t>
            </w:r>
            <w:r>
              <w:t xml:space="preserve"> with a </w:t>
            </w:r>
            <w:r>
              <w:rPr>
                <w:rStyle w:val="VARIABLE"/>
              </w:rPr>
              <w:t xml:space="preserve">RelationshipElement</w:t>
            </w:r>
            <w:r>
              <w:t xml:space="preserve">) referencing the component's submodel and carrying </w:t>
            </w:r>
            <w:r>
              <w:rPr>
                <w:rStyle w:val="VARIABLE"/>
              </w:rPr>
              <w:t xml:space="preserve">Cardinality</w:t>
            </w:r>
            <w:r>
              <w:t xml:space="preserve">, </w:t>
            </w:r>
            <w:r>
              <w:rPr>
                <w:rStyle w:val="VARIABLE"/>
              </w:rPr>
              <w:t xml:space="preserve">CompositionArc</w:t>
            </w:r>
            <w:r>
              <w:t xml:space="preserve">, and the component </w:t>
            </w:r>
            <w:r>
              <w:rPr>
                <w:rStyle w:val="VARIABLE"/>
              </w:rPr>
              <w:t xml:space="preserve">semanticId</w:t>
            </w:r>
            <w:r>
              <w:t xml:space="preserve"> — mirroring the AAS "bill of material" / part-of structure</w:t>
            </w:r>
          </w:p>
        </w:tc>
      </w:tr>
    </w:tbl>
    <w:p>
      <w:pPr>
        <w:pStyle w:val="spacer"/>
      </w:pPr>
    </w:p>
    <w:p>
      <w:pPr>
        <w:pStyle w:val="PARAGRAPH"/>
      </w:pPr>
      <w:r>
        <w:t xml:space="preserve">Because the </w:t>
      </w:r>
      <w:r>
        <w:rPr>
          <w:b/>
        </w:rPr>
        <w:t xml:space="preserve">source is anchored on a semantic id</w:t>
      </w:r>
      <w:r>
        <w:t xml:space="preserve">, a binding authored against an OPC UA server and one authored against an AAS submodel describe the </w:t>
      </w:r>
      <w:r>
        <w:rPr>
          <w:i/>
        </w:rPr>
        <w:t xml:space="preserve">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pPr>
        <w:pStyle w:val="ANNEXtitle"/>
        <w:pageBreakBefore/>
      </w:pPr>
      <w:bookmarkStart w:id="580" w:name="_Annex_cF"/>
      <w:r>
        <w:t xml:space="preserve">(informative)</w:t>
      </w:r>
      <w:r>
        <w:br/>
      </w:r>
      <w:r>
        <w:br/>
      </w:r>
      <w:r>
        <w:t xml:space="preserve">Geospatial rendering</w:t>
      </w:r>
      <w:bookmarkEnd w:id="580"/>
    </w:p>
    <w:p>
      <w:pPr>
        <w:pStyle w:val="PARAGRAPH"/>
      </w:pPr>
      <w:r>
        <w:t xml:space="preserve">This annex shows how a connector drives the </w:t>
      </w:r>
      <w:r>
        <w:rPr>
          <w:b/>
        </w:rPr>
        <w:t xml:space="preserve">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Pr>
          <w:noProof/>
        </w:rPr>
        <w:t xml:space="preserve">7.4.2</w:t>
      </w:r>
      <w:r>
        <w:fldChar w:fldCharType="end"/>
      </w:r>
      <w:r>
        <w:t xml:space="preserve">; the corresponding conformance unit is </w:t>
      </w:r>
      <w:r>
        <w:rPr>
          <w:rStyle w:val="VARIABLE"/>
        </w:rPr>
        <w:t xml:space="preserve">OU-Conversion-Geo</w:t>
      </w:r>
      <w:r>
        <w:t xml:space="preserve"> (</w:t>
      </w:r>
      <w:r>
        <w:fldChar w:fldCharType="begin"/>
      </w:r>
      <w:r>
        <w:instrText xml:space="preserve"> REF _Clause_c9 \r \h </w:instrText>
      </w:r>
      <w:r>
        <w:fldChar w:fldCharType="separate"/>
      </w:r>
      <w:r>
        <w:rPr>
          <w:noProof/>
        </w:rPr>
        <w:t xml:space="preserve">9</w:t>
      </w:r>
      <w:r>
        <w:fldChar w:fldCharType="end"/>
      </w:r>
      <w:r>
        <w:t xml:space="preserve">).</w:t>
      </w:r>
    </w:p>
    <w:p>
      <w:pPr>
        <w:pStyle w:val="ANNEX-heading1"/>
      </w:pPr>
      <w:bookmarkStart w:id="581" w:name="_Clause_cF_1"/>
      <w:r>
        <w:t xml:space="preserve">Why this is an annex and not core USD</w:t>
      </w:r>
      <w:bookmarkEnd w:id="581"/>
    </w:p>
    <w:p>
      <w:pPr>
        <w:pStyle w:val="PARAGRAPH"/>
      </w:pPr>
      <w:r>
        <w:t xml:space="preserve">OpenUSD's Core Specification defines no geodetic/geographic schema — there is no native latitude/longitude/CRS concept in USD. Georeferencing a stage is therefore done with </w:t>
      </w:r>
      <w:r>
        <w:rPr>
          <w:b/>
        </w:rPr>
        <w:t xml:space="preserve">vendor/extension</w:t>
      </w:r>
      <w:r>
        <w:t xml:space="preserve"> schemas: NVIDIA's </w:t>
      </w:r>
      <w:r>
        <w:rPr>
          <w:rStyle w:val="VARIABLE"/>
        </w:rPr>
        <w:t xml:space="preserve">omni.usd.schema.geospatial</w:t>
      </w:r>
      <w:r>
        <w:t xml:space="preserve"> and Cesium for Omniverse's </w:t>
      </w:r>
      <w:r>
        <w:rPr>
          <w:rStyle w:val="VARIABLE"/>
        </w:rPr>
        <w:t xml:space="preserve">CesiumGeoreferencePrim</w:t>
      </w:r>
      <w:r>
        <w:t xml:space="preserve"> / </w:t>
      </w:r>
      <w:r>
        <w:rPr>
          <w:rStyle w:val="VARIABLE"/>
        </w:rPr>
        <w:t xml:space="preserve">CesiumGlobeAnchorAPI</w:t>
      </w:r>
      <w:r>
        <w:t xml:space="preserve">. The Alliance for OpenUSD (AOUSD) has an </w:t>
      </w:r>
      <w:r>
        <w:rPr>
          <w:b/>
        </w:rPr>
        <w:t xml:space="preserve">in-progress geolocation proposal</w:t>
      </w:r>
      <w:r>
        <w:t xml:space="preserve"> (</w:t>
      </w:r>
      <w:r>
        <w:t xml:space="preserve">AECO Interest Group → Geometry Working Group</w:t>
      </w:r>
      <w:r>
        <w:t xml:space="preserve">, tracked in the </w:t>
      </w:r>
      <w:r>
        <w:t xml:space="preserve">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pPr>
        <w:pStyle w:val="ANNEX-heading1"/>
      </w:pPr>
      <w:bookmarkStart w:id="582" w:name="_Clause_cF_2"/>
      <w:r>
        <w:t xml:space="preserve">Relative pose to USD xformOp fidelity reference</w:t>
      </w:r>
      <w:bookmarkEnd w:id="582"/>
    </w:p>
    <w:p>
      <w:pPr>
        <w:pStyle w:val="PARAGRAPH"/>
      </w:pPr>
      <w:r>
        <w:t xml:space="preserve">RSL conveys a 6-DoF pose as </w:t>
      </w:r>
      <w:r>
        <w:rPr>
          <w:rStyle w:val="VARIABLE"/>
        </w:rPr>
        <w:t xml:space="preserve">CartesianFrameAngleOrientationType</w:t>
      </w:r>
      <w:r>
        <w:t xml:space="preserve"> = a </w:t>
      </w:r>
      <w:r>
        <w:rPr>
          <w:rStyle w:val="VARIABLE"/>
        </w:rPr>
        <w:t xml:space="preserve">3DFrame</w:t>
      </w:r>
      <w:r>
        <w:t xml:space="preserve"> (a </w:t>
      </w:r>
      <w:r>
        <w:rPr>
          <w:rStyle w:val="VARIABLE"/>
        </w:rPr>
        <w:t xml:space="preserve">3DCartesianCoordinates</w:t>
      </w:r>
      <w:r>
        <w:t xml:space="preserve"> X/Y/Z plus a </w:t>
      </w:r>
      <w:r>
        <w:rPr>
          <w:rStyle w:val="VARIABLE"/>
        </w:rPr>
        <w:t xml:space="preserve">3DOrientation</w:t>
      </w:r>
      <w:r>
        <w:t xml:space="preserve"> roll/pitch/yaw). This table pins every conversion detail </w:t>
      </w:r>
      <w:r>
        <w:fldChar w:fldCharType="begin"/>
      </w:r>
      <w:r>
        <w:instrText xml:space="preserve"> REF _Clause_c7_4_2 \r \h </w:instrText>
      </w:r>
      <w:r>
        <w:fldChar w:fldCharType="separate"/>
      </w:r>
      <w:r>
        <w:rPr>
          <w:noProof/>
        </w:rPr>
        <w:t xml:space="preserve">7.4.2</w:t>
      </w:r>
      <w:r>
        <w:fldChar w:fldCharType="end"/>
      </w:r>
      <w:r>
        <w:t xml:space="preserve"> references:</w:t>
      </w:r>
    </w:p>
    <w:p>
      <w:pPr>
        <w:pStyle w:val="TABLE-title"/>
        <w:keepNext/>
      </w:pPr>
      <w:bookmarkStart w:id="583" w:name="_Tab_relative_pose_to_usd_xformop_fidelity_reference_tab1"/>
      <w:r>
        <w:t xml:space="preserve">Table </w:t>
      </w:r>
      <w:r>
        <w:fldChar w:fldCharType="begin"/>
      </w:r>
      <w:r>
        <w:instrText xml:space="preserve"> SEQ Table \* ARABIC </w:instrText>
      </w:r>
      <w:r>
        <w:fldChar w:fldCharType="separate"/>
      </w:r>
      <w:r>
        <w:rPr>
          <w:noProof/>
        </w:rPr>
        <w:t xml:space="preserve">41</w:t>
      </w:r>
      <w:r>
        <w:fldChar w:fldCharType="end"/>
      </w:r>
      <w:r>
        <w:t xml:space="preserve"> – Relative pose to USD xformOp fidelity reference</w:t>
      </w:r>
      <w:bookmarkEnd w:id="5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RSL / OPC UA</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USD target</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3DCartesianCoordinates</w:t>
            </w:r>
            <w:r>
              <w:t xml:space="preserve"> X/Y/Z (+ </w:t>
            </w:r>
            <w:r>
              <w:rPr>
                <w:rStyle w:val="VARIABLE"/>
              </w:rPr>
              <w:t xml:space="preserve">LengthUnit</w:t>
            </w:r>
            <w:r>
              <w:t xml:space="preserv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xformOp:translate</w:t>
            </w:r>
            <w:r>
              <w:t xml:space="preserve"> (</w:t>
            </w:r>
            <w:r>
              <w:rPr>
                <w:rStyle w:val="VARIABLE"/>
              </w:rPr>
              <w:t xml:space="preserve">double3</w:t>
            </w: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metric; honour stage </w:t>
            </w:r>
            <w:r>
              <w:rPr>
                <w:rStyle w:val="VARIABLE"/>
              </w:rPr>
              <w:t xml:space="preserve">metersPerUnit</w:t>
            </w:r>
            <w:r>
              <w:t xml:space="preserve"> per the controlled xform stack (</w:t>
            </w:r>
            <w:r>
              <w:fldChar w:fldCharType="begin"/>
            </w:r>
            <w:r>
              <w:instrText xml:space="preserve"> REF _Clause_c7_4_2 \r \h </w:instrText>
            </w:r>
            <w:r>
              <w:fldChar w:fldCharType="separate"/>
            </w:r>
            <w:r>
              <w:rPr>
                <w:noProof/>
              </w:rPr>
              <w:t xml:space="preserve">7.4.2</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xformOp:rotateXYZ</w:t>
            </w:r>
            <w:r>
              <w:t xml:space="preserve"> (</w:t>
            </w:r>
            <w:r>
              <w:rPr>
                <w:rStyle w:val="VARIABLE"/>
              </w:rPr>
              <w:t xml:space="preserve">float3</w:t>
            </w:r>
            <w:r>
              <w:t xml:space="preserve">, </w:t>
            </w:r>
            <w:r>
              <w:rPr>
                <w:b/>
              </w:rPr>
              <w:t xml:space="preserve">degrees</w:t>
            </w: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roll→rx, pitch→ry, yaw→rz; </w:t>
            </w:r>
            <w:r>
              <w:rPr>
                <w:rStyle w:val="VARIABLE"/>
              </w:rPr>
              <w:t xml:space="preserve">× 180/π</w:t>
            </w:r>
            <w:r>
              <w:t xml:space="preserve">; USD </w:t>
            </w:r>
            <w:r>
              <w:rPr>
                <w:rStyle w:val="VARIABLE"/>
              </w:rPr>
              <w:t xml:space="preserve">rotateXYZ</w:t>
            </w:r>
            <w:r>
              <w:t xml:space="preserve"> = intrinsic XYZ = extrinsic ZYX, matching RSL</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quaternion form (if used)</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xformOp:orient</w:t>
            </w:r>
            <w:r>
              <w:t xml:space="preserve"> (</w:t>
            </w:r>
            <w:r>
              <w:rPr>
                <w:rStyle w:val="VARIABLE"/>
              </w:rPr>
              <w:t xml:space="preserve">quatf</w:t>
            </w:r>
            <w:r>
              <w:t xml:space="preserve">/</w:t>
            </w:r>
            <w:r>
              <w:rPr>
                <w:rStyle w:val="VARIABLE"/>
              </w:rPr>
              <w:t xml:space="preserve">quatd</w:t>
            </w:r>
            <w:r>
              <w:t xml:space="preserv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reorder </w:t>
            </w:r>
            <w:r>
              <w:rPr>
                <w:b/>
              </w:rPr>
              <w:t xml:space="preserve">USD </w:t>
            </w:r>
            <w:r>
              <w:rPr>
                <w:rStyle w:val="VARIABLE"/>
              </w:rPr>
              <w:t xml:space="preserve">(w,x,y,z)</w:t>
            </w:r>
            <w:r>
              <w:rPr>
                <w:b/>
              </w:rPr>
              <w:t xml:space="preserve"> ← OPC UA </w:t>
            </w:r>
            <w:r>
              <w:rPr>
                <w:rStyle w:val="VARIABLE"/>
              </w:rPr>
              <w:t xml:space="preserve">(x,y,z,w)</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frame chain (</w:t>
            </w:r>
            <w:r>
              <w:rPr>
                <w:rStyle w:val="VARIABLE"/>
              </w:rPr>
              <w:t xml:space="preserve">SpatialLocationType.Base</w:t>
            </w:r>
            <w:r>
              <w:t xml:space="preserv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prim parent-child nesting</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each frame = one </w:t>
            </w:r>
            <w:r>
              <w:rPr>
                <w:rStyle w:val="VARIABLE"/>
              </w:rPr>
              <w:t xml:space="preserve">UsdGeomXformable</w:t>
            </w:r>
            <w:r>
              <w:t xml:space="preserve"> prim</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WorldFrame</w:t>
            </w:r>
            <w:r>
              <w:t xml:space="preserve"> (</w:t>
            </w:r>
            <w:r>
              <w:rPr>
                <w:rStyle w:val="VARIABLE"/>
              </w:rPr>
              <w:t xml:space="preserve">Base = null</w:t>
            </w:r>
            <w:r>
              <w:t xml:space="preserv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stage world / root prim</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set </w:t>
            </w:r>
            <w:r>
              <w:rPr>
                <w:rStyle w:val="VARIABLE"/>
              </w:rPr>
              <w:t xml:space="preserve">upAxis = "Z"</w:t>
            </w:r>
            <w:r>
              <w:t xml:space="preserve">, </w:t>
            </w:r>
            <w:r>
              <w:rPr>
                <w:rStyle w:val="VARIABLE"/>
              </w:rPr>
              <w:t xml:space="preserve">metersPerUnit = 1.0</w:t>
            </w:r>
            <w:r>
              <w:t xml:space="preserve"> for an OPC UA (Z-up, metric) source</w:t>
            </w:r>
          </w:p>
        </w:tc>
      </w:tr>
    </w:tbl>
    <w:p>
      <w:pPr>
        <w:pStyle w:val="spacer"/>
      </w:pPr>
    </w:p>
    <w:p>
      <w:pPr>
        <w:pStyle w:val="PARAGRAPH"/>
      </w:pPr>
      <w:r>
        <w:t xml:space="preserve">USD is right-handed, row-major, with row-vector pre-multiplication and translation in the fourth matrix row; a Z-up source in a Y-up stage is reconciled by an explicit frame (e.g. a </w:t>
      </w:r>
      <w:r>
        <w:rPr>
          <w:rStyle w:val="VARIABLE"/>
        </w:rPr>
        <w:t xml:space="preserve">-90°</w:t>
      </w:r>
      <w:r>
        <w:t xml:space="preserve"> X rotation) per </w:t>
      </w:r>
      <w:r>
        <w:fldChar w:fldCharType="begin"/>
      </w:r>
      <w:r>
        <w:instrText xml:space="preserve"> REF _Clause_c7_4_2 \r \h </w:instrText>
      </w:r>
      <w:r>
        <w:fldChar w:fldCharType="separate"/>
      </w:r>
      <w:r>
        <w:rPr>
          <w:noProof/>
        </w:rPr>
        <w:t xml:space="preserve">7.4.2</w:t>
      </w:r>
      <w:r>
        <w:fldChar w:fldCharType="end"/>
      </w:r>
      <w:r>
        <w:t xml:space="preserve">.</w:t>
      </w:r>
    </w:p>
    <w:p>
      <w:pPr>
        <w:pStyle w:val="ANNEX-heading1"/>
      </w:pPr>
      <w:bookmarkStart w:id="584" w:name="_Clause_cF_3"/>
      <w:r>
        <w:t xml:space="preserve">Global position to USD georeference</w:t>
      </w:r>
      <w:bookmarkEnd w:id="584"/>
    </w:p>
    <w:p>
      <w:pPr>
        <w:pStyle w:val="PARAGRAPH"/>
      </w:pPr>
      <w:r>
        <w:t xml:space="preserve">GPOS conveys an absolute position as </w:t>
      </w:r>
      <w:r>
        <w:rPr>
          <w:rStyle w:val="VARIABLE"/>
        </w:rPr>
        <w:t xml:space="preserve">GlobalPositionType</w:t>
      </w:r>
      <w:r>
        <w:t xml:space="preserve"> (latitude, longitude, elevation, EPSG </w:t>
      </w:r>
      <w:r>
        <w:rPr>
          <w:rStyle w:val="VARIABLE"/>
        </w:rPr>
        <w:t xml:space="preserve">CoordinateReferenceSystem</w:t>
      </w:r>
      <w:r>
        <w:t xml:space="preserve">) and anchors a local frame to the globe with </w:t>
      </w:r>
      <w:r>
        <w:rPr>
          <w:rStyle w:val="VARIABLE"/>
        </w:rPr>
        <w:t xml:space="preserve">GroundControlPointDataType</w:t>
      </w:r>
      <w:r>
        <w:t xml:space="preserve"> (a local-Cartesian ↔ global-geographic tie point). This maps onto the two georeference targets in use today.</w:t>
      </w:r>
    </w:p>
    <w:p>
      <w:pPr>
        <w:pStyle w:val="PARAGRAPH"/>
      </w:pPr>
      <w:r>
        <w:rPr>
          <w:b/>
        </w:rPr>
        <w:t xml:space="preserve">Cesium for Omniverse</w:t>
      </w:r>
    </w:p>
    <w:p>
      <w:pPr>
        <w:pStyle w:val="TABLE-title"/>
        <w:keepNext/>
      </w:pPr>
      <w:bookmarkStart w:id="585" w:name="_Tab_global_position_to_usd_georeference_tab1"/>
      <w:r>
        <w:t xml:space="preserve">Table </w:t>
      </w:r>
      <w:r>
        <w:fldChar w:fldCharType="begin"/>
      </w:r>
      <w:r>
        <w:instrText xml:space="preserve"> SEQ Table \* ARABIC </w:instrText>
      </w:r>
      <w:r>
        <w:fldChar w:fldCharType="separate"/>
      </w:r>
      <w:r>
        <w:rPr>
          <w:noProof/>
        </w:rPr>
        <w:t xml:space="preserve">42</w:t>
      </w:r>
      <w:r>
        <w:fldChar w:fldCharType="end"/>
      </w:r>
      <w:r>
        <w:t xml:space="preserve"> – Global position to USD georeference</w:t>
      </w:r>
      <w:bookmarkEnd w:id="5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OPC UA / GPOS</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Cesium USD</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Note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stage anchor origin (a reference </w:t>
            </w:r>
            <w:r>
              <w:rPr>
                <w:rStyle w:val="VARIABLE"/>
              </w:rPr>
              <w:t xml:space="preserve">GlobalPosition</w:t>
            </w:r>
            <w:r>
              <w:t xml:space="preserve"> / </w:t>
            </w:r>
            <w:r>
              <w:rPr>
                <w:rStyle w:val="VARIABLE"/>
              </w:rPr>
              <w:t xml:space="preserve">Zone</w:t>
            </w:r>
            <w:r>
              <w:t xml:space="preserve">)</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CesiumGeoreferencePrim</w:t>
            </w:r>
            <w:r>
              <w:t xml:space="preserve"> — </w:t>
            </w:r>
            <w:r>
              <w:rPr>
                <w:rStyle w:val="VARIABLE"/>
              </w:rPr>
              <w:t xml:space="preserve">cesium:anchor:latitude</w:t>
            </w:r>
            <w:r>
              <w:t xml:space="preserve">, </w:t>
            </w:r>
            <w:r>
              <w:rPr>
                <w:rStyle w:val="VARIABLE"/>
              </w:rPr>
              <w:t xml:space="preserve">cesium:anchor:longitude</w:t>
            </w:r>
            <w:r>
              <w:t xml:space="preserve">, </w:t>
            </w:r>
            <w:r>
              <w:rPr>
                <w:rStyle w:val="VARIABLE"/>
              </w:rPr>
              <w:t xml:space="preserve">cesium:anchor:height</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stage-level WGS84 origin; </w:t>
            </w:r>
            <w:r>
              <w:rPr>
                <w:rStyle w:val="VARIABLE"/>
              </w:rPr>
              <w:t xml:space="preserve">ecefToUsdTransform</w:t>
            </w:r>
            <w:r>
              <w:t xml:space="preserve"> (matrix4d) is derived, read-only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per-asset </w:t>
            </w:r>
            <w:r>
              <w:rPr>
                <w:rStyle w:val="VARIABLE"/>
              </w:rPr>
              <w:t xml:space="preserve">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CesiumGlobeAnchorAPI</w:t>
            </w:r>
            <w:r>
              <w:t xml:space="preserve"> on the prim — </w:t>
            </w:r>
            <w:r>
              <w:rPr>
                <w:rStyle w:val="VARIABLE"/>
              </w:rPr>
              <w:t xml:space="preserve">cesium:anchor:latitude/longitude/height</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drives the prim's </w:t>
            </w:r>
            <w:r>
              <w:rPr>
                <w:rStyle w:val="VARIABLE"/>
              </w:rPr>
              <w:t xml:space="preserve">xformOp</w:t>
            </w:r>
            <w:r>
              <w:t xml:space="preserve"> stack from geodetic coordinates</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the ENU tangent-plane transform captured by </w:t>
            </w:r>
            <w:r>
              <w:rPr>
                <w:rStyle w:val="VARIABLE"/>
              </w:rPr>
              <w:t xml:space="preserve">ecefToUsdTransform</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one control point fixes the origin; several refine the local-frame registration</w:t>
            </w:r>
          </w:p>
        </w:tc>
      </w:tr>
    </w:tbl>
    <w:p>
      <w:pPr>
        <w:pStyle w:val="spacer"/>
      </w:pPr>
    </w:p>
    <w:p>
      <w:pPr>
        <w:pStyle w:val="PARAGRAPH"/>
      </w:pPr>
      <w:r>
        <w:rPr>
          <w:b/>
        </w:rPr>
        <w:t xml:space="preserve">NVIDIA Omniverse (</w:t>
      </w:r>
      <w:r>
        <w:rPr>
          <w:rStyle w:val="VARIABLE"/>
        </w:rPr>
        <w:t xml:space="preserve">omni.usd.schema.geospatial</w:t>
      </w:r>
      <w:r>
        <w:rPr>
          <w:b/>
        </w:rPr>
        <w:t xml:space="preserve">)</w:t>
      </w:r>
    </w:p>
    <w:p>
      <w:pPr>
        <w:pStyle w:val="TABLE-title"/>
        <w:keepNext/>
      </w:pPr>
      <w:bookmarkStart w:id="586" w:name="_Tab_global_position_to_usd_georeference_tab2"/>
      <w:r>
        <w:t xml:space="preserve">Table </w:t>
      </w:r>
      <w:r>
        <w:fldChar w:fldCharType="begin"/>
      </w:r>
      <w:r>
        <w:instrText xml:space="preserve"> SEQ Table \* ARABIC </w:instrText>
      </w:r>
      <w:r>
        <w:fldChar w:fldCharType="separate"/>
      </w:r>
      <w:r>
        <w:rPr>
          <w:noProof/>
        </w:rPr>
        <w:t xml:space="preserve">43</w:t>
      </w:r>
      <w:r>
        <w:fldChar w:fldCharType="end"/>
      </w:r>
      <w:r>
        <w:t xml:space="preserve"> – Global position to USD georeference (2)</w:t>
      </w:r>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OPC UA / GPOS</w:t>
            </w:r>
          </w:p>
        </w:tc>
        <w:tc>
          <w:tcPr>
            <w:tcW w:w="2975" w:type="dxa"/>
            <w:tcBorders>
              <w:top w:val="single" w:sz="4" w:space="0" w:color="auto"/>
              <w:left w:val="single" w:sz="4" w:space="0" w:color="auto"/>
              <w:bottom w:val="double" w:sz="4" w:space="0" w:color="auto"/>
              <w:right w:val="single" w:sz="4" w:space="0" w:color="auto"/>
            </w:tcBorders>
          </w:tcPr>
          <w:p>
            <w:pPr>
              <w:pStyle w:val="TableText"/>
            </w:pPr>
            <w:r>
              <w:t xml:space="preserve">NVIDIA USD</w:t>
            </w:r>
          </w:p>
        </w:tc>
        <w:tc>
          <w:tcPr>
            <w:tcW w:w="2976" w:type="dxa"/>
            <w:tcBorders>
              <w:top w:val="single" w:sz="4" w:space="0" w:color="auto"/>
              <w:left w:val="single" w:sz="4" w:space="0" w:color="auto"/>
              <w:bottom w:val="double" w:sz="4" w:space="0" w:color="auto"/>
              <w:right w:val="single" w:sz="4" w:space="0" w:color="auto"/>
            </w:tcBorders>
          </w:tcPr>
          <w:p>
            <w:pPr>
              <w:pStyle w:val="TableText"/>
            </w:pPr>
            <w:r>
              <w:t xml:space="preserve">Note</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stage anchor origin</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WGS84ReferencePositionAPI</w:t>
            </w:r>
            <w:r>
              <w:t xml:space="preserve"> — </w:t>
            </w:r>
            <w:r>
              <w:rPr>
                <w:rStyle w:val="VARIABLE"/>
              </w:rPr>
              <w:t xml:space="preserve">omni:geospatial:wgs84:reference:referencePosition</w:t>
            </w:r>
            <w:r>
              <w:t xml:space="preserve"> (lat, lon, alt), </w:t>
            </w:r>
            <w:r>
              <w:rPr>
                <w:rStyle w:val="VARIABLE"/>
              </w:rPr>
              <w:t xml:space="preserve">:tangentPlane</w:t>
            </w:r>
            <w:r>
              <w:t xml:space="preserve"> = </w:t>
            </w:r>
            <w:r>
              <w:rPr>
                <w:rStyle w:val="VARIABLE"/>
              </w:rPr>
              <w:t xml:space="preserve">ENU</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altitude in metres regardless of </w:t>
            </w:r>
            <w:r>
              <w:rPr>
                <w:rStyle w:val="VARIABLE"/>
              </w:rPr>
              <w:t xml:space="preserve">metersPerUnit</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per-asset </w:t>
            </w:r>
            <w:r>
              <w:rPr>
                <w:rStyle w:val="VARIABLE"/>
              </w:rPr>
              <w:t xml:space="preserve">GlobalPosition</w:t>
            </w:r>
          </w:p>
        </w:tc>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resolves against the reference position up the hierarchy</w:t>
            </w:r>
          </w:p>
        </w:tc>
      </w:tr>
      <w:tr>
        <w:trPr>
          <w:jc w:val="center"/>
        </w:trPr>
        <w:tc>
          <w:tcPr>
            <w:tcW w:w="2975" w:type="dxa"/>
            <w:tcBorders>
              <w:top w:val="single" w:sz="4" w:space="0" w:color="auto"/>
              <w:left w:val="single" w:sz="4" w:space="0" w:color="auto"/>
              <w:bottom w:val="single" w:sz="4" w:space="0" w:color="auto"/>
              <w:right w:val="single" w:sz="4" w:space="0" w:color="auto"/>
            </w:tcBorders>
          </w:tcPr>
          <w:p>
            <w:pPr>
              <w:pStyle w:val="TableText"/>
            </w:pPr>
            <w:r>
              <w:rPr>
                <w:rStyle w:val="VARIABLE"/>
              </w:rPr>
              <w:t xml:space="preserve">ElevationReference</w:t>
            </w:r>
          </w:p>
        </w:tc>
        <w:tc>
          <w:tcPr>
            <w:tcW w:w="2975" w:type="dxa"/>
            <w:tcBorders>
              <w:top w:val="single" w:sz="4" w:space="0" w:color="auto"/>
              <w:left w:val="single" w:sz="4" w:space="0" w:color="auto"/>
              <w:bottom w:val="single" w:sz="4" w:space="0" w:color="auto"/>
              <w:right w:val="single" w:sz="4" w:space="0" w:color="auto"/>
            </w:tcBorders>
          </w:tcPr>
          <w:p>
            <w:pPr>
              <w:pStyle w:val="TableText"/>
            </w:pPr>
            <w:r>
              <w:t xml:space="preserve">tangent-plane / altitude datum choice</w:t>
            </w:r>
          </w:p>
        </w:tc>
        <w:tc>
          <w:tcPr>
            <w:tcW w:w="2976" w:type="dxa"/>
            <w:tcBorders>
              <w:top w:val="single" w:sz="4" w:space="0" w:color="auto"/>
              <w:left w:val="single" w:sz="4" w:space="0" w:color="auto"/>
              <w:bottom w:val="single" w:sz="4" w:space="0" w:color="auto"/>
              <w:right w:val="single" w:sz="4" w:space="0" w:color="auto"/>
            </w:tcBorders>
          </w:tcPr>
          <w:p>
            <w:pPr>
              <w:pStyle w:val="TableText"/>
            </w:pPr>
            <w:r>
              <w:t xml:space="preserve">ENU vs NED; sea-level vs floor-relative</w:t>
            </w:r>
          </w:p>
        </w:tc>
      </w:tr>
    </w:tbl>
    <w:p>
      <w:pPr>
        <w:pStyle w:val="spacer"/>
      </w:pPr>
    </w:p>
    <w:p>
      <w:pPr>
        <w:pStyle w:val="PARAGRAPH"/>
      </w:pPr>
      <w:r>
        <w:t xml:space="preserve">The EPSG </w:t>
      </w:r>
      <w:r>
        <w:rPr>
          <w:rStyle w:val="VARIABLE"/>
        </w:rPr>
        <w:t xml:space="preserve">CoordinateReferenceSystem</w:t>
      </w:r>
      <w:r>
        <w:t xml:space="preserve"> enum (0 = local, 4326 = WGS84/GPS, 326xx = UTM) selects the projection; both target schemas assume WGS84, so a non-WGS84 CRS is reprojected by the connector before authoring.</w:t>
      </w:r>
    </w:p>
    <w:p>
      <w:pPr>
        <w:pStyle w:val="ANNEX-heading1"/>
      </w:pPr>
      <w:bookmarkStart w:id="587" w:name="_Clause_cF_4"/>
      <w:r>
        <w:t xml:space="preserve">A binding for the Georeference render target</w:t>
      </w:r>
      <w:bookmarkEnd w:id="587"/>
    </w:p>
    <w:p>
      <w:pPr>
        <w:pStyle w:val="PARAGRAPH"/>
      </w:pPr>
      <w:r>
        <w:t xml:space="preserve">A representation binds a moving asset's live geographic position to its globe anchor:</w:t>
      </w:r>
    </w:p>
    <w:p>
      <w:pPr>
        <w:pStyle w:val="CODE"/>
      </w:pPr>
      <w:r>
        <w:t xml:space="preserve"># Stage georeference origin (from a GPOS reference GlobalPosition / Zone)</w:t>
      </w:r>
    </w:p>
    <w:p>
      <w:pPr>
        <w:pStyle w:val="CODE"/>
      </w:pPr>
      <w:r>
        <w:t xml:space="preserve">def "Georeference" ( prepend apiSchemas = ["CesiumGeoreferencePrim"] ) {</w:t>
      </w:r>
    </w:p>
    <w:p>
      <w:pPr>
        <w:pStyle w:val="CODE"/>
      </w:pPr>
      <w:r>
        <w:t xml:space="preserve">    double cesium:anchor:latitude  = 47.6062     # GlobalPosition.Latitude</w:t>
      </w:r>
    </w:p>
    <w:p>
      <w:pPr>
        <w:pStyle w:val="CODE"/>
      </w:pPr>
      <w:r>
        <w:t xml:space="preserve">    double cesium:anchor:longitude = -122.3321   # GlobalPosition.Longitude</w:t>
      </w:r>
    </w:p>
    <w:p>
      <w:pPr>
        <w:pStyle w:val="CODE"/>
      </w:pPr>
      <w:r>
        <w:t xml:space="preserve">    double cesium:anchor:height    = 56.0        # GlobalPosition.Elevation (m)</w:t>
      </w:r>
    </w:p>
    <w:p>
      <w:pPr>
        <w:pStyle w:val="CODE"/>
      </w:pPr>
      <w:r>
        <w:t xml:space="preserve">}</w:t>
      </w:r>
    </w:p>
    <w:p>
      <w:pPr>
        <w:pStyle w:val="CODE"/>
      </w:pPr>
    </w:p>
    <w:p>
      <w:pPr>
        <w:pStyle w:val="CODE"/>
      </w:pPr>
      <w:r>
        <w:t xml:space="preserve"># A moving AGV, its live position driven by a Georeference binding</w:t>
      </w:r>
    </w:p>
    <w:p>
      <w:pPr>
        <w:pStyle w:val="CODE"/>
      </w:pPr>
      <w:r>
        <w:t xml:space="preserve">def Xform "AGV_07" ( prepend apiSchemas = ["CesiumGlobeAnchorAPI"] ) {</w:t>
      </w:r>
    </w:p>
    <w:p>
      <w:pPr>
        <w:pStyle w:val="CODE"/>
      </w:pPr>
      <w:r>
        <w:t xml:space="preserve">    double cesium:anchor:latitude  = 47.6061     # &lt;- source: GPOS GlobalPosition.Latitude</w:t>
      </w:r>
    </w:p>
    <w:p>
      <w:pPr>
        <w:pStyle w:val="CODE"/>
      </w:pPr>
      <w:r>
        <w:t xml:space="preserve">    double cesium:anchor:longitude = -122.3319   # &lt;- source: GPOS GlobalPosition.Longitude</w:t>
      </w:r>
    </w:p>
    <w:p>
      <w:pPr>
        <w:pStyle w:val="CODE"/>
      </w:pPr>
      <w:r>
        <w:t xml:space="preserve">    double cesium:anchor:height    = 56.0        # &lt;- source: GPOS GlobalPosition.Elevation</w:t>
      </w:r>
    </w:p>
    <w:p>
      <w:pPr>
        <w:pStyle w:val="CODE"/>
      </w:pPr>
      <w:r>
        <w:t xml:space="preserve">}</w:t>
      </w:r>
    </w:p>
    <w:p>
      <w:pPr>
        <w:pStyle w:val="PARAGRAPH"/>
      </w:pPr>
      <w:r>
        <w:t xml:space="preserve">The corresponding binding: </w:t>
      </w:r>
      <w:r>
        <w:rPr>
          <w:rStyle w:val="VARIABLE"/>
        </w:rPr>
        <w:t xml:space="preserve">SourceSemanticId</w:t>
      </w:r>
      <w:r>
        <w:t xml:space="preserve">/</w:t>
      </w:r>
      <w:r>
        <w:rPr>
          <w:rStyle w:val="VARIABLE"/>
        </w:rPr>
        <w:t xml:space="preserve">SourceNodeId</w:t>
      </w:r>
      <w:r>
        <w:t xml:space="preserve"> → a GPOS </w:t>
      </w:r>
      <w:r>
        <w:rPr>
          <w:rStyle w:val="VARIABLE"/>
        </w:rPr>
        <w:t xml:space="preserve">GlobalPosition</w:t>
      </w:r>
      <w:r>
        <w:t xml:space="preserve"> (or its </w:t>
      </w:r>
      <w:r>
        <w:rPr>
          <w:rStyle w:val="VARIABLE"/>
        </w:rPr>
        <w:t xml:space="preserve">Latitude</w:t>
      </w:r>
      <w:r>
        <w:t xml:space="preserve">/</w:t>
      </w:r>
      <w:r>
        <w:rPr>
          <w:rStyle w:val="VARIABLE"/>
        </w:rPr>
        <w:t xml:space="preserve">Longitude</w:t>
      </w:r>
      <w:r>
        <w:t xml:space="preserve">/</w:t>
      </w:r>
      <w:r>
        <w:rPr>
          <w:rStyle w:val="VARIABLE"/>
        </w:rPr>
        <w:t xml:space="preserve">Elevation</w:t>
      </w:r>
      <w:r>
        <w:t xml:space="preserve"> components); </w:t>
      </w:r>
      <w:r>
        <w:rPr>
          <w:rStyle w:val="VARIABLE"/>
        </w:rPr>
        <w:t xml:space="preserve">TargetPrimPath = /AGV_07</w:t>
      </w:r>
      <w:r>
        <w:t xml:space="preserve">; </w:t>
      </w:r>
      <w:r>
        <w:rPr>
          <w:rStyle w:val="VARIABLE"/>
        </w:rPr>
        <w:t xml:space="preserve">TargetPropertyName = cesium:anchor:latitude</w:t>
      </w:r>
      <w:r>
        <w:t xml:space="preserve"> (…</w:t>
      </w:r>
      <w:r>
        <w:rPr>
          <w:rStyle w:val="VARIABLE"/>
        </w:rPr>
        <w:t xml:space="preserve">longitude</w:t>
      </w:r>
      <w:r>
        <w:t xml:space="preserve">/</w:t>
      </w:r>
      <w:r>
        <w:rPr>
          <w:rStyle w:val="VARIABLE"/>
        </w:rPr>
        <w:t xml:space="preserve">height</w:t>
      </w:r>
      <w:r>
        <w:t xml:space="preserve">); </w:t>
      </w:r>
      <w:r>
        <w:rPr>
          <w:rStyle w:val="VARIABLE"/>
        </w:rPr>
        <w:t xml:space="preserve">RenderTargetKind = Georeference</w:t>
      </w:r>
      <w:r>
        <w:t xml:space="preserve">. The connector applies the </w:t>
      </w:r>
      <w:r>
        <w:fldChar w:fldCharType="begin"/>
      </w:r>
      <w:r>
        <w:instrText xml:space="preserve"> REF _Clause_c7_4_2 \r \h </w:instrText>
      </w:r>
      <w:r>
        <w:fldChar w:fldCharType="separate"/>
      </w:r>
      <w:r>
        <w:rPr>
          <w:noProof/>
        </w:rPr>
        <w:t xml:space="preserve">7.4.2</w:t>
      </w:r>
      <w:r>
        <w:fldChar w:fldCharType="end"/>
      </w:r>
      <w:r>
        <w:t xml:space="preserve"> geospatial rule (degrees, metres, CRS/tangent-plane) rather than the raw </w:t>
      </w:r>
      <w:r>
        <w:rPr>
          <w:rStyle w:val="VARIABLE"/>
        </w:rPr>
        <w:t xml:space="preserve">xformOp</w:t>
      </w:r>
      <w:r>
        <w:t xml:space="preserve"> transform profile. Where the deployment uses NVIDIA's schema instead of Cesium, only the target property names change (</w:t>
      </w:r>
      <w:r>
        <w:rPr>
          <w:rStyle w:val="VARIABLE"/>
        </w:rPr>
        <w:t xml:space="preserve">omni:geospatial:wgs84:*</w:t>
      </w:r>
      <w:r>
        <w:t xml:space="preserve">); the OPC UA source and the binding are identical — the model's </w:t>
      </w:r>
      <w:r>
        <w:rPr>
          <w:b/>
        </w:rPr>
        <w:t xml:space="preserve">N + M</w:t>
      </w:r>
      <w:r>
        <w:t xml:space="preserve"> property holds for geolocation exactly as it does for telemetry.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 Id="rId132" Type="http://schemas.openxmlformats.org/officeDocument/2006/relationships/image" Target="media/openusd_figure2.png"/><Relationship Id="rId133" Type="http://schemas.openxmlformats.org/officeDocument/2006/relationships/package" Target="embeddings/openusd_figure2.pptx"/><Relationship Id="rId134" Type="http://schemas.openxmlformats.org/officeDocument/2006/relationships/image" Target="media/openusd_figure3.png"/><Relationship Id="rId135" Type="http://schemas.openxmlformats.org/officeDocument/2006/relationships/package" Target="embeddings/openusd_figure3.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0.5.0</vt:lpwstr>
  </property>
  <property fmtid="{D5CDD505-2E9C-101B-9397-08002B2CF9AE}" pid="3" name="Published">
    <vt:lpwstr>2026-07</vt:lpwstr>
  </property>
  <property fmtid="{D5CDD505-2E9C-101B-9397-08002B2CF9AE}" pid="4" name="OPCVersion">
    <vt:lpwstr>0.5.0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0.5.0</vt:lpwstr>
  </property>
  <property fmtid="{D5CDD505-2E9C-101B-9397-08002B2CF9AE}" pid="11" name="TemplateVersion">
    <vt:lpwstr>1.01.19</vt:lpwstr>
  </property>
  <property fmtid="{D5CDD505-2E9C-101B-9397-08002B2CF9AE}" pid="12" name="Date completed">
    <vt:lpwstr>2026-07-29</vt:lpwstr>
  </property>
</Properties>
</file>