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Override PartName="/word/embeddings/openusd_figure2.pptx" ContentType="application/vnd.openxmlformats-officedocument.presentationml.presentation"/>
  <Override PartName="/word/embeddings/openusd_figure3.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Avro Encoding</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Avro Encoding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0.1.0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Avro EncodingPart 1 :Avro Encoding</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0.1.0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9F66916">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14:paraId="718DA69E">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14:paraId="5E6394B4">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Apache Software Foundation</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Apache Software Foundation</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Apache Software Foundation</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Apache Software Foundation</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Apache Software Foundation</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Apache Software Foundation</w:t>
      </w:r>
      <w:r w:rsidRPr="004C388A">
        <w:rPr>
          <w:sz w:val="16"/>
          <w:szCs w:val="16"/>
        </w:rPr>
        <w:t xml:space="preserve"> specifications may require use of an invention covered by patent rights. OPC Foundation or </w:t>
      </w:r>
      <w:r w:rsidRPr="004C388A">
        <w:rPr>
          <w:color w:val="FF0000"/>
          <w:sz w:val="16"/>
          <w:szCs w:val="16"/>
        </w:rPr>
        <w:t xml:space="preserve">Apache Software Foundation</w:t>
      </w:r>
      <w:r w:rsidRPr="004C388A">
        <w:rPr>
          <w:sz w:val="16"/>
          <w:szCs w:val="16"/>
        </w:rPr>
        <w:t xml:space="preserve"> shall not be responsible for identifying patents for which a license may be required by any OPC or </w:t>
      </w:r>
      <w:r w:rsidRPr="004C388A">
        <w:rPr>
          <w:color w:val="FF0000"/>
          <w:sz w:val="16"/>
          <w:szCs w:val="16"/>
        </w:rPr>
        <w:t xml:space="preserve">Apache Software Foundation</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Apache Software Foundation</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Apache Software Foundation</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Apache Software Foundation</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Apache Software Foundation</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Apache Software Foundation</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0.1.0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APACHE AVRO ENCODING</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Binary DataEncoding and PubSub message mapping</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14:paraId="1559D9DC">
      <w:pPr>
        <w:pStyle w:val="PARAGRAPH"/>
      </w:pPr>
      <w:r>
        <w:t xml:space="preserve">This specification defines how the OPC UA data model is represented as </w:t>
      </w:r>
      <w:r>
        <w:rPr>
          <w:b/>
        </w:rPr>
        <w:t xml:space="preserve">Apache Avro</w:t>
      </w:r>
      <w:r>
        <w:t xml:space="preserve"> binary data — both as a stand-alone </w:t>
      </w:r>
      <w:r>
        <w:rPr>
          <w:b/>
        </w:rPr>
        <w:t xml:space="preserve">DataEncoding</w:t>
      </w:r>
      <w:r>
        <w:t xml:space="preserve"> for OPC UA values (a peer of the Binary, XML and JSON DataEncodings of OPC 10000-6) and as a </w:t>
      </w:r>
      <w:r>
        <w:rPr>
          <w:b/>
        </w:rPr>
        <w:t xml:space="preserve">PubSub NetworkMessage / DataSetMessage message mapping</w:t>
      </w:r>
      <w:r>
        <w:t xml:space="preserve"> (a peer of the JSON message mapping of OPC 10000-14).</w:t>
      </w:r>
    </w:p>
    <w:p w14:paraId="5BB20E48">
      <w:pPr>
        <w:pStyle w:val="PARAGRAPH"/>
      </w:pPr>
      <w:r>
        <w:t xml:space="preserve">The DataEncoding part (</w:t>
      </w:r>
      <w:r>
        <w:fldChar w:fldCharType="begin"/>
      </w:r>
      <w:r>
        <w:instrText xml:space="preserve"> REF _Clause_c6_5 \r \h </w:instrText>
      </w:r>
      <w:r>
        <w:fldChar w:fldCharType="separate"/>
      </w:r>
      <w:r>
        <w:rPr>
          <w:noProof/>
        </w:rPr>
        <w:t xml:space="preserve">6.5</w:t>
      </w:r>
      <w:r>
        <w:fldChar w:fldCharType="end"/>
      </w:r>
      <w:r>
        <w:t xml:space="preserve">–</w:t>
      </w:r>
      <w:r>
        <w:fldChar w:fldCharType="begin"/>
      </w:r>
      <w:r>
        <w:instrText xml:space="preserve"> REF _Clause_c6_7 \r \h </w:instrText>
      </w:r>
      <w:r>
        <w:fldChar w:fldCharType="separate"/>
      </w:r>
      <w:r>
        <w:rPr>
          <w:noProof/>
        </w:rPr>
        <w:t xml:space="preserve">6.7</w:t>
      </w:r>
      <w:r>
        <w:fldChar w:fldCharType="end"/>
      </w:r>
      <w:r>
        <w:t xml:space="preserve">) covers all 25 Built-in DataTypes, Enumerations, OptionSets, Structures, Structures with optional fields, Union DataTypes, arrays, matrices, Variant, ExtensionObject, DataValue and DiagnosticInfo, and the deterministic schema generation, </w:t>
      </w:r>
      <w:r>
        <w:rPr>
          <w:b/>
        </w:rPr>
        <w:t xml:space="preserve">SchemaId</w:t>
      </w:r>
      <w:r>
        <w:t xml:space="preserve"> fingerprint and decoder resolution that make the mapping reversible without carrying the schema in every payload. The message-mapping part (</w:t>
      </w:r>
      <w:r>
        <w:fldChar w:fldCharType="begin"/>
      </w:r>
      <w:r>
        <w:instrText xml:space="preserve"> REF _Clause_c6_8 \r \h </w:instrText>
      </w:r>
      <w:r>
        <w:fldChar w:fldCharType="separate"/>
      </w:r>
      <w:r>
        <w:rPr>
          <w:noProof/>
        </w:rPr>
        <w:t xml:space="preserve">6.8</w:t>
      </w:r>
      <w:r>
        <w:fldChar w:fldCharType="end"/>
      </w:r>
      <w:r>
        <w:t xml:space="preserve">) covers data key and delta frames, Action invoke/response messages, Discovery messages, field representation according to </w:t>
      </w:r>
      <w:r>
        <w:rPr>
          <w:rStyle w:val="VARIABLE"/>
        </w:rPr>
        <w:t xml:space="preserve">DataSetFieldContentMask</w:t>
      </w:r>
      <w:r>
        <w:t xml:space="preserve">, message header fields, the SchemaId handshake, configuration parameters and transport content-type metadata for MQTT, AMQP and Kafka.</w:t>
      </w:r>
    </w:p>
    <w:p w14:paraId="4762F4AA">
      <w:pPr>
        <w:pStyle w:val="PARAGRAPH"/>
      </w:pPr>
      <w:r>
        <w:t xml:space="preserve">This specification does not define a new OPC UA Service, transport or security protocol, and does not change PubSub security, writer-group semantics or DataSet metadata semantics. It defines one canonical Avro form per DataType and requires </w:t>
      </w:r>
      <w:r>
        <w:rPr>
          <w:rStyle w:val="VARIABLE"/>
        </w:rPr>
        <w:t xml:space="preserve">decode(encode(x)) == x</w:t>
      </w:r>
      <w:r>
        <w:t xml:space="preserve"> for every value of the described DataType.</w:t>
      </w:r>
    </w:p>
    <w:p w14:paraId="5D02AA1A">
      <w:pPr>
        <w:pStyle w:val="PARAGRAPH"/>
      </w:pPr>
      <w:r>
        <w:t xml:space="preserve">The Avro DataEncoding is </w:t>
      </w:r>
      <w:r>
        <w:rPr>
          <w:b/>
        </w:rPr>
        <w:t xml:space="preserve">not intended as a mapping for OPC UA Service request/response</w:t>
      </w:r>
      <w:r>
        <w:t xml:space="preserve">. Service calls exchanged over an OPC UA SecureChannel — Read, Write, Browse, Call, the Subscription Services and every other Service of OPC 10000-4 — continue to use the Binary DataEncoding (or, where supported, the XML or JSON DataEncodings) with the transport mappings of OPC 10000-6. No profile has been defined that enables a Server to offer Avro as the DataEncoding of a Service request or response message, and this specification assigns no Avro encoding to the Service message structures. Avro applies to </w:t>
      </w:r>
      <w:r>
        <w:rPr>
          <w:b/>
        </w:rPr>
        <w:t xml:space="preserve">DataSet and value payloads</w:t>
      </w:r>
      <w:r>
        <w:t xml:space="preserve"> — PubSub NetworkMessages and DataSetMessages (</w:t>
      </w:r>
      <w:r>
        <w:fldChar w:fldCharType="begin"/>
      </w:r>
      <w:r>
        <w:instrText xml:space="preserve"> REF _Clause_c6_8 \r \h </w:instrText>
      </w:r>
      <w:r>
        <w:fldChar w:fldCharType="separate"/>
      </w:r>
      <w:r>
        <w:rPr>
          <w:noProof/>
        </w:rPr>
        <w:t xml:space="preserve">6.8</w:t>
      </w:r>
      <w:r>
        <w:fldChar w:fldCharType="end"/>
      </w:r>
      <w:r>
        <w:t xml:space="preserve">), and individual values encoded with the </w:t>
      </w:r>
      <w:r>
        <w:rPr>
          <w:rStyle w:val="VARIABLE"/>
        </w:rPr>
        <w:t xml:space="preserve">Default Avro</w:t>
      </w:r>
      <w:r>
        <w:t xml:space="preserve"> DataTypeEncoding (</w:t>
      </w:r>
      <w:r>
        <w:fldChar w:fldCharType="begin"/>
      </w:r>
      <w:r>
        <w:instrText xml:space="preserve"> REF _Clause_c6_5 \r \h </w:instrText>
      </w:r>
      <w:r>
        <w:fldChar w:fldCharType="separate"/>
      </w:r>
      <w:r>
        <w:rPr>
          <w:noProof/>
        </w:rPr>
        <w:t xml:space="preserve">6.5</w:t>
      </w:r>
      <w:r>
        <w:fldChar w:fldCharType="end"/>
      </w:r>
      <w:r>
        <w:t xml:space="preserve">–</w:t>
      </w:r>
      <w:r>
        <w:fldChar w:fldCharType="begin"/>
      </w:r>
      <w:r>
        <w:instrText xml:space="preserve"> REF _Clause_c6_7 \r \h </w:instrText>
      </w:r>
      <w:r>
        <w:fldChar w:fldCharType="separate"/>
      </w:r>
      <w:r>
        <w:rPr>
          <w:noProof/>
        </w:rPr>
        <w:t xml:space="preserve">6.7</w:t>
      </w:r>
      <w:r>
        <w:fldChar w:fldCharType="end"/>
      </w:r>
      <w:r>
        <w:t xml:space="preserve">).</w:t>
      </w:r>
    </w:p>
    <w:p w14:paraId="058BDC37">
      <w:pPr>
        <w:pStyle w:val="PARAGRAPH"/>
      </w:pPr>
      <w:r>
        <w:t xml:space="preserve">This exclusion concerns the OPC UA Services. It is </w:t>
      </w:r>
      <w:r>
        <w:rPr>
          <w:b/>
        </w:rPr>
        <w:t xml:space="preserve">not</w:t>
      </w:r>
      <w:r>
        <w:t xml:space="preserve"> about request/response over PubSub in the form of PubSub Actions: the Action invoke and response messages of </w:t>
      </w:r>
      <w:r>
        <w:fldChar w:fldCharType="begin"/>
      </w:r>
      <w:r>
        <w:instrText xml:space="preserve"> REF _Clause_c6_8_3 \r \h </w:instrText>
      </w:r>
      <w:r>
        <w:fldChar w:fldCharType="separate"/>
      </w:r>
      <w:r>
        <w:rPr>
          <w:noProof/>
        </w:rPr>
        <w:t xml:space="preserve">6.8.3</w:t>
      </w:r>
      <w:r>
        <w:fldChar w:fldCharType="end"/>
      </w:r>
      <w:r>
        <w:t xml:space="preserve"> are DataSetMessages carried over the PubSub message mapping, and they remain fully in scope.</w:t>
      </w:r>
    </w:p>
    <w:p w14:paraId="05472EBF">
      <w:pPr>
        <w:pStyle w:val="Heading2"/>
      </w:pPr>
      <w:bookmarkStart w:id="448" w:name="_Clause_c1_1"/>
      <w:r>
        <w:t xml:space="preserve">Conformance to the OPC 20020 template</w:t>
      </w:r>
      <w:bookmarkEnd w:id="448"/>
    </w:p>
    <w:p w14:paraId="1CE6D940">
      <w:pPr>
        <w:pStyle w:val="PARAGRAPH"/>
      </w:pPr>
      <w:r>
        <w:t xml:space="preserve">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280DB77D">
      <w:pPr>
        <w:pStyle w:val="PARAGRAPH"/>
      </w:pPr>
      <w:r>
        <w:t xml:space="preserve">This document defines a DataEncoding: a mapping of the OPC UA type model onto Apache Avro, and of the OPC UA PubSub messages onto Avro-encoded payloads. It defines no OPC UA information model of its own: it has no NodeSet, no ObjectTypes, no VariableTypes, no DataTypes, no ReferenceTypes and no Instances. The NodeClass clauses of OPC 20020 are therefore omitted rather than left empty, and Annex A states the generated type reference this document does define in place of a NodeSet.</w:t>
      </w:r>
    </w:p>
    <w:p w14:paraId="2B970E0C">
      <w:pPr>
        <w:pStyle w:val="NOTE"/>
      </w:pPr>
      <w:r>
        <w:t xml:space="preserve">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Apache Software Foundation</w:t>
      </w:r>
    </w:p>
    <w:p w14:paraId="3FCBD290" w14:textId="77777777" w:rsidR="00F95EC5" w:rsidRPr="00EC120D" w:rsidRDefault="00F95EC5" w:rsidP="00F95EC5">
      <w:pPr>
        <w:pStyle w:val="Heading1"/>
      </w:pPr>
      <w:bookmarkStart w:id="449"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49"/>
    </w:p>
    <w:p w14:paraId="532CB950">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pPr>
        <w:pStyle w:val="NOTE"/>
      </w:pPr>
      <w:r>
        <w:t xml:space="preserve">NOTE   </w:t>
      </w:r>
      <w:r>
        <w:t xml:space="preserve">The OPC UA core specifications are regularly published as IEC 62541.</w:t>
      </w:r>
    </w:p>
    <w:p w14:paraId="4256C675">
      <w:pPr>
        <w:pStyle w:val="ReferenceDocuments"/>
      </w:pPr>
      <w:bookmarkStart w:id="450" w:name="UAPart1"/>
      <w:r>
        <w:t xml:space="preserve">OPC 10000-1, OPC Unified Architecture - Part 1: Overview and Concepts</w:t>
      </w:r>
      <w:bookmarkEnd w:id="450"/>
    </w:p>
    <w:p w14:paraId="6AD2C4ED">
      <w:pPr>
        <w:pStyle w:val="ReferenceDocuments"/>
      </w:pPr>
      <w:r>
        <w:t xml:space="preserve">http://www.opcfoundation.org/documents/10000-1/</w:t>
      </w:r>
    </w:p>
    <w:p w14:paraId="6FD2527B">
      <w:pPr>
        <w:pStyle w:val="ReferenceDocuments"/>
      </w:pPr>
      <w:bookmarkStart w:id="451" w:name="UAPart2"/>
      <w:r>
        <w:t xml:space="preserve">OPC 10000-2, OPC Unified Architecture - Part 2: Security Model</w:t>
      </w:r>
      <w:bookmarkEnd w:id="451"/>
    </w:p>
    <w:p w14:paraId="3D170781">
      <w:pPr>
        <w:pStyle w:val="ReferenceDocuments"/>
      </w:pPr>
      <w:r>
        <w:t xml:space="preserve">http://www.opcfoundation.org/documents/10000-2/</w:t>
      </w:r>
    </w:p>
    <w:p w14:paraId="0DF77927">
      <w:pPr>
        <w:pStyle w:val="ReferenceDocuments"/>
      </w:pPr>
      <w:bookmarkStart w:id="452" w:name="UAPart3"/>
      <w:r>
        <w:t xml:space="preserve">OPC 10000-3, OPC Unified Architecture - Part 3: Address Space Model</w:t>
      </w:r>
      <w:bookmarkEnd w:id="452"/>
    </w:p>
    <w:p w14:paraId="3C78FFE5">
      <w:pPr>
        <w:pStyle w:val="ReferenceDocuments"/>
      </w:pPr>
      <w:r>
        <w:t xml:space="preserve">http://www.opcfoundation.org/documents/10000-3/</w:t>
      </w:r>
    </w:p>
    <w:p w14:paraId="3F657DC6">
      <w:pPr>
        <w:pStyle w:val="ReferenceDocuments"/>
      </w:pPr>
      <w:bookmarkStart w:id="453" w:name="UAPart4"/>
      <w:r>
        <w:t xml:space="preserve">OPC 10000-4, OPC Unified Architecture - Part 4: Services</w:t>
      </w:r>
      <w:bookmarkEnd w:id="453"/>
    </w:p>
    <w:p w14:paraId="6730A53D">
      <w:pPr>
        <w:pStyle w:val="ReferenceDocuments"/>
      </w:pPr>
      <w:r>
        <w:t xml:space="preserve">http://www.opcfoundation.org/documents/10000-4/</w:t>
      </w:r>
    </w:p>
    <w:p w14:paraId="6CFFCBC8">
      <w:pPr>
        <w:pStyle w:val="ReferenceDocuments"/>
      </w:pPr>
      <w:bookmarkStart w:id="454" w:name="UAPart5"/>
      <w:r>
        <w:t xml:space="preserve">OPC 10000-5, OPC Unified Architecture - Part 5: Information Model</w:t>
      </w:r>
      <w:bookmarkEnd w:id="454"/>
    </w:p>
    <w:p w14:paraId="6BD99771">
      <w:pPr>
        <w:pStyle w:val="ReferenceDocuments"/>
      </w:pPr>
      <w:r>
        <w:t xml:space="preserve">http://www.opcfoundation.org/documents/10000-5/</w:t>
      </w:r>
    </w:p>
    <w:p w14:paraId="2B20AF8C">
      <w:pPr>
        <w:pStyle w:val="ReferenceDocuments"/>
      </w:pPr>
      <w:bookmarkStart w:id="455" w:name="UAPart6"/>
      <w:r>
        <w:t xml:space="preserve">OPC 10000-6, OPC Unified Architecture - Part 6: Mappings, which this document extends with a new DataEncoding.</w:t>
      </w:r>
      <w:bookmarkEnd w:id="455"/>
    </w:p>
    <w:p w14:paraId="57874050">
      <w:pPr>
        <w:pStyle w:val="ReferenceDocuments"/>
      </w:pPr>
      <w:r>
        <w:t xml:space="preserve">http://www.opcfoundation.org/documents/10000-6/</w:t>
      </w:r>
    </w:p>
    <w:p w14:paraId="15C4A750">
      <w:pPr>
        <w:pStyle w:val="ReferenceDocuments"/>
      </w:pPr>
      <w:bookmarkStart w:id="456" w:name="UAPart7"/>
      <w:r>
        <w:t xml:space="preserve">OPC 10000-7, OPC Unified Architecture - Part 7: Profiles</w:t>
      </w:r>
      <w:bookmarkEnd w:id="456"/>
    </w:p>
    <w:p w14:paraId="31ACFF0C">
      <w:pPr>
        <w:pStyle w:val="ReferenceDocuments"/>
      </w:pPr>
      <w:r>
        <w:t xml:space="preserve">http://www.opcfoundation.org/documents/10000-7/</w:t>
      </w:r>
    </w:p>
    <w:p w14:paraId="4D76427A">
      <w:pPr>
        <w:pStyle w:val="ReferenceDocuments"/>
      </w:pPr>
      <w:bookmarkStart w:id="457" w:name="UAPart11"/>
      <w:r>
        <w:t xml:space="preserve">OPC 10000-11, OPC Unified Architecture - Part 11: Historical Access</w:t>
      </w:r>
      <w:bookmarkEnd w:id="457"/>
    </w:p>
    <w:p w14:paraId="3F947831">
      <w:pPr>
        <w:pStyle w:val="ReferenceDocuments"/>
      </w:pPr>
      <w:r>
        <w:t xml:space="preserve">http://www.opcfoundation.org/documents/10000-11/</w:t>
      </w:r>
    </w:p>
    <w:p w14:paraId="4B1A03C5">
      <w:pPr>
        <w:pStyle w:val="ReferenceDocuments"/>
      </w:pPr>
      <w:bookmarkStart w:id="458" w:name="UAPart12"/>
      <w:r>
        <w:t xml:space="preserve">OPC 10000-12, OPC Unified Architecture - Part 12: Discovery and Global Services</w:t>
      </w:r>
      <w:bookmarkEnd w:id="458"/>
    </w:p>
    <w:p w14:paraId="61EE0BCB">
      <w:pPr>
        <w:pStyle w:val="ReferenceDocuments"/>
      </w:pPr>
      <w:r>
        <w:t xml:space="preserve">http://www.opcfoundation.org/documents/10000-12/</w:t>
      </w:r>
    </w:p>
    <w:p w14:paraId="749F4E52">
      <w:pPr>
        <w:pStyle w:val="ReferenceDocuments"/>
      </w:pPr>
      <w:bookmarkStart w:id="459" w:name="UAPart14"/>
      <w:r>
        <w:t xml:space="preserve">OPC 10000-14, OPC Unified Architecture - Part 14: PubSub, whose NetworkMessage and DataSetMessage this document maps.</w:t>
      </w:r>
      <w:bookmarkEnd w:id="459"/>
    </w:p>
    <w:p w14:paraId="19709376">
      <w:pPr>
        <w:pStyle w:val="ReferenceDocuments"/>
      </w:pPr>
      <w:r>
        <w:t xml:space="preserve">http://www.opcfoundation.org/documents/10000-14/</w:t>
      </w:r>
    </w:p>
    <w:p w14:paraId="6700D0AA">
      <w:pPr>
        <w:pStyle w:val="ReferenceDocuments"/>
      </w:pPr>
      <w:bookmarkStart w:id="460" w:name="AVROSPEC"/>
      <w:r>
        <w:t xml:space="preserve">Apache Avro specification, The Avro binary encoding, schema language and schema-resolution rules this document maps onto.</w:t>
      </w:r>
      <w:bookmarkEnd w:id="460"/>
    </w:p>
    <w:p w14:paraId="56132168">
      <w:pPr>
        <w:pStyle w:val="ReferenceDocuments"/>
      </w:pPr>
      <w:r>
        <w:t xml:space="preserve">https://avro.apache.org/docs/</w:t>
      </w:r>
    </w:p>
    <w:p w14:paraId="228C6C3C">
      <w:pPr>
        <w:pStyle w:val="ReferenceDocuments"/>
      </w:pPr>
      <w:bookmarkStart w:id="461" w:name="SREG"/>
      <w:r>
        <w:t xml:space="preserve">OPC UA for Schema Registry, The in-server registry that resolves a SchemaId to the schema document that produced it.</w:t>
      </w:r>
      <w:bookmarkEnd w:id="461"/>
    </w:p>
    <w:p w14:paraId="7BE15FFD" w14:textId="77777777" w:rsidR="00F95EC5" w:rsidRPr="00EC120D" w:rsidRDefault="00F95EC5" w:rsidP="00F95EC5">
      <w:pPr>
        <w:pStyle w:val="Heading1"/>
      </w:pPr>
      <w:bookmarkStart w:id="462"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2"/>
    </w:p>
    <w:p w14:paraId="102C7103" w14:textId="77777777" w:rsidR="002A08F9" w:rsidRPr="00EC120D" w:rsidRDefault="002A08F9" w:rsidP="002A08F9">
      <w:pPr>
        <w:pStyle w:val="Heading2"/>
        <w:ind w:left="0" w:firstLine="0"/>
      </w:pPr>
      <w:bookmarkStart w:id="463" w:name="_Clause_c3_1"/>
      <w:bookmarkStart w:id="58" w:name="_Toc184116964"/>
      <w:r w:rsidRPr="00EC120D">
        <w:t>Overview</w:t>
      </w:r>
      <w:bookmarkEnd w:id="58"/>
      <w:bookmarkEnd w:id="463"/>
    </w:p>
    <w:p w14:paraId="40F7B99A" w14:textId="3BD15142" w:rsidR="00E12745" w:rsidRDefault="002A08F9" w:rsidP="00121B8E">
      <w:pPr>
        <w:pStyle w:val="Heading2"/>
        <w:ind w:left="0" w:firstLine="0"/>
      </w:pPr>
      <w:bookmarkStart w:id="464"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Avro Encoding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4"/>
    </w:p>
    <w:p w14:paraId="196CFA4B">
      <w:pPr>
        <w:pStyle w:val="PARAGRAPH"/>
      </w:pPr>
      <w:r>
        <w:t xml:space="preserve">It is assumed that basic concepts of OPC UA information modelling and of Avro Encoding are understood in this document. This document uses these concepts to describe the Avro Encoding Information Model. For the purposes of this document, the terms and definitions given in OPC 10000-1, OPC 10000-3, OPC 10000-4, OPC 10000-5 and OPC 10000-7, as well as the following, apply.</w:t>
      </w:r>
    </w:p>
    <w:p w14:paraId="69788417">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5"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5"/>
    </w:p>
    <w:p w14:paraId="30B0FC23">
      <w:pPr>
        <w:pStyle w:val="TERM-number3"/>
      </w:pPr>
    </w:p>
    <w:p w14:paraId="6EF1C03A">
      <w:pPr>
        <w:pStyle w:val="TERM"/>
      </w:pPr>
      <w:r>
        <w:t xml:space="preserve">Avro binary encoding</w:t>
      </w:r>
    </w:p>
    <w:p w14:paraId="5880342A">
      <w:pPr>
        <w:pStyle w:val="TERM-definition"/>
      </w:pPr>
      <w:r>
        <w:t xml:space="preserve">The compact binary encoding defined by Apache Avro for a value written with a known Avro schema.</w:t>
      </w:r>
    </w:p>
    <w:p w14:paraId="1A1C8A53">
      <w:pPr>
        <w:pStyle w:val="TERM-number3"/>
      </w:pPr>
    </w:p>
    <w:p w14:paraId="53BE9611">
      <w:pPr>
        <w:pStyle w:val="TERM"/>
      </w:pPr>
      <w:r>
        <w:t xml:space="preserve">Default Avro</w:t>
      </w:r>
    </w:p>
    <w:p w14:paraId="29849280">
      <w:pPr>
        <w:pStyle w:val="TERM-definition"/>
      </w:pPr>
      <w:r>
        <w:t xml:space="preserve">The OPC UA DataTypeEncoding for this mapping; the analogue of Default Binary, Default XML and Default JSON. There is no AddressSpace representation of </w:t>
      </w:r>
      <w:r>
        <w:rPr>
          <w:rStyle w:val="VARIABLE"/>
        </w:rPr>
        <w:t xml:space="preserve">Default Avro</w:t>
      </w:r>
      <w:r>
        <w:t xml:space="preserve">; it is named here only for symmetry with the other encodings.</w:t>
      </w:r>
    </w:p>
    <w:p w14:paraId="0015EC7F">
      <w:pPr>
        <w:pStyle w:val="TERM-number3"/>
      </w:pPr>
    </w:p>
    <w:p w14:paraId="3A21BEEC">
      <w:pPr>
        <w:pStyle w:val="TERM"/>
      </w:pPr>
      <w:r>
        <w:t xml:space="preserve">Canonical schema</w:t>
      </w:r>
    </w:p>
    <w:p w14:paraId="267823F6">
      <w:pPr>
        <w:pStyle w:val="TERM-definition"/>
      </w:pPr>
      <w:r>
        <w:t xml:space="preserve">The single Avro schema form generated for an OPC UA DataType by this specification. Equivalent alternative encodings are not allowed on the wire.</w:t>
      </w:r>
    </w:p>
    <w:p w14:paraId="0D7CB810">
      <w:pPr>
        <w:pStyle w:val="TERM-number3"/>
      </w:pPr>
    </w:p>
    <w:p w14:paraId="20010749">
      <w:pPr>
        <w:pStyle w:val="TERM"/>
      </w:pPr>
      <w:r>
        <w:t xml:space="preserve">Parsing Canonical Form</w:t>
      </w:r>
    </w:p>
    <w:p w14:paraId="23F46C2D">
      <w:pPr>
        <w:pStyle w:val="TERM-definition"/>
      </w:pPr>
      <w:r>
        <w:t xml:space="preserve">The Apache Avro canonical text form of a self-contained schema over which the SchemaId fingerprint is computed.</w:t>
      </w:r>
    </w:p>
    <w:p w14:paraId="6FDDCE51">
      <w:pPr>
        <w:pStyle w:val="TERM-number3"/>
      </w:pPr>
    </w:p>
    <w:p w14:paraId="79CAF5EC">
      <w:pPr>
        <w:pStyle w:val="TERM"/>
      </w:pPr>
      <w:r>
        <w:t xml:space="preserve">SchemaId</w:t>
      </w:r>
    </w:p>
    <w:p w14:paraId="78833732">
      <w:pPr>
        <w:pStyle w:val="TERM-definition"/>
      </w:pPr>
      <w:r>
        <w:t xml:space="preserve">The CRC-64-AVRO Rabin fingerprint of the Parsing Canonical Form of the self-contained schema; the 8 fingerprint bytes in little-endian order. It identifies the exact Avro schema needed to decode a payload and is independent of PubSub ConfigurationVersion.</w:t>
      </w:r>
    </w:p>
    <w:p w14:paraId="26BCF03E">
      <w:pPr>
        <w:pStyle w:val="TERM-number3"/>
      </w:pPr>
    </w:p>
    <w:p w14:paraId="49463142">
      <w:pPr>
        <w:pStyle w:val="TERM"/>
      </w:pPr>
      <w:r>
        <w:t xml:space="preserve">Matrix</w:t>
      </w:r>
    </w:p>
    <w:p w14:paraId="0C5DAF59">
      <w:pPr>
        <w:pStyle w:val="TERM-definition"/>
      </w:pPr>
      <w:r>
        <w:t xml:space="preserve">An OPC UA multi-dimensional array represented as row-major values plus a dimensions vector.</w:t>
      </w:r>
    </w:p>
    <w:p w14:paraId="000A486B">
      <w:pPr>
        <w:pStyle w:val="TERM-number3"/>
      </w:pPr>
    </w:p>
    <w:p w14:paraId="7C1B3453">
      <w:pPr>
        <w:pStyle w:val="TERM"/>
      </w:pPr>
      <w:r>
        <w:t xml:space="preserve">Reversible</w:t>
      </w:r>
    </w:p>
    <w:p w14:paraId="288037B6">
      <w:pPr>
        <w:pStyle w:val="TERM-definition"/>
      </w:pPr>
      <w:r>
        <w:t xml:space="preserve">Decoding an encoded value reconstructs the same OPC UA value, including null-vs-empty distinctions, unsigned integer bit patterns, NaN and signed zero.</w:t>
      </w:r>
    </w:p>
    <w:p w14:paraId="6325E0F0">
      <w:pPr>
        <w:pStyle w:val="TERM-number3"/>
      </w:pPr>
    </w:p>
    <w:p w14:paraId="26EFF10A">
      <w:pPr>
        <w:pStyle w:val="TERM"/>
      </w:pPr>
      <w:r>
        <w:t xml:space="preserve">RawData field</w:t>
      </w:r>
    </w:p>
    <w:p w14:paraId="748673AB">
      <w:pPr>
        <w:pStyle w:val="TERM-definition"/>
      </w:pPr>
      <w:r>
        <w:t xml:space="preserve">A DataSet field encoded with the Avro schema for the field DataType rather than Variant or DataValue wrapping.</w:t>
      </w:r>
    </w:p>
    <w:p w14:paraId="444B922C" w14:textId="77777777" w:rsidR="005444A2" w:rsidRPr="00EC120D" w:rsidRDefault="005444A2" w:rsidP="005444A2">
      <w:pPr>
        <w:pStyle w:val="Heading2"/>
        <w:ind w:left="0" w:firstLine="0"/>
      </w:pPr>
      <w:bookmarkStart w:id="466" w:name="_Clause_c3_4"/>
      <w:bookmarkStart w:id="87" w:name="_Toc184116967"/>
      <w:r w:rsidRPr="00EC120D">
        <w:t>Conventions used in this document</w:t>
      </w:r>
      <w:bookmarkEnd w:id="84"/>
      <w:bookmarkEnd w:id="85"/>
      <w:bookmarkEnd w:id="86"/>
      <w:bookmarkEnd w:id="87"/>
      <w:bookmarkEnd w:id="466"/>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This document describes no Nodes and therefore allocates no NodeIds. Annex A defines the machine-readable artifacts this document publishes instead.</w:t>
      </w:r>
      <w:proofErr w:type="spellStart"/>
      <w:r w:rsidRPr="00EC120D">
        <w:rPr>
          <w:i/>
        </w:rPr>
        <w:t/>
      </w:r>
      <w:proofErr w:type="spellEnd"/>
      <w:r w:rsidRPr="00EC120D">
        <w:t xml:space="preserve"/>
      </w:r>
      <w:r w:rsidRPr="00EC120D">
        <w:rPr>
          <w:i/>
        </w:rPr>
        <w:t/>
      </w:r>
      <w:r w:rsidRPr="00EC120D">
        <w:t xml:space="preserve"/>
      </w:r>
      <w:r w:rsidR="00FB4283" w:rsidRPr="00EC120D">
        <w:fldChar w:fldCharType="begin"/>
      </w:r>
      <w:r w:rsidR="00FB4283" w:rsidRPr="00EC120D">
        <w:instrText xml:space="preserve"> REF _Ref37835123 \w \h </w:instrText>
      </w:r>
      <w:r w:rsidR="00FB4283" w:rsidRPr="00EC120D">
        <w:fldChar w:fldCharType="separate"/>
      </w:r>
      <w:r w:rsidR="0079147C">
        <w:t/>
      </w:r>
      <w:r w:rsidR="00FB4283" w:rsidRPr="00EC120D">
        <w:fldChar w:fldCharType="end"/>
      </w:r>
      <w:r w:rsidRPr="00EC120D">
        <w:t xml:space="preserve"/>
      </w:r>
      <w:proofErr w:type="spellStart"/>
      <w:r w:rsidRPr="00EC120D">
        <w:rPr>
          <w:i/>
        </w:rPr>
        <w:t/>
      </w:r>
      <w:proofErr w:type="spellEnd"/>
      <w:r w:rsidRPr="00EC120D">
        <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67"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Avro Encoding and OPC UA</w:t>
      </w:r>
      <w:r w:rsidRPr="00EC120D">
        <w:rPr>
          <w:color w:val="FF0000"/>
        </w:rPr>
        <w:t xml:space="preserve"/>
      </w:r>
      <w:r w:rsidRPr="00EC120D">
        <w:t/>
      </w:r>
      <w:bookmarkEnd w:id="187"/>
      <w:bookmarkEnd w:id="188"/>
      <w:bookmarkEnd w:id="189"/>
      <w:bookmarkEnd w:id="467"/>
    </w:p>
    <w:p w14:paraId="5E4E1B10" w14:textId="77777777" w:rsidR="00F95EC5" w:rsidRPr="00EC120D" w:rsidRDefault="00831FE3" w:rsidP="00F95EC5">
      <w:pPr>
        <w:pStyle w:val="Heading2"/>
        <w:ind w:left="0" w:firstLine="0"/>
      </w:pPr>
      <w:bookmarkStart w:id="468" w:name="_Clause_c4_1"/>
      <w:bookmarkStart w:id="190" w:name="_Toc442691850"/>
      <w:bookmarkStart w:id="191" w:name="_Toc29911975"/>
      <w:bookmarkStart w:id="192" w:name="_Toc184116979"/>
      <w:r w:rsidRPr="00EC120D">
        <w:t xml:space="preserve">Introduction to Avro Encoding</w:t>
      </w:r>
      <w:bookmarkEnd w:id="190"/>
      <w:r w:rsidRPr="00EC120D">
        <w:rPr>
          <w:color w:val="FF0000"/>
        </w:rPr>
        <w:t/>
      </w:r>
      <w:bookmarkEnd w:id="191"/>
      <w:bookmarkEnd w:id="192"/>
      <w:bookmarkEnd w:id="468"/>
    </w:p>
    <w:p w14:paraId="59BD7E05">
      <w:pPr>
        <w:pStyle w:val="PARAGRAPH"/>
      </w:pPr>
      <w:r>
        <w:t xml:space="preserve">Apache Avro is a compact binary serialization format in which the data carries no type information of its own. A writer encodes values against a schema, and a reader can only decode them by holding that same schema, so a message is a small payload plus a way of naming the schema that produced it. Because nothing is repeated per value, the encoded form is a fraction of the size of a self-describing one.</w:t>
      </w:r>
    </w:p>
    <w:p w14:paraId="35956AED">
      <w:pPr>
        <w:pStyle w:val="PARAGRAPH"/>
      </w:pPr>
      <w:r>
        <w:t xml:space="preserve">That trade suits OPC UA. A Server publishing a DataSet many times a second repeats the same structure every time, and both the OPC UA binary and the JSON encoding carry that structure on the wire. Avro moves it out of the message and into a schema resolved once.</w:t>
      </w:r>
    </w:p>
    <w:p w14:paraId="01E1851B">
      <w:pPr>
        <w:pStyle w:val="PARAGRAPH"/>
      </w:pPr>
      <w:r>
        <w:t xml:space="preserve">This document defines how the OPC UA type model maps onto Avro, how a schema is generated deterministically from a NodeSet or from DataSetMetaData so that two implementations produce the same schema and therefore the same identity for it, and how a PubSub NetworkMessage, DataSetMessage, Action and Discovery message are carried in Avro form.</w:t>
      </w:r>
    </w:p>
    <w:p w14:paraId="0FC17205" w14:textId="77777777" w:rsidR="00F95EC5" w:rsidRPr="00EC120D" w:rsidRDefault="00831FE3" w:rsidP="003C6085">
      <w:pPr>
        <w:pStyle w:val="Heading2"/>
      </w:pPr>
      <w:bookmarkStart w:id="469"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69"/>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Avro Encoding</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0" w:name="_Clause_c5"/>
      <w:bookmarkStart w:id="217" w:name="_Toc184116984"/>
      <w:r w:rsidRPr="00EC120D">
        <w:t xml:space="preserve">Use </w:t>
      </w:r>
      <w:r w:rsidR="00BE7277" w:rsidRPr="00EC120D">
        <w:t>c</w:t>
      </w:r>
      <w:r w:rsidRPr="00EC120D">
        <w:t>ases</w:t>
      </w:r>
      <w:bookmarkEnd w:id="217"/>
      <w:bookmarkEnd w:id="470"/>
    </w:p>
    <w:p w14:paraId="02A6C97E">
      <w:pPr>
        <w:pStyle w:val="PARAGRAPH"/>
      </w:pPr>
      <w:r>
        <w:t xml:space="preserve">The Binary, XML and JSON DataEncodings of OPC 10000-6 serve OPC UA clients and servers directly. Avro instead targets </w:t>
      </w:r>
      <w:r>
        <w:rPr>
          <w:b/>
        </w:rPr>
        <w:t xml:space="preserve">PubSub integration with downstream systems that speak Apache Avro but not the OPC UA Binary encoding</w:t>
      </w:r>
      <w:r>
        <w:t xml:space="preserve"> — stream processors, data lakes, message-bus consumers and hot-path analytics pipelines. These systems increasingly ingest OPC UA telemetry, yet cannot decode UA Binary and gain little from the verbosity of JSON.</w:t>
      </w:r>
    </w:p>
    <w:p w14:paraId="42AF06A3">
      <w:pPr>
        <w:pStyle w:val="PARAGRAPH"/>
      </w:pPr>
      <w:r>
        <w:t xml:space="preserve">Avro lets a Publisher emit that telemetry in a compact binary form these consumers read </w:t>
      </w:r>
      <w:r>
        <w:rPr>
          <w:b/>
        </w:rPr>
        <w:t xml:space="preserve">unchanged</w:t>
      </w:r>
      <w:r>
        <w:t xml:space="preserve">, while preserving OPC UA semantics. The type information needed to interpret each value — DataTypes drawn from companion specifications and from a server's AddressSpace — is captured once in the Avro schema and shared out of band through a schema registry rather than repeated in every message, so a subscriber relates each field back to its OPC UA meaning without an OPC UA session. The encoding is therefore optimized for </w:t>
      </w:r>
      <w:r>
        <w:rPr>
          <w:b/>
        </w:rPr>
        <w:t xml:space="preserve">high throughput and low resource consumption on the hot path</w:t>
      </w:r>
      <w:r>
        <w:t xml:space="preserve">: small messages, no per-message schema, and a wire format that Avro toolchains decode natively. Where a consumer needs full OPC UA interoperability it still uses UA Binary; Avro is the bridge for Avro-native systems that could otherwise not consume OPC UA data at all.</w:t>
      </w:r>
    </w:p>
    <w:p w14:paraId="1C9E1362" w14:textId="11C9A06E" w:rsidR="000E4B7A" w:rsidRPr="00EC120D" w:rsidRDefault="000E4B7A" w:rsidP="000E4B7A">
      <w:pPr>
        <w:pStyle w:val="Heading1"/>
      </w:pPr>
      <w:bookmarkStart w:id="471" w:name="_Clause_c6"/>
      <w:bookmarkStart w:id="218" w:name="_Toc442691855"/>
      <w:bookmarkStart w:id="219" w:name="_Toc29911984"/>
      <w:bookmarkStart w:id="220" w:name="_Toc184116985"/>
      <w:r w:rsidRPr="00EC120D">
        <w:rPr>
          <w:color w:val="FF0000"/>
        </w:rPr>
        <w:lastRenderedPageBreak/>
        <w:t>Avro Encoding information model overview</w:t>
      </w:r>
      <w:r w:rsidRPr="00EC120D">
        <w:t xml:space="preserve"/>
      </w:r>
      <w:bookmarkEnd w:id="218"/>
      <w:bookmarkEnd w:id="219"/>
      <w:bookmarkEnd w:id="220"/>
      <w:bookmarkEnd w:id="471"/>
    </w:p>
    <w:p w14:paraId="76B0F9E6">
      <w:pPr>
        <w:pStyle w:val="Heading2"/>
      </w:pPr>
      <w:bookmarkStart w:id="472" w:name="_Clause_c6_1"/>
      <w:r>
        <w:t xml:space="preserve">Where Avro fits</w:t>
      </w:r>
      <w:bookmarkEnd w:id="472"/>
    </w:p>
    <w:p w14:paraId="0CA6FF7F">
      <w:pPr>
        <w:pStyle w:val="PARAGRAPH"/>
      </w:pPr>
      <w:r>
        <w:t xml:space="preserve">OPC UA separates a </w:t>
      </w:r>
      <w:r>
        <w:rPr>
          <w:b/>
        </w:rPr>
        <w:t xml:space="preserve">value's DataType</w:t>
      </w:r>
      <w:r>
        <w:t xml:space="preserve"> (its structure, from the DataTypeDefinition in the AddressSpace) from its </w:t>
      </w:r>
      <w:r>
        <w:rPr>
          <w:b/>
        </w:rPr>
        <w:t xml:space="preserve">DataEncoding</w:t>
      </w:r>
      <w:r>
        <w:t xml:space="preserve"> (how that structure is serialized on the wire). OPC 10000-6 defines the Binary, XML and JSON DataEncodings; each is exposed as a </w:t>
      </w:r>
      <w:r>
        <w:rPr>
          <w:b/>
        </w:rPr>
        <w:t xml:space="preserve">DataTypeEncoding</w:t>
      </w:r>
      <w:r>
        <w:t xml:space="preserve"> Object linked from the DataType with a </w:t>
      </w:r>
      <w:r>
        <w:rPr>
          <w:rStyle w:val="VARIABLE"/>
        </w:rPr>
        <w:t xml:space="preserve">HasEncoding</w:t>
      </w:r>
      <w:r>
        <w:t xml:space="preserve"> reference. This specification names </w:t>
      </w:r>
      <w:r>
        <w:rPr>
          <w:b/>
        </w:rPr>
        <w:t xml:space="preserve">Default Avro</w:t>
      </w:r>
      <w:r>
        <w:t xml:space="preserve"> as the DataEncoding for this mapping, following the pattern of </w:t>
      </w:r>
      <w:r>
        <w:rPr>
          <w:rStyle w:val="VARIABLE"/>
        </w:rPr>
        <w:t xml:space="preserve">Default Binary</w:t>
      </w:r>
      <w:r>
        <w:t xml:space="preserve">, </w:t>
      </w:r>
      <w:r>
        <w:rPr>
          <w:rStyle w:val="VARIABLE"/>
        </w:rPr>
        <w:t xml:space="preserve">Default XML</w:t>
      </w:r>
      <w:r>
        <w:t xml:space="preserve"> and </w:t>
      </w:r>
      <w:r>
        <w:rPr>
          <w:rStyle w:val="VARIABLE"/>
        </w:rPr>
        <w:t xml:space="preserve">Default JSON</w:t>
      </w:r>
      <w:r>
        <w:t xml:space="preserve">. It does </w:t>
      </w:r>
      <w:r>
        <w:rPr>
          <w:b/>
        </w:rPr>
        <w:t xml:space="preserve">not</w:t>
      </w:r>
      <w:r>
        <w:t xml:space="preserve"> add a DataTypeEncoding Object to the AddressSpace: there is no AddressSpace representation of </w:t>
      </w:r>
      <w:r>
        <w:rPr>
          <w:rStyle w:val="VARIABLE"/>
        </w:rPr>
        <w:t xml:space="preserve">Default Avro</w:t>
      </w:r>
      <w:r>
        <w:t xml:space="preserve">, and the name is used only for symmetry with the other encodings. Consequently no NodeIds are assigned or shipped for it, and an Avro payload is identified by its SchemaId (</w:t>
      </w:r>
      <w:r>
        <w:fldChar w:fldCharType="begin"/>
      </w:r>
      <w:r>
        <w:instrText xml:space="preserve"> REF _Clause_c6_6_3 \r \h </w:instrText>
      </w:r>
      <w:r>
        <w:fldChar w:fldCharType="separate"/>
      </w:r>
      <w:r>
        <w:rPr>
          <w:noProof/>
        </w:rPr>
        <w:t xml:space="preserve">6.6.3</w:t>
      </w:r>
      <w:r>
        <w:fldChar w:fldCharType="end"/>
      </w:r>
      <w:r>
        <w:t xml:space="preserve">) rather than by an encoding NodeId. Unlike </w:t>
      </w:r>
      <w:r>
        <w:rPr>
          <w:rStyle w:val="VARIABLE"/>
        </w:rPr>
        <w:t xml:space="preserve">Default Binary</w:t>
      </w:r>
      <w:r>
        <w:t xml:space="preserve">, the </w:t>
      </w:r>
      <w:r>
        <w:rPr>
          <w:rStyle w:val="VARIABLE"/>
        </w:rPr>
        <w:t xml:space="preserve">Default Avro</w:t>
      </w:r>
      <w:r>
        <w:t xml:space="preserve"> DataEncoding is </w:t>
      </w:r>
      <w:r>
        <w:rPr>
          <w:b/>
        </w:rPr>
        <w:t xml:space="preserve">not used for Service request/response</w:t>
      </w:r>
      <w:r>
        <w:t xml:space="preserve"> (</w:t>
      </w:r>
      <w:r>
        <w:fldChar w:fldCharType="begin"/>
      </w:r>
      <w:r>
        <w:instrText xml:space="preserve"> REF _Clause_c1 \r \h </w:instrText>
      </w:r>
      <w:r>
        <w:fldChar w:fldCharType="separate"/>
      </w:r>
      <w:r>
        <w:rPr>
          <w:noProof/>
        </w:rPr>
        <w:t xml:space="preserve">1</w:t>
      </w:r>
      <w:r>
        <w:fldChar w:fldCharType="end"/>
      </w:r>
      <w:r>
        <w:t xml:space="preserve">): it encodes DataSet and value payloads, while Service calls stay on the Binary DataEncoding.</w:t>
      </w:r>
    </w:p>
    <w:p w14:paraId="376CA80D">
      <w:pPr>
        <w:pStyle w:val="PARAGRAPH"/>
      </w:pPr>
      <w:r>
        <w:t xml:space="preserve">Each OPC UA DataType maps to exactly </w:t>
      </w:r>
      <w:r>
        <w:rPr>
          <w:b/>
        </w:rPr>
        <w:t xml:space="preserve">one</w:t>
      </w:r>
      <w:r>
        <w:t xml:space="preserve"> Avro schema (</w:t>
      </w:r>
      <w:r>
        <w:fldChar w:fldCharType="begin"/>
      </w:r>
      <w:r>
        <w:instrText xml:space="preserve"> REF _Clause_c6_5 \r \h </w:instrText>
      </w:r>
      <w:r>
        <w:fldChar w:fldCharType="separate"/>
      </w:r>
      <w:r>
        <w:rPr>
          <w:noProof/>
        </w:rPr>
        <w:t xml:space="preserve">6.5</w:t>
      </w:r>
      <w:r>
        <w:fldChar w:fldCharType="end"/>
      </w:r>
      <w:r>
        <w:t xml:space="preserve">). Primitive built-ins use Avro primitives where the Avro type can carry the complete OPC UA domain; composite built-ins use Avro records; nullable OPC UA values use Avro unions with </w:t>
      </w:r>
      <w:r>
        <w:rPr>
          <w:rStyle w:val="VARIABLE"/>
        </w:rPr>
        <w:t xml:space="preserve">"null"</w:t>
      </w:r>
      <w:r>
        <w:t xml:space="preserve"> as the first branch. The published </w:t>
      </w:r>
      <w:r>
        <w:rPr>
          <w:rStyle w:val="VARIABLE"/>
        </w:rPr>
        <w:t xml:space="preserve">.avsc</w:t>
      </w:r>
      <w:r>
        <w:t xml:space="preserve"> schema documents are the canonical wire contract. The content type for a standalone Avro payload is </w:t>
      </w:r>
      <w:r>
        <w:rPr>
          <w:rStyle w:val="VARIABLE"/>
        </w:rPr>
        <w:t xml:space="preserve">application/vnd.apache.avro</w:t>
      </w:r>
      <w:r>
        <w:t xml:space="preserve">.</w:t>
      </w:r>
    </w:p>
    <w:p w14:paraId="167C9651">
      <w:pPr>
        <w:pStyle w:val="Heading2"/>
      </w:pPr>
      <w:bookmarkStart w:id="473" w:name="_Clause_c6_2"/>
      <w:r>
        <w:t xml:space="preserve">Schema identity and reversibility</w:t>
      </w:r>
      <w:bookmarkEnd w:id="473"/>
    </w:p>
    <w:p w14:paraId="48999B9F">
      <w:pPr>
        <w:pStyle w:val="PARAGRAPH"/>
      </w:pPr>
      <w:r>
        <w:t xml:space="preserve">Because Avro binary data is only interpretable with its schema, this mapping makes each schema </w:t>
      </w:r>
      <w:r>
        <w:rPr>
          <w:b/>
        </w:rPr>
        <w:t xml:space="preserve">self-contained</w:t>
      </w:r>
      <w:r>
        <w:t xml:space="preserve"> (every referenced named type inlined at first use) and identifies it by a </w:t>
      </w:r>
      <w:r>
        <w:rPr>
          <w:b/>
        </w:rPr>
        <w:t xml:space="preserve">SchemaId</w:t>
      </w:r>
      <w:r>
        <w:t xml:space="preserve"> — the CRC-64-AVRO Rabin fingerprint of the Avro Parsing Canonical Form (</w:t>
      </w:r>
      <w:r>
        <w:fldChar w:fldCharType="begin"/>
      </w:r>
      <w:r>
        <w:instrText xml:space="preserve"> REF _Clause_c6_6 \r \h </w:instrText>
      </w:r>
      <w:r>
        <w:fldChar w:fldCharType="separate"/>
      </w:r>
      <w:r>
        <w:rPr>
          <w:noProof/>
        </w:rPr>
        <w:t xml:space="preserve">6.6</w:t>
      </w:r>
      <w:r>
        <w:fldChar w:fldCharType="end"/>
      </w:r>
      <w:r>
        <w:t xml:space="preserve">). The SchemaId lets producers and consumers agree on the exact schema without carrying it in every message: a single value may use Avro single-object framing (</w:t>
      </w:r>
      <w:r>
        <w:rPr>
          <w:rStyle w:val="VARIABLE"/>
        </w:rPr>
        <w:t xml:space="preserve">0xC3 0x01</w:t>
      </w:r>
      <w:r>
        <w:t xml:space="preserve"> plus the 8-byte little-endian fingerprint), and PubSub messages carry the SchemaId in a header or transport metadata and resolve the schema out of band (</w:t>
      </w:r>
      <w:r>
        <w:fldChar w:fldCharType="begin"/>
      </w:r>
      <w:r>
        <w:instrText xml:space="preserve"> REF _Clause_c6_8_1 \r \h </w:instrText>
      </w:r>
      <w:r>
        <w:fldChar w:fldCharType="separate"/>
      </w:r>
      <w:r>
        <w:rPr>
          <w:noProof/>
        </w:rPr>
        <w:t xml:space="preserve">6.8.1</w:t>
      </w:r>
      <w:r>
        <w:fldChar w:fldCharType="end"/>
      </w:r>
      <w:r>
        <w:t xml:space="preserve">, </w:t>
      </w:r>
      <w:r>
        <w:fldChar w:fldCharType="begin"/>
      </w:r>
      <w:r>
        <w:instrText xml:space="preserve"> REF _Clause_c6_8_5 \r \h </w:instrText>
      </w:r>
      <w:r>
        <w:fldChar w:fldCharType="separate"/>
      </w:r>
      <w:r>
        <w:rPr>
          <w:noProof/>
        </w:rPr>
        <w:t xml:space="preserve">6.8.5</w:t>
      </w:r>
      <w:r>
        <w:fldChar w:fldCharType="end"/>
      </w:r>
      <w:r>
        <w:t xml:space="preserve">). The mapping is </w:t>
      </w:r>
      <w:r>
        <w:rPr>
          <w:b/>
        </w:rPr>
        <w:t xml:space="preserve">reversible</w:t>
      </w:r>
      <w:r>
        <w:t xml:space="preserve">: null-vs-empty distinctions, unsigned integer bit patterns, NaN payloads and signed zero all round-trip.</w:t>
      </w:r>
    </w:p>
    <w:p w14:paraId="6F2A19BA">
      <w:pPr>
        <w:pStyle w:val="Heading2"/>
      </w:pPr>
      <w:bookmarkStart w:id="474" w:name="_Clause_c6_3"/>
      <w:r>
        <w:t xml:space="preserve">PubSub message model</w:t>
      </w:r>
      <w:bookmarkEnd w:id="474"/>
    </w:p>
    <w:p w14:paraId="0ABE7E38">
      <w:pPr>
        <w:pStyle w:val="PARAGRAPH"/>
      </w:pPr>
      <w:r>
        <w:t xml:space="preserve">For PubSub (</w:t>
      </w:r>
      <w:r>
        <w:fldChar w:fldCharType="begin"/>
      </w:r>
      <w:r>
        <w:instrText xml:space="preserve"> REF _Clause_c6_8 \r \h </w:instrText>
      </w:r>
      <w:r>
        <w:fldChar w:fldCharType="separate"/>
      </w:r>
      <w:r>
        <w:rPr>
          <w:noProof/>
        </w:rPr>
        <w:t xml:space="preserve">6.8</w:t>
      </w:r>
      <w:r>
        <w:fldChar w:fldCharType="end"/>
      </w:r>
      <w:r>
        <w:t xml:space="preserve">), the Avro mapping represents the OPC 10000-14 message model — a </w:t>
      </w:r>
      <w:r>
        <w:rPr>
          <w:b/>
        </w:rPr>
        <w:t xml:space="preserve">NetworkMessage</w:t>
      </w:r>
      <w:r>
        <w:t xml:space="preserve"> carrying one or more </w:t>
      </w:r>
      <w:r>
        <w:rPr>
          <w:b/>
        </w:rPr>
        <w:t xml:space="preserve">DataSetMessage</w:t>
      </w:r>
      <w:r>
        <w:t xml:space="preserve"> records — as canonical Avro records rather than JSON objects. A DataSetMessage is a </w:t>
      </w:r>
      <w:r>
        <w:rPr>
          <w:b/>
        </w:rPr>
        <w:t xml:space="preserve">key frame</w:t>
      </w:r>
      <w:r>
        <w:t xml:space="preserve"> (all DataSet fields, in FieldMetaData order) or a </w:t>
      </w:r>
      <w:r>
        <w:rPr>
          <w:b/>
        </w:rPr>
        <w:t xml:space="preserve">delta frame</w:t>
      </w:r>
      <w:r>
        <w:t xml:space="preserve"> (only changed fields). Field representation follows </w:t>
      </w:r>
      <w:r>
        <w:rPr>
          <w:rStyle w:val="VARIABLE"/>
        </w:rPr>
        <w:t xml:space="preserve">DataSetFieldContentMask</w:t>
      </w:r>
      <w:r>
        <w:t xml:space="preserve"> exactly as for the JSON mapping (Variant, DataValue or RawData). A receiver shall know the writer configuration and SchemaId before decoding, from configured PubSub metadata, a schema announcement, or a schema registry such as the one in </w:t>
      </w:r>
      <w:r>
        <w:rPr>
          <w:rStyle w:val="VARIABLE"/>
        </w:rPr>
        <w:t xml:space="preserve">../../cloud-specs/schema-registry/OPC-UA-Schema-Registry.md</w:t>
      </w:r>
      <w:r>
        <w:t xml:space="preserve">.</w:t>
      </w:r>
    </w:p>
    <w:p w14:paraId="6744EAD7">
      <w:pPr>
        <w:pStyle w:val="Heading2"/>
      </w:pPr>
      <w:bookmarkStart w:id="475" w:name="_Clause_c6_4"/>
      <w:r>
        <w:t xml:space="preserve">Endianness</w:t>
      </w:r>
      <w:bookmarkEnd w:id="475"/>
    </w:p>
    <w:p w14:paraId="56DE7B6E">
      <w:pPr>
        <w:pStyle w:val="PARAGRAPH"/>
      </w:pPr>
      <w:r>
        <w:t xml:space="preserve">Avro variable-length integers (zig-zag over a base-128 varint) are byte-order-neutral. The fixed-width Avro types used by this mapping — </w:t>
      </w:r>
      <w:r>
        <w:rPr>
          <w:rStyle w:val="VARIABLE"/>
        </w:rPr>
        <w:t xml:space="preserve">float</w:t>
      </w:r>
      <w:r>
        <w:t xml:space="preserve"> and </w:t>
      </w:r>
      <w:r>
        <w:rPr>
          <w:rStyle w:val="VARIABLE"/>
        </w:rPr>
        <w:t xml:space="preserve">double</w:t>
      </w:r>
      <w:r>
        <w:t xml:space="preserve"> — are </w:t>
      </w:r>
      <w:r>
        <w:rPr>
          <w:b/>
        </w:rPr>
        <w:t xml:space="preserve">IEEE-754 little-endian</w:t>
      </w:r>
      <w:r>
        <w:t xml:space="preserve">, the </w:t>
      </w:r>
      <w:r>
        <w:rPr>
          <w:rStyle w:val="VARIABLE"/>
        </w:rPr>
        <w:t xml:space="preserve">fixed</w:t>
      </w:r>
      <w:r>
        <w:t xml:space="preserve"> used for Guid preserves the 16 OPC UA Guid bytes verbatim, and the 8-byte CRC-64-AVRO SchemaId is little-endian (the same order used by Avro single-object encoding). Annex D illustrates these layouts byte by byte.</w:t>
      </w:r>
    </w:p>
    <w:p w14:paraId="71AF6D1C">
      <w:pPr>
        <w:pStyle w:val="Heading2"/>
      </w:pPr>
      <w:bookmarkStart w:id="476" w:name="_Clause_c6_5"/>
      <w:r>
        <w:t xml:space="preserve">Avro mapping</w:t>
      </w:r>
      <w:bookmarkEnd w:id="476"/>
    </w:p>
    <w:p w14:paraId="4CC4B97A">
      <w:pPr>
        <w:pStyle w:val="Heading3"/>
      </w:pPr>
      <w:bookmarkStart w:id="477" w:name="_Clause_c6_5_1"/>
      <w:r>
        <w:t xml:space="preserve">General rules</w:t>
      </w:r>
      <w:bookmarkEnd w:id="477"/>
    </w:p>
    <w:p w14:paraId="2444ACE9">
      <w:pPr>
        <w:pStyle w:val="PARAGRAPH"/>
      </w:pPr>
      <w:r>
        <w:t xml:space="preserve">Avro records preserve OPC UA field order as defined by the DataTypeDefinition. Record field names shall be the OPC UA field names converted to legal Avro names by replacing non-name characters with </w:t>
      </w:r>
      <w:r>
        <w:rPr>
          <w:rStyle w:val="VARIABLE"/>
        </w:rPr>
        <w:t xml:space="preserve">_</w:t>
      </w:r>
      <w:r>
        <w:t xml:space="preserve"> and prefixing </w:t>
      </w:r>
      <w:r>
        <w:rPr>
          <w:rStyle w:val="VARIABLE"/>
        </w:rPr>
        <w:t xml:space="preserve">_</w:t>
      </w:r>
      <w:r>
        <w:t xml:space="preserve"> if required. The published </w:t>
      </w:r>
      <w:r>
        <w:rPr>
          <w:rStyle w:val="VARIABLE"/>
        </w:rPr>
        <w:t xml:space="preserve">.avsc</w:t>
      </w:r>
      <w:r>
        <w:t xml:space="preserve"> schema documents are the canonical wire contract.</w:t>
      </w:r>
    </w:p>
    <w:p w14:paraId="7B432986">
      <w:pPr>
        <w:pStyle w:val="PARAGRAPH"/>
      </w:pPr>
      <w:r>
        <w:t xml:space="preserve">An encoder is not handed a foreign schema to encode against. Instead, encoding a value </w:t>
      </w:r>
      <w:r>
        <w:rPr>
          <w:b/>
        </w:rPr>
        <w:t xml:space="preserve">produces</w:t>
      </w:r>
      <w:r>
        <w:t xml:space="preserve"> its schema deterministically from the OPC UA type model (</w:t>
      </w:r>
      <w:r>
        <w:fldChar w:fldCharType="begin"/>
      </w:r>
      <w:r>
        <w:instrText xml:space="preserve"> REF _Clause_c6_6_1 \r \h </w:instrText>
      </w:r>
      <w:r>
        <w:fldChar w:fldCharType="separate"/>
      </w:r>
      <w:r>
        <w:rPr>
          <w:noProof/>
        </w:rPr>
        <w:t xml:space="preserve">6.6.1</w:t>
      </w:r>
      <w:r>
        <w:fldChar w:fldCharType="end"/>
      </w:r>
      <w:r>
        <w:t xml:space="preserve">). Where a Variant body form or an ExtensionObject concrete type has evolved, the encoder </w:t>
      </w:r>
      <w:r>
        <w:rPr>
          <w:b/>
        </w:rPr>
        <w:t xml:space="preserve">grows</w:t>
      </w:r>
      <w:r>
        <w:t xml:space="preserve"> its own previous schema by appending the new union branch rather than starting over (</w:t>
      </w:r>
      <w:r>
        <w:t xml:space="preserve">§6.1</w:t>
      </w:r>
      <w:r>
        <w:t xml:space="preserve">, </w:t>
      </w:r>
      <w:r>
        <w:t xml:space="preserve">§6.4</w:t>
      </w:r>
      <w:r>
        <w:t xml:space="preserve">). Where no previous schema exists, the encoder creates a new schema from scratch, which begins a new MajorVersion of the DataSet (</w:t>
      </w:r>
      <w:r>
        <w:fldChar w:fldCharType="begin"/>
      </w:r>
      <w:r>
        <w:instrText xml:space="preserve"> REF _Clause_c6_6_4 \r \h </w:instrText>
      </w:r>
      <w:r>
        <w:fldChar w:fldCharType="separate"/>
      </w:r>
      <w:r>
        <w:rPr>
          <w:noProof/>
        </w:rPr>
        <w:t xml:space="preserve">6.6.4</w:t>
      </w:r>
      <w:r>
        <w:fldChar w:fldCharType="end"/>
      </w:r>
      <w:r>
        <w:t xml:space="preserve">, </w:t>
      </w:r>
      <w:r>
        <w:fldChar w:fldCharType="begin"/>
      </w:r>
      <w:r>
        <w:instrText xml:space="preserve"> REF _Clause_c6_8_4_8 \r \h </w:instrText>
      </w:r>
      <w:r>
        <w:fldChar w:fldCharType="separate"/>
      </w:r>
      <w:r>
        <w:rPr>
          <w:noProof/>
        </w:rPr>
        <w:t xml:space="preserve">6.8.4.8</w:t>
      </w:r>
      <w:r>
        <w:fldChar w:fldCharType="end"/>
      </w:r>
      <w:r>
        <w:t xml:space="preserve">). The CRC-64-AVRO fingerprint of the produced schema is the value's </w:t>
      </w:r>
      <w:r>
        <w:rPr>
          <w:b/>
        </w:rPr>
        <w:t xml:space="preserve">SchemaId</w:t>
      </w:r>
      <w:r>
        <w:t xml:space="preserve"> (</w:t>
      </w:r>
      <w:r>
        <w:fldChar w:fldCharType="begin"/>
      </w:r>
      <w:r>
        <w:instrText xml:space="preserve"> REF _Clause_c6_6_3 \r \h </w:instrText>
      </w:r>
      <w:r>
        <w:fldChar w:fldCharType="separate"/>
      </w:r>
      <w:r>
        <w:rPr>
          <w:noProof/>
        </w:rPr>
        <w:t xml:space="preserve">6.6.3</w:t>
      </w:r>
      <w:r>
        <w:fldChar w:fldCharType="end"/>
      </w:r>
      <w:r>
        <w:t xml:space="preserve">).</w:t>
      </w:r>
    </w:p>
    <w:p w14:paraId="201978CF">
      <w:pPr>
        <w:pStyle w:val="PARAGRAPH"/>
      </w:pPr>
      <w:r>
        <w:t xml:space="preserve">A </w:t>
      </w:r>
      <w:r>
        <w:rPr>
          <w:b/>
        </w:rPr>
        <w:t xml:space="preserve">decoder</w:t>
      </w:r>
      <w:r>
        <w:t xml:space="preserve"> needs that schema to interpret the bytes. It resolves the schema by SchemaId from a registry or announcement, or re-derives it from the AddressSpace (</w:t>
      </w:r>
      <w:r>
        <w:fldChar w:fldCharType="begin"/>
      </w:r>
      <w:r>
        <w:instrText xml:space="preserve"> REF _Clause_c6_7 \r \h </w:instrText>
      </w:r>
      <w:r>
        <w:fldChar w:fldCharType="separate"/>
      </w:r>
      <w:r>
        <w:rPr>
          <w:noProof/>
        </w:rPr>
        <w:t xml:space="preserve">6.7</w:t>
      </w:r>
      <w:r>
        <w:fldChar w:fldCharType="end"/>
      </w:r>
      <w:r>
        <w:t xml:space="preserve">). See Annex A for the generated reference schemas, example values and annotated bytes for each built-in and composite category.</w:t>
      </w:r>
    </w:p>
    <w:p w14:paraId="46CF87BC">
      <w:pPr>
        <w:pStyle w:val="PARAGRAPH"/>
      </w:pPr>
      <w:r>
        <w:t xml:space="preserve">Avro unions used for nullability shall be ordered as </w:t>
      </w:r>
      <w:r>
        <w:rPr>
          <w:rStyle w:val="VARIABLE"/>
        </w:rPr>
        <w:t xml:space="preserve">["null", T]</w:t>
      </w:r>
      <w:r>
        <w:t xml:space="preserve">, and the default value for optional fields shall be </w:t>
      </w:r>
      <w:r>
        <w:rPr>
          <w:rStyle w:val="VARIABLE"/>
        </w:rPr>
        <w:t xml:space="preserve">null</w:t>
      </w:r>
      <w:r>
        <w:t xml:space="preserve">. A null scalar, a null array, an empty array, a null array element and an absent optional structure field are distinct states and shall not be collapsed.</w:t>
      </w:r>
    </w:p>
    <w:p w14:paraId="1BDBAB99">
      <w:pPr>
        <w:pStyle w:val="Heading3"/>
      </w:pPr>
      <w:bookmarkStart w:id="478" w:name="_Clause_c6_5_2"/>
      <w:r>
        <w:t xml:space="preserve">Built-in DataTypes</w:t>
      </w:r>
      <w:bookmarkEnd w:id="478"/>
    </w:p>
    <w:p w14:paraId="1DAD3EF5">
      <w:pPr>
        <w:pStyle w:val="TABLE-title"/>
        <w:keepNext/>
      </w:pPr>
      <w:bookmarkStart w:id="479" w:name="_Tab_built_in_datatypes_tab1"/>
      <w:r>
        <w:t xml:space="preserve">Table </w:t>
      </w:r>
      <w:r>
        <w:fldChar w:fldCharType="begin"/>
      </w:r>
      <w:r>
        <w:instrText xml:space="preserve"> SEQ Table \* ARABIC </w:instrText>
      </w:r>
      <w:r>
        <w:fldChar w:fldCharType="separate"/>
      </w:r>
      <w:r>
        <w:rPr>
          <w:noProof/>
        </w:rPr>
        <w:t xml:space="preserve">1</w:t>
      </w:r>
      <w:r>
        <w:fldChar w:fldCharType="end"/>
      </w:r>
      <w:r>
        <w:t xml:space="preserve"> – Built-in DataTypes</w:t>
      </w:r>
      <w:bookmarkEnd w:id="4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3AB5F68C">
            <w:pPr>
              <w:pStyle w:val="TableText"/>
            </w:pPr>
            <w:r>
              <w:t xml:space="preserve">OPC UA Built-in</w:t>
            </w:r>
          </w:p>
        </w:tc>
        <w:tc>
          <w:tcPr>
            <w:tcW w:w="2975" w:type="dxa"/>
            <w:tcBorders>
              <w:top w:val="single" w:sz="4" w:space="0" w:color="auto"/>
              <w:left w:val="single" w:sz="4" w:space="0" w:color="auto"/>
              <w:bottom w:val="double" w:sz="4" w:space="0" w:color="auto"/>
              <w:right w:val="single" w:sz="4" w:space="0" w:color="auto"/>
            </w:tcBorders>
          </w:tcPr>
          <w:p w14:paraId="5695C878">
            <w:pPr>
              <w:pStyle w:val="TableText"/>
            </w:pPr>
            <w:r>
              <w:t xml:space="preserve">Avro schema</w:t>
            </w:r>
          </w:p>
        </w:tc>
        <w:tc>
          <w:tcPr>
            <w:tcW w:w="2976" w:type="dxa"/>
            <w:tcBorders>
              <w:top w:val="single" w:sz="4" w:space="0" w:color="auto"/>
              <w:left w:val="single" w:sz="4" w:space="0" w:color="auto"/>
              <w:bottom w:val="double" w:sz="4" w:space="0" w:color="auto"/>
              <w:right w:val="single" w:sz="4" w:space="0" w:color="auto"/>
            </w:tcBorders>
          </w:tcPr>
          <w:p w14:paraId="7D702879">
            <w:pPr>
              <w:pStyle w:val="TableText"/>
            </w:pPr>
            <w:r>
              <w:t xml:space="preserve">Reversibility rule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FBD042B">
            <w:pPr>
              <w:pStyle w:val="TableText"/>
            </w:pPr>
            <w:r>
              <w:t xml:space="preserve">Boolean</w:t>
            </w:r>
          </w:p>
        </w:tc>
        <w:tc>
          <w:tcPr>
            <w:tcW w:w="2975" w:type="dxa"/>
            <w:tcBorders>
              <w:top w:val="single" w:sz="4" w:space="0" w:color="auto"/>
              <w:left w:val="single" w:sz="4" w:space="0" w:color="auto"/>
              <w:bottom w:val="single" w:sz="4" w:space="0" w:color="auto"/>
              <w:right w:val="single" w:sz="4" w:space="0" w:color="auto"/>
            </w:tcBorders>
          </w:tcPr>
          <w:p w14:paraId="630800E5">
            <w:pPr>
              <w:pStyle w:val="TableText"/>
            </w:pPr>
            <w:r>
              <w:rPr>
                <w:rStyle w:val="VARIABLE"/>
              </w:rPr>
              <w:t xml:space="preserve">boolean</w:t>
            </w:r>
          </w:p>
        </w:tc>
        <w:tc>
          <w:tcPr>
            <w:tcW w:w="2976" w:type="dxa"/>
            <w:tcBorders>
              <w:top w:val="single" w:sz="4" w:space="0" w:color="auto"/>
              <w:left w:val="single" w:sz="4" w:space="0" w:color="auto"/>
              <w:bottom w:val="single" w:sz="4" w:space="0" w:color="auto"/>
              <w:right w:val="single" w:sz="4" w:space="0" w:color="auto"/>
            </w:tcBorders>
          </w:tcPr>
          <w:p w14:paraId="4824EC38">
            <w:pPr>
              <w:pStyle w:val="TableText"/>
            </w:pPr>
            <w:r>
              <w:t xml:space="preserve">Direct mapping.</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9AF6E83">
            <w:pPr>
              <w:pStyle w:val="TableText"/>
            </w:pPr>
            <w:r>
              <w:t xml:space="preserve">SByte</w:t>
            </w:r>
          </w:p>
        </w:tc>
        <w:tc>
          <w:tcPr>
            <w:tcW w:w="2975" w:type="dxa"/>
            <w:tcBorders>
              <w:top w:val="single" w:sz="4" w:space="0" w:color="auto"/>
              <w:left w:val="single" w:sz="4" w:space="0" w:color="auto"/>
              <w:bottom w:val="single" w:sz="4" w:space="0" w:color="auto"/>
              <w:right w:val="single" w:sz="4" w:space="0" w:color="auto"/>
            </w:tcBorders>
          </w:tcPr>
          <w:p w14:paraId="2D826688">
            <w:pPr>
              <w:pStyle w:val="TableText"/>
            </w:pPr>
            <w:r>
              <w:rPr>
                <w:rStyle w:val="VARIABLE"/>
              </w:rPr>
              <w:t xml:space="preserve">int</w:t>
            </w:r>
          </w:p>
        </w:tc>
        <w:tc>
          <w:tcPr>
            <w:tcW w:w="2976" w:type="dxa"/>
            <w:tcBorders>
              <w:top w:val="single" w:sz="4" w:space="0" w:color="auto"/>
              <w:left w:val="single" w:sz="4" w:space="0" w:color="auto"/>
              <w:bottom w:val="single" w:sz="4" w:space="0" w:color="auto"/>
              <w:right w:val="single" w:sz="4" w:space="0" w:color="auto"/>
            </w:tcBorders>
          </w:tcPr>
          <w:p w14:paraId="2BE6932F">
            <w:pPr>
              <w:pStyle w:val="TableText"/>
            </w:pPr>
            <w:r>
              <w:t xml:space="preserve">Value range is -128..127.</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26DADBE">
            <w:pPr>
              <w:pStyle w:val="TableText"/>
            </w:pPr>
            <w:r>
              <w:t xml:space="preserve">Byte</w:t>
            </w:r>
          </w:p>
        </w:tc>
        <w:tc>
          <w:tcPr>
            <w:tcW w:w="2975" w:type="dxa"/>
            <w:tcBorders>
              <w:top w:val="single" w:sz="4" w:space="0" w:color="auto"/>
              <w:left w:val="single" w:sz="4" w:space="0" w:color="auto"/>
              <w:bottom w:val="single" w:sz="4" w:space="0" w:color="auto"/>
              <w:right w:val="single" w:sz="4" w:space="0" w:color="auto"/>
            </w:tcBorders>
          </w:tcPr>
          <w:p w14:paraId="69B03D39">
            <w:pPr>
              <w:pStyle w:val="TableText"/>
            </w:pPr>
            <w:r>
              <w:rPr>
                <w:rStyle w:val="VARIABLE"/>
              </w:rPr>
              <w:t xml:space="preserve">int</w:t>
            </w:r>
          </w:p>
        </w:tc>
        <w:tc>
          <w:tcPr>
            <w:tcW w:w="2976" w:type="dxa"/>
            <w:tcBorders>
              <w:top w:val="single" w:sz="4" w:space="0" w:color="auto"/>
              <w:left w:val="single" w:sz="4" w:space="0" w:color="auto"/>
              <w:bottom w:val="single" w:sz="4" w:space="0" w:color="auto"/>
              <w:right w:val="single" w:sz="4" w:space="0" w:color="auto"/>
            </w:tcBorders>
          </w:tcPr>
          <w:p w14:paraId="0CCFF075">
            <w:pPr>
              <w:pStyle w:val="TableText"/>
            </w:pPr>
            <w:r>
              <w:t xml:space="preserve">Value range is 0..255.</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B34125E">
            <w:pPr>
              <w:pStyle w:val="TableText"/>
            </w:pPr>
            <w:r>
              <w:t xml:space="preserve">Int16</w:t>
            </w:r>
          </w:p>
        </w:tc>
        <w:tc>
          <w:tcPr>
            <w:tcW w:w="2975" w:type="dxa"/>
            <w:tcBorders>
              <w:top w:val="single" w:sz="4" w:space="0" w:color="auto"/>
              <w:left w:val="single" w:sz="4" w:space="0" w:color="auto"/>
              <w:bottom w:val="single" w:sz="4" w:space="0" w:color="auto"/>
              <w:right w:val="single" w:sz="4" w:space="0" w:color="auto"/>
            </w:tcBorders>
          </w:tcPr>
          <w:p w14:paraId="483B3900">
            <w:pPr>
              <w:pStyle w:val="TableText"/>
            </w:pPr>
            <w:r>
              <w:rPr>
                <w:rStyle w:val="VARIABLE"/>
              </w:rPr>
              <w:t xml:space="preserve">int</w:t>
            </w:r>
          </w:p>
        </w:tc>
        <w:tc>
          <w:tcPr>
            <w:tcW w:w="2976" w:type="dxa"/>
            <w:tcBorders>
              <w:top w:val="single" w:sz="4" w:space="0" w:color="auto"/>
              <w:left w:val="single" w:sz="4" w:space="0" w:color="auto"/>
              <w:bottom w:val="single" w:sz="4" w:space="0" w:color="auto"/>
              <w:right w:val="single" w:sz="4" w:space="0" w:color="auto"/>
            </w:tcBorders>
          </w:tcPr>
          <w:p w14:paraId="18862B93">
            <w:pPr>
              <w:pStyle w:val="TableText"/>
            </w:pPr>
            <w:r>
              <w:t xml:space="preserve">Value range is -32768..32767.</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E371B73">
            <w:pPr>
              <w:pStyle w:val="TableText"/>
            </w:pPr>
            <w:r>
              <w:t xml:space="preserve">UInt16</w:t>
            </w:r>
          </w:p>
        </w:tc>
        <w:tc>
          <w:tcPr>
            <w:tcW w:w="2975" w:type="dxa"/>
            <w:tcBorders>
              <w:top w:val="single" w:sz="4" w:space="0" w:color="auto"/>
              <w:left w:val="single" w:sz="4" w:space="0" w:color="auto"/>
              <w:bottom w:val="single" w:sz="4" w:space="0" w:color="auto"/>
              <w:right w:val="single" w:sz="4" w:space="0" w:color="auto"/>
            </w:tcBorders>
          </w:tcPr>
          <w:p w14:paraId="3487181C">
            <w:pPr>
              <w:pStyle w:val="TableText"/>
            </w:pPr>
            <w:r>
              <w:rPr>
                <w:rStyle w:val="VARIABLE"/>
              </w:rPr>
              <w:t xml:space="preserve">int</w:t>
            </w:r>
          </w:p>
        </w:tc>
        <w:tc>
          <w:tcPr>
            <w:tcW w:w="2976" w:type="dxa"/>
            <w:tcBorders>
              <w:top w:val="single" w:sz="4" w:space="0" w:color="auto"/>
              <w:left w:val="single" w:sz="4" w:space="0" w:color="auto"/>
              <w:bottom w:val="single" w:sz="4" w:space="0" w:color="auto"/>
              <w:right w:val="single" w:sz="4" w:space="0" w:color="auto"/>
            </w:tcBorders>
          </w:tcPr>
          <w:p w14:paraId="40E92DA4">
            <w:pPr>
              <w:pStyle w:val="TableText"/>
            </w:pPr>
            <w:r>
              <w:t xml:space="preserve">Value range is 0..65535.</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00544E7">
            <w:pPr>
              <w:pStyle w:val="TableText"/>
            </w:pPr>
            <w:r>
              <w:t xml:space="preserve">Int32</w:t>
            </w:r>
          </w:p>
        </w:tc>
        <w:tc>
          <w:tcPr>
            <w:tcW w:w="2975" w:type="dxa"/>
            <w:tcBorders>
              <w:top w:val="single" w:sz="4" w:space="0" w:color="auto"/>
              <w:left w:val="single" w:sz="4" w:space="0" w:color="auto"/>
              <w:bottom w:val="single" w:sz="4" w:space="0" w:color="auto"/>
              <w:right w:val="single" w:sz="4" w:space="0" w:color="auto"/>
            </w:tcBorders>
          </w:tcPr>
          <w:p w14:paraId="6EF55C4A">
            <w:pPr>
              <w:pStyle w:val="TableText"/>
            </w:pPr>
            <w:r>
              <w:rPr>
                <w:rStyle w:val="VARIABLE"/>
              </w:rPr>
              <w:t xml:space="preserve">int</w:t>
            </w:r>
          </w:p>
        </w:tc>
        <w:tc>
          <w:tcPr>
            <w:tcW w:w="2976" w:type="dxa"/>
            <w:tcBorders>
              <w:top w:val="single" w:sz="4" w:space="0" w:color="auto"/>
              <w:left w:val="single" w:sz="4" w:space="0" w:color="auto"/>
              <w:bottom w:val="single" w:sz="4" w:space="0" w:color="auto"/>
              <w:right w:val="single" w:sz="4" w:space="0" w:color="auto"/>
            </w:tcBorders>
          </w:tcPr>
          <w:p w14:paraId="1A1CAAED">
            <w:pPr>
              <w:pStyle w:val="TableText"/>
            </w:pPr>
            <w:r>
              <w:t xml:space="preserve">Direct signed 32-bit mapping.</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91FD5F1">
            <w:pPr>
              <w:pStyle w:val="TableText"/>
            </w:pPr>
            <w:r>
              <w:t xml:space="preserve">UInt32</w:t>
            </w:r>
          </w:p>
        </w:tc>
        <w:tc>
          <w:tcPr>
            <w:tcW w:w="2975" w:type="dxa"/>
            <w:tcBorders>
              <w:top w:val="single" w:sz="4" w:space="0" w:color="auto"/>
              <w:left w:val="single" w:sz="4" w:space="0" w:color="auto"/>
              <w:bottom w:val="single" w:sz="4" w:space="0" w:color="auto"/>
              <w:right w:val="single" w:sz="4" w:space="0" w:color="auto"/>
            </w:tcBorders>
          </w:tcPr>
          <w:p w14:paraId="49DACA3A">
            <w:pPr>
              <w:pStyle w:val="TableText"/>
            </w:pPr>
            <w:r>
              <w:rPr>
                <w:rStyle w:val="VARIABLE"/>
              </w:rPr>
              <w:t xml:space="preserve">int</w:t>
            </w:r>
          </w:p>
        </w:tc>
        <w:tc>
          <w:tcPr>
            <w:tcW w:w="2976" w:type="dxa"/>
            <w:tcBorders>
              <w:top w:val="single" w:sz="4" w:space="0" w:color="auto"/>
              <w:left w:val="single" w:sz="4" w:space="0" w:color="auto"/>
              <w:bottom w:val="single" w:sz="4" w:space="0" w:color="auto"/>
              <w:right w:val="single" w:sz="4" w:space="0" w:color="auto"/>
            </w:tcBorders>
          </w:tcPr>
          <w:p w14:paraId="7EE6D58A">
            <w:pPr>
              <w:pStyle w:val="TableText"/>
            </w:pPr>
            <w:r>
              <w:t xml:space="preserve">The same 32 bits are carried in Avro's signed </w:t>
            </w:r>
            <w:r>
              <w:rPr>
                <w:rStyle w:val="VARIABLE"/>
              </w:rPr>
              <w:t xml:space="preserve">int</w:t>
            </w:r>
            <w:r>
              <w:t xml:space="preserve">; values greater than </w:t>
            </w:r>
            <w:r>
              <w:rPr>
                <w:rStyle w:val="VARIABLE"/>
              </w:rPr>
              <w:t xml:space="preserve">2^31-1</w:t>
            </w:r>
            <w:r>
              <w:t xml:space="preserve"> are decoded by unsigned reinterpretation.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79E064C">
            <w:pPr>
              <w:pStyle w:val="TableText"/>
            </w:pPr>
            <w:r>
              <w:t xml:space="preserve">Int64</w:t>
            </w:r>
          </w:p>
        </w:tc>
        <w:tc>
          <w:tcPr>
            <w:tcW w:w="2975" w:type="dxa"/>
            <w:tcBorders>
              <w:top w:val="single" w:sz="4" w:space="0" w:color="auto"/>
              <w:left w:val="single" w:sz="4" w:space="0" w:color="auto"/>
              <w:bottom w:val="single" w:sz="4" w:space="0" w:color="auto"/>
              <w:right w:val="single" w:sz="4" w:space="0" w:color="auto"/>
            </w:tcBorders>
          </w:tcPr>
          <w:p w14:paraId="5C0E6369">
            <w:pPr>
              <w:pStyle w:val="TableText"/>
            </w:pPr>
            <w:r>
              <w:rPr>
                <w:rStyle w:val="VARIABLE"/>
              </w:rPr>
              <w:t xml:space="preserve">long</w:t>
            </w:r>
          </w:p>
        </w:tc>
        <w:tc>
          <w:tcPr>
            <w:tcW w:w="2976" w:type="dxa"/>
            <w:tcBorders>
              <w:top w:val="single" w:sz="4" w:space="0" w:color="auto"/>
              <w:left w:val="single" w:sz="4" w:space="0" w:color="auto"/>
              <w:bottom w:val="single" w:sz="4" w:space="0" w:color="auto"/>
              <w:right w:val="single" w:sz="4" w:space="0" w:color="auto"/>
            </w:tcBorders>
          </w:tcPr>
          <w:p w14:paraId="494B76CA">
            <w:pPr>
              <w:pStyle w:val="TableText"/>
            </w:pPr>
            <w:r>
              <w:t xml:space="preserve">Direct signed 64-bit mapping.</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85E64CB">
            <w:pPr>
              <w:pStyle w:val="TableText"/>
            </w:pPr>
            <w:r>
              <w:t xml:space="preserve">UInt64</w:t>
            </w:r>
          </w:p>
        </w:tc>
        <w:tc>
          <w:tcPr>
            <w:tcW w:w="2975" w:type="dxa"/>
            <w:tcBorders>
              <w:top w:val="single" w:sz="4" w:space="0" w:color="auto"/>
              <w:left w:val="single" w:sz="4" w:space="0" w:color="auto"/>
              <w:bottom w:val="single" w:sz="4" w:space="0" w:color="auto"/>
              <w:right w:val="single" w:sz="4" w:space="0" w:color="auto"/>
            </w:tcBorders>
          </w:tcPr>
          <w:p w14:paraId="7A879A38">
            <w:pPr>
              <w:pStyle w:val="TableText"/>
            </w:pPr>
            <w:r>
              <w:rPr>
                <w:rStyle w:val="VARIABLE"/>
              </w:rPr>
              <w:t xml:space="preserve">long</w:t>
            </w:r>
          </w:p>
        </w:tc>
        <w:tc>
          <w:tcPr>
            <w:tcW w:w="2976" w:type="dxa"/>
            <w:tcBorders>
              <w:top w:val="single" w:sz="4" w:space="0" w:color="auto"/>
              <w:left w:val="single" w:sz="4" w:space="0" w:color="auto"/>
              <w:bottom w:val="single" w:sz="4" w:space="0" w:color="auto"/>
              <w:right w:val="single" w:sz="4" w:space="0" w:color="auto"/>
            </w:tcBorders>
          </w:tcPr>
          <w:p w14:paraId="1EF83D54">
            <w:pPr>
              <w:pStyle w:val="TableText"/>
            </w:pPr>
            <w:r>
              <w:t xml:space="preserve">The same 64 bits are carried in Avro's signed </w:t>
            </w:r>
            <w:r>
              <w:rPr>
                <w:rStyle w:val="VARIABLE"/>
              </w:rPr>
              <w:t xml:space="preserve">long</w:t>
            </w:r>
            <w:r>
              <w:t xml:space="preserve">; values greater than </w:t>
            </w:r>
            <w:r>
              <w:rPr>
                <w:rStyle w:val="VARIABLE"/>
              </w:rPr>
              <w:t xml:space="preserve">2^63-1</w:t>
            </w:r>
            <w:r>
              <w:t xml:space="preserve"> are decoded by unsigned reinterpretation.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8B16B49">
            <w:pPr>
              <w:pStyle w:val="TableText"/>
            </w:pPr>
            <w:r>
              <w:t xml:space="preserve">Float</w:t>
            </w:r>
          </w:p>
        </w:tc>
        <w:tc>
          <w:tcPr>
            <w:tcW w:w="2975" w:type="dxa"/>
            <w:tcBorders>
              <w:top w:val="single" w:sz="4" w:space="0" w:color="auto"/>
              <w:left w:val="single" w:sz="4" w:space="0" w:color="auto"/>
              <w:bottom w:val="single" w:sz="4" w:space="0" w:color="auto"/>
              <w:right w:val="single" w:sz="4" w:space="0" w:color="auto"/>
            </w:tcBorders>
          </w:tcPr>
          <w:p w14:paraId="7BA0B4FF">
            <w:pPr>
              <w:pStyle w:val="TableText"/>
            </w:pPr>
            <w:r>
              <w:rPr>
                <w:rStyle w:val="VARIABLE"/>
              </w:rPr>
              <w:t xml:space="preserve">float</w:t>
            </w:r>
          </w:p>
        </w:tc>
        <w:tc>
          <w:tcPr>
            <w:tcW w:w="2976" w:type="dxa"/>
            <w:tcBorders>
              <w:top w:val="single" w:sz="4" w:space="0" w:color="auto"/>
              <w:left w:val="single" w:sz="4" w:space="0" w:color="auto"/>
              <w:bottom w:val="single" w:sz="4" w:space="0" w:color="auto"/>
              <w:right w:val="single" w:sz="4" w:space="0" w:color="auto"/>
            </w:tcBorders>
          </w:tcPr>
          <w:p w14:paraId="0DBCF27D">
            <w:pPr>
              <w:pStyle w:val="TableText"/>
            </w:pPr>
            <w:r>
              <w:t xml:space="preserve">IEEE-754 single precision, preserving NaN payloads supported by the Avro implementation and signed zero.</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FDB8E1F">
            <w:pPr>
              <w:pStyle w:val="TableText"/>
            </w:pPr>
            <w:r>
              <w:t xml:space="preserve">Double</w:t>
            </w:r>
          </w:p>
        </w:tc>
        <w:tc>
          <w:tcPr>
            <w:tcW w:w="2975" w:type="dxa"/>
            <w:tcBorders>
              <w:top w:val="single" w:sz="4" w:space="0" w:color="auto"/>
              <w:left w:val="single" w:sz="4" w:space="0" w:color="auto"/>
              <w:bottom w:val="single" w:sz="4" w:space="0" w:color="auto"/>
              <w:right w:val="single" w:sz="4" w:space="0" w:color="auto"/>
            </w:tcBorders>
          </w:tcPr>
          <w:p w14:paraId="4B78E8AF">
            <w:pPr>
              <w:pStyle w:val="TableText"/>
            </w:pPr>
            <w:r>
              <w:rPr>
                <w:rStyle w:val="VARIABLE"/>
              </w:rPr>
              <w:t xml:space="preserve">double</w:t>
            </w:r>
          </w:p>
        </w:tc>
        <w:tc>
          <w:tcPr>
            <w:tcW w:w="2976" w:type="dxa"/>
            <w:tcBorders>
              <w:top w:val="single" w:sz="4" w:space="0" w:color="auto"/>
              <w:left w:val="single" w:sz="4" w:space="0" w:color="auto"/>
              <w:bottom w:val="single" w:sz="4" w:space="0" w:color="auto"/>
              <w:right w:val="single" w:sz="4" w:space="0" w:color="auto"/>
            </w:tcBorders>
          </w:tcPr>
          <w:p w14:paraId="0BA7CA95">
            <w:pPr>
              <w:pStyle w:val="TableText"/>
            </w:pPr>
            <w:r>
              <w:t xml:space="preserve">IEEE-754 double precision, preserving NaN payloads supported by the Avro implementation and signed zero.</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0C93CAB">
            <w:pPr>
              <w:pStyle w:val="TableText"/>
            </w:pPr>
            <w:r>
              <w:t xml:space="preserve">String</w:t>
            </w:r>
          </w:p>
        </w:tc>
        <w:tc>
          <w:tcPr>
            <w:tcW w:w="2975" w:type="dxa"/>
            <w:tcBorders>
              <w:top w:val="single" w:sz="4" w:space="0" w:color="auto"/>
              <w:left w:val="single" w:sz="4" w:space="0" w:color="auto"/>
              <w:bottom w:val="single" w:sz="4" w:space="0" w:color="auto"/>
              <w:right w:val="single" w:sz="4" w:space="0" w:color="auto"/>
            </w:tcBorders>
          </w:tcPr>
          <w:p w14:paraId="40E59F89">
            <w:pPr>
              <w:pStyle w:val="TableText"/>
            </w:pPr>
            <w:r>
              <w:rPr>
                <w:rStyle w:val="VARIABLE"/>
              </w:rPr>
              <w:t xml:space="preserve">["null", "string"]</w:t>
            </w:r>
          </w:p>
        </w:tc>
        <w:tc>
          <w:tcPr>
            <w:tcW w:w="2976" w:type="dxa"/>
            <w:tcBorders>
              <w:top w:val="single" w:sz="4" w:space="0" w:color="auto"/>
              <w:left w:val="single" w:sz="4" w:space="0" w:color="auto"/>
              <w:bottom w:val="single" w:sz="4" w:space="0" w:color="auto"/>
              <w:right w:val="single" w:sz="4" w:space="0" w:color="auto"/>
            </w:tcBorders>
          </w:tcPr>
          <w:p w14:paraId="7C46577F">
            <w:pPr>
              <w:pStyle w:val="TableText"/>
            </w:pPr>
            <w:r>
              <w:rPr>
                <w:rStyle w:val="VARIABLE"/>
              </w:rPr>
              <w:t xml:space="preserve">null</w:t>
            </w:r>
            <w:r>
              <w:t xml:space="preserve"> and empty string are distinct.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3559967">
            <w:pPr>
              <w:pStyle w:val="TableText"/>
            </w:pPr>
            <w:r>
              <w:t xml:space="preserve">DateTime</w:t>
            </w:r>
          </w:p>
        </w:tc>
        <w:tc>
          <w:tcPr>
            <w:tcW w:w="2975" w:type="dxa"/>
            <w:tcBorders>
              <w:top w:val="single" w:sz="4" w:space="0" w:color="auto"/>
              <w:left w:val="single" w:sz="4" w:space="0" w:color="auto"/>
              <w:bottom w:val="single" w:sz="4" w:space="0" w:color="auto"/>
              <w:right w:val="single" w:sz="4" w:space="0" w:color="auto"/>
            </w:tcBorders>
          </w:tcPr>
          <w:p w14:paraId="217DA6FF">
            <w:pPr>
              <w:pStyle w:val="TableText"/>
            </w:pPr>
            <w:r>
              <w:rPr>
                <w:rStyle w:val="VARIABLE"/>
              </w:rPr>
              <w:t xml:space="preserve">long</w:t>
            </w:r>
          </w:p>
        </w:tc>
        <w:tc>
          <w:tcPr>
            <w:tcW w:w="2976" w:type="dxa"/>
            <w:tcBorders>
              <w:top w:val="single" w:sz="4" w:space="0" w:color="auto"/>
              <w:left w:val="single" w:sz="4" w:space="0" w:color="auto"/>
              <w:bottom w:val="single" w:sz="4" w:space="0" w:color="auto"/>
              <w:right w:val="single" w:sz="4" w:space="0" w:color="auto"/>
            </w:tcBorders>
          </w:tcPr>
          <w:p w14:paraId="5A7ABAFF">
            <w:pPr>
              <w:pStyle w:val="TableText"/>
            </w:pPr>
            <w:r>
              <w:t xml:space="preserve">Raw signed 100 ns ticks since 1601-01-01 UTC. Avro timestamp logical types shall not be used because they lose epoch and/or precision.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28CF246">
            <w:pPr>
              <w:pStyle w:val="TableText"/>
            </w:pPr>
            <w:r>
              <w:t xml:space="preserve">Guid</w:t>
            </w:r>
          </w:p>
        </w:tc>
        <w:tc>
          <w:tcPr>
            <w:tcW w:w="2975" w:type="dxa"/>
            <w:tcBorders>
              <w:top w:val="single" w:sz="4" w:space="0" w:color="auto"/>
              <w:left w:val="single" w:sz="4" w:space="0" w:color="auto"/>
              <w:bottom w:val="single" w:sz="4" w:space="0" w:color="auto"/>
              <w:right w:val="single" w:sz="4" w:space="0" w:color="auto"/>
            </w:tcBorders>
          </w:tcPr>
          <w:p w14:paraId="3A45DD58">
            <w:pPr>
              <w:pStyle w:val="TableText"/>
            </w:pPr>
            <w:r>
              <w:rPr>
                <w:rStyle w:val="VARIABLE"/>
              </w:rPr>
              <w:t xml:space="preserve">fixed</w:t>
            </w:r>
            <w:r>
              <w:t xml:space="preserve"> size 16 with logical type </w:t>
            </w:r>
            <w:r>
              <w:rPr>
                <w:rStyle w:val="VARIABLE"/>
              </w:rPr>
              <w:t xml:space="preserve">opcua-guid</w:t>
            </w:r>
          </w:p>
        </w:tc>
        <w:tc>
          <w:tcPr>
            <w:tcW w:w="2976" w:type="dxa"/>
            <w:tcBorders>
              <w:top w:val="single" w:sz="4" w:space="0" w:color="auto"/>
              <w:left w:val="single" w:sz="4" w:space="0" w:color="auto"/>
              <w:bottom w:val="single" w:sz="4" w:space="0" w:color="auto"/>
              <w:right w:val="single" w:sz="4" w:space="0" w:color="auto"/>
            </w:tcBorders>
          </w:tcPr>
          <w:p w14:paraId="3E1FE644">
            <w:pPr>
              <w:pStyle w:val="TableText"/>
            </w:pPr>
            <w:r>
              <w:t xml:space="preserve">The 16 OPC UA Guid bytes are preserved exactly.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FAD50A5">
            <w:pPr>
              <w:pStyle w:val="TableText"/>
            </w:pPr>
            <w:r>
              <w:t xml:space="preserve">ByteString</w:t>
            </w:r>
          </w:p>
        </w:tc>
        <w:tc>
          <w:tcPr>
            <w:tcW w:w="2975" w:type="dxa"/>
            <w:tcBorders>
              <w:top w:val="single" w:sz="4" w:space="0" w:color="auto"/>
              <w:left w:val="single" w:sz="4" w:space="0" w:color="auto"/>
              <w:bottom w:val="single" w:sz="4" w:space="0" w:color="auto"/>
              <w:right w:val="single" w:sz="4" w:space="0" w:color="auto"/>
            </w:tcBorders>
          </w:tcPr>
          <w:p w14:paraId="3617FB51">
            <w:pPr>
              <w:pStyle w:val="TableText"/>
            </w:pPr>
            <w:r>
              <w:rPr>
                <w:rStyle w:val="VARIABLE"/>
              </w:rPr>
              <w:t xml:space="preserve">["null", "bytes"]</w:t>
            </w:r>
          </w:p>
        </w:tc>
        <w:tc>
          <w:tcPr>
            <w:tcW w:w="2976" w:type="dxa"/>
            <w:tcBorders>
              <w:top w:val="single" w:sz="4" w:space="0" w:color="auto"/>
              <w:left w:val="single" w:sz="4" w:space="0" w:color="auto"/>
              <w:bottom w:val="single" w:sz="4" w:space="0" w:color="auto"/>
              <w:right w:val="single" w:sz="4" w:space="0" w:color="auto"/>
            </w:tcBorders>
          </w:tcPr>
          <w:p w14:paraId="581A7AAF">
            <w:pPr>
              <w:pStyle w:val="TableText"/>
            </w:pPr>
            <w:r>
              <w:rPr>
                <w:rStyle w:val="VARIABLE"/>
              </w:rPr>
              <w:t xml:space="preserve">null</w:t>
            </w:r>
            <w:r>
              <w:t xml:space="preserve"> and zero-length bytes are distinct.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9B248C8">
            <w:pPr>
              <w:pStyle w:val="TableText"/>
            </w:pPr>
            <w:r>
              <w:t xml:space="preserve">XmlElement</w:t>
            </w:r>
          </w:p>
        </w:tc>
        <w:tc>
          <w:tcPr>
            <w:tcW w:w="2975" w:type="dxa"/>
            <w:tcBorders>
              <w:top w:val="single" w:sz="4" w:space="0" w:color="auto"/>
              <w:left w:val="single" w:sz="4" w:space="0" w:color="auto"/>
              <w:bottom w:val="single" w:sz="4" w:space="0" w:color="auto"/>
              <w:right w:val="single" w:sz="4" w:space="0" w:color="auto"/>
            </w:tcBorders>
          </w:tcPr>
          <w:p w14:paraId="095D3FD5">
            <w:pPr>
              <w:pStyle w:val="TableText"/>
            </w:pPr>
            <w:r>
              <w:rPr>
                <w:rStyle w:val="VARIABLE"/>
              </w:rPr>
              <w:t xml:space="preserve">["null", "string"]</w:t>
            </w:r>
          </w:p>
        </w:tc>
        <w:tc>
          <w:tcPr>
            <w:tcW w:w="2976" w:type="dxa"/>
            <w:tcBorders>
              <w:top w:val="single" w:sz="4" w:space="0" w:color="auto"/>
              <w:left w:val="single" w:sz="4" w:space="0" w:color="auto"/>
              <w:bottom w:val="single" w:sz="4" w:space="0" w:color="auto"/>
              <w:right w:val="single" w:sz="4" w:space="0" w:color="auto"/>
            </w:tcBorders>
          </w:tcPr>
          <w:p w14:paraId="17CF64E7">
            <w:pPr>
              <w:pStyle w:val="TableText"/>
            </w:pPr>
            <w:r>
              <w:t xml:space="preserve">XML text is not normalized. </w:t>
            </w:r>
            <w:r>
              <w:rPr>
                <w:rStyle w:val="VARIABLE"/>
              </w:rPr>
              <w:t xml:space="preserve">null</w:t>
            </w:r>
            <w:r>
              <w:t xml:space="preserve"> is distinct from empty XML text.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397D723">
            <w:pPr>
              <w:pStyle w:val="TableText"/>
            </w:pPr>
            <w:r>
              <w:t xml:space="preserve">NodeId</w:t>
            </w:r>
          </w:p>
        </w:tc>
        <w:tc>
          <w:tcPr>
            <w:tcW w:w="2975" w:type="dxa"/>
            <w:tcBorders>
              <w:top w:val="single" w:sz="4" w:space="0" w:color="auto"/>
              <w:left w:val="single" w:sz="4" w:space="0" w:color="auto"/>
              <w:bottom w:val="single" w:sz="4" w:space="0" w:color="auto"/>
              <w:right w:val="single" w:sz="4" w:space="0" w:color="auto"/>
            </w:tcBorders>
          </w:tcPr>
          <w:p w14:paraId="65DF1D39">
            <w:pPr>
              <w:pStyle w:val="TableText"/>
            </w:pPr>
            <w:r>
              <w:rPr>
                <w:rStyle w:val="VARIABLE"/>
              </w:rPr>
              <w:t xml:space="preserve">record NodeId</w:t>
            </w:r>
          </w:p>
        </w:tc>
        <w:tc>
          <w:tcPr>
            <w:tcW w:w="2976" w:type="dxa"/>
            <w:tcBorders>
              <w:top w:val="single" w:sz="4" w:space="0" w:color="auto"/>
              <w:left w:val="single" w:sz="4" w:space="0" w:color="auto"/>
              <w:bottom w:val="single" w:sz="4" w:space="0" w:color="auto"/>
              <w:right w:val="single" w:sz="4" w:space="0" w:color="auto"/>
            </w:tcBorders>
          </w:tcPr>
          <w:p w14:paraId="64530A74">
            <w:pPr>
              <w:pStyle w:val="TableText"/>
            </w:pPr>
            <w:r>
              <w:t xml:space="preserve">Fields: namespace Int32, idType enum/int, and exactly one identifier member: numeric UInt32-as-long, string, guid fixed16, or opaque bytes. A field of type NodeId MAY instead use the textual </w:t>
            </w:r>
            <w:r>
              <w:rPr>
                <w:rStyle w:val="VARIABLE"/>
              </w:rPr>
              <w:t xml:space="preserve">string</w:t>
            </w:r>
            <w:r>
              <w:t xml:space="preserve"> form of </w:t>
            </w:r>
            <w:r>
              <w:fldChar w:fldCharType="begin"/>
            </w:r>
            <w:r>
              <w:instrText xml:space="preserve"> REF _Clause_c6_5_2_1 \r \h </w:instrText>
            </w:r>
            <w:r>
              <w:fldChar w:fldCharType="separate"/>
            </w:r>
            <w:r>
              <w:rPr>
                <w:noProof/>
              </w:rPr>
              <w:t xml:space="preserve">6.5.2.1</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B7F8340">
            <w:pPr>
              <w:pStyle w:val="TableText"/>
            </w:pPr>
            <w:r>
              <w:t xml:space="preserve">ExpandedNodeId</w:t>
            </w:r>
          </w:p>
        </w:tc>
        <w:tc>
          <w:tcPr>
            <w:tcW w:w="2975" w:type="dxa"/>
            <w:tcBorders>
              <w:top w:val="single" w:sz="4" w:space="0" w:color="auto"/>
              <w:left w:val="single" w:sz="4" w:space="0" w:color="auto"/>
              <w:bottom w:val="single" w:sz="4" w:space="0" w:color="auto"/>
              <w:right w:val="single" w:sz="4" w:space="0" w:color="auto"/>
            </w:tcBorders>
          </w:tcPr>
          <w:p w14:paraId="4D4E720D">
            <w:pPr>
              <w:pStyle w:val="TableText"/>
            </w:pPr>
            <w:r>
              <w:rPr>
                <w:rStyle w:val="VARIABLE"/>
              </w:rPr>
              <w:t xml:space="preserve">record ExpandedNodeId</w:t>
            </w:r>
          </w:p>
        </w:tc>
        <w:tc>
          <w:tcPr>
            <w:tcW w:w="2976" w:type="dxa"/>
            <w:tcBorders>
              <w:top w:val="single" w:sz="4" w:space="0" w:color="auto"/>
              <w:left w:val="single" w:sz="4" w:space="0" w:color="auto"/>
              <w:bottom w:val="single" w:sz="4" w:space="0" w:color="auto"/>
              <w:right w:val="single" w:sz="4" w:space="0" w:color="auto"/>
            </w:tcBorders>
          </w:tcPr>
          <w:p w14:paraId="4633FAE0">
            <w:pPr>
              <w:pStyle w:val="TableText"/>
            </w:pPr>
            <w:r>
              <w:t xml:space="preserve">Fields: NodeId, nullable namespaceUri, serverIndex UInt32-as-long. A field of type ExpandedNodeId MAY instead use the textual </w:t>
            </w:r>
            <w:r>
              <w:rPr>
                <w:rStyle w:val="VARIABLE"/>
              </w:rPr>
              <w:t xml:space="preserve">string</w:t>
            </w:r>
            <w:r>
              <w:t xml:space="preserve"> form of </w:t>
            </w:r>
            <w:r>
              <w:fldChar w:fldCharType="begin"/>
            </w:r>
            <w:r>
              <w:instrText xml:space="preserve"> REF _Clause_c6_5_2_1 \r \h </w:instrText>
            </w:r>
            <w:r>
              <w:fldChar w:fldCharType="separate"/>
            </w:r>
            <w:r>
              <w:rPr>
                <w:noProof/>
              </w:rPr>
              <w:t xml:space="preserve">6.5.2.1</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EF9A412">
            <w:pPr>
              <w:pStyle w:val="TableText"/>
            </w:pPr>
            <w:r>
              <w:t xml:space="preserve">StatusCode</w:t>
            </w:r>
          </w:p>
        </w:tc>
        <w:tc>
          <w:tcPr>
            <w:tcW w:w="2975" w:type="dxa"/>
            <w:tcBorders>
              <w:top w:val="single" w:sz="4" w:space="0" w:color="auto"/>
              <w:left w:val="single" w:sz="4" w:space="0" w:color="auto"/>
              <w:bottom w:val="single" w:sz="4" w:space="0" w:color="auto"/>
              <w:right w:val="single" w:sz="4" w:space="0" w:color="auto"/>
            </w:tcBorders>
          </w:tcPr>
          <w:p w14:paraId="72824672">
            <w:pPr>
              <w:pStyle w:val="TableText"/>
            </w:pPr>
            <w:r>
              <w:rPr>
                <w:rStyle w:val="VARIABLE"/>
              </w:rPr>
              <w:t xml:space="preserve">int</w:t>
            </w:r>
          </w:p>
        </w:tc>
        <w:tc>
          <w:tcPr>
            <w:tcW w:w="2976" w:type="dxa"/>
            <w:tcBorders>
              <w:top w:val="single" w:sz="4" w:space="0" w:color="auto"/>
              <w:left w:val="single" w:sz="4" w:space="0" w:color="auto"/>
              <w:bottom w:val="single" w:sz="4" w:space="0" w:color="auto"/>
              <w:right w:val="single" w:sz="4" w:space="0" w:color="auto"/>
            </w:tcBorders>
          </w:tcPr>
          <w:p w14:paraId="0B997468">
            <w:pPr>
              <w:pStyle w:val="TableText"/>
            </w:pPr>
            <w:r>
              <w:t xml:space="preserve">The UInt32 status bits are carried in signed </w:t>
            </w:r>
            <w:r>
              <w:rPr>
                <w:rStyle w:val="VARIABLE"/>
              </w:rPr>
              <w:t xml:space="preserve">int</w:t>
            </w:r>
            <w:r>
              <w:t xml:space="preserve"> and reinterpreted unsigned on decode.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0EF01F4">
            <w:pPr>
              <w:pStyle w:val="TableText"/>
            </w:pPr>
            <w:r>
              <w:t xml:space="preserve">QualifiedName</w:t>
            </w:r>
          </w:p>
        </w:tc>
        <w:tc>
          <w:tcPr>
            <w:tcW w:w="2975" w:type="dxa"/>
            <w:tcBorders>
              <w:top w:val="single" w:sz="4" w:space="0" w:color="auto"/>
              <w:left w:val="single" w:sz="4" w:space="0" w:color="auto"/>
              <w:bottom w:val="single" w:sz="4" w:space="0" w:color="auto"/>
              <w:right w:val="single" w:sz="4" w:space="0" w:color="auto"/>
            </w:tcBorders>
          </w:tcPr>
          <w:p w14:paraId="609CB3AD">
            <w:pPr>
              <w:pStyle w:val="TableText"/>
            </w:pPr>
            <w:r>
              <w:rPr>
                <w:rStyle w:val="VARIABLE"/>
              </w:rPr>
              <w:t xml:space="preserve">record QualifiedName</w:t>
            </w:r>
          </w:p>
        </w:tc>
        <w:tc>
          <w:tcPr>
            <w:tcW w:w="2976" w:type="dxa"/>
            <w:tcBorders>
              <w:top w:val="single" w:sz="4" w:space="0" w:color="auto"/>
              <w:left w:val="single" w:sz="4" w:space="0" w:color="auto"/>
              <w:bottom w:val="single" w:sz="4" w:space="0" w:color="auto"/>
              <w:right w:val="single" w:sz="4" w:space="0" w:color="auto"/>
            </w:tcBorders>
          </w:tcPr>
          <w:p w14:paraId="7CFC29E9">
            <w:pPr>
              <w:pStyle w:val="TableText"/>
            </w:pPr>
            <w:r>
              <w:t xml:space="preserve">Namespace UInt16-as-int and nullable name string.</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7878EC2">
            <w:pPr>
              <w:pStyle w:val="TableText"/>
            </w:pPr>
            <w:r>
              <w:t xml:space="preserve">LocalizedText</w:t>
            </w:r>
          </w:p>
        </w:tc>
        <w:tc>
          <w:tcPr>
            <w:tcW w:w="2975" w:type="dxa"/>
            <w:tcBorders>
              <w:top w:val="single" w:sz="4" w:space="0" w:color="auto"/>
              <w:left w:val="single" w:sz="4" w:space="0" w:color="auto"/>
              <w:bottom w:val="single" w:sz="4" w:space="0" w:color="auto"/>
              <w:right w:val="single" w:sz="4" w:space="0" w:color="auto"/>
            </w:tcBorders>
          </w:tcPr>
          <w:p w14:paraId="1E71632C">
            <w:pPr>
              <w:pStyle w:val="TableText"/>
            </w:pPr>
            <w:r>
              <w:rPr>
                <w:rStyle w:val="VARIABLE"/>
              </w:rPr>
              <w:t xml:space="preserve">["null", record LocalizedText]</w:t>
            </w:r>
          </w:p>
        </w:tc>
        <w:tc>
          <w:tcPr>
            <w:tcW w:w="2976" w:type="dxa"/>
            <w:tcBorders>
              <w:top w:val="single" w:sz="4" w:space="0" w:color="auto"/>
              <w:left w:val="single" w:sz="4" w:space="0" w:color="auto"/>
              <w:bottom w:val="single" w:sz="4" w:space="0" w:color="auto"/>
              <w:right w:val="single" w:sz="4" w:space="0" w:color="auto"/>
            </w:tcBorders>
          </w:tcPr>
          <w:p w14:paraId="5C0E622B">
            <w:pPr>
              <w:pStyle w:val="TableText"/>
            </w:pPr>
            <w:r>
              <w:t xml:space="preserve">Locale and text are independently nullable strings.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AEDCF7D">
            <w:pPr>
              <w:pStyle w:val="TableText"/>
            </w:pPr>
            <w:r>
              <w:t xml:space="preserve">ExtensionObject</w:t>
            </w:r>
          </w:p>
        </w:tc>
        <w:tc>
          <w:tcPr>
            <w:tcW w:w="2975" w:type="dxa"/>
            <w:tcBorders>
              <w:top w:val="single" w:sz="4" w:space="0" w:color="auto"/>
              <w:left w:val="single" w:sz="4" w:space="0" w:color="auto"/>
              <w:bottom w:val="single" w:sz="4" w:space="0" w:color="auto"/>
              <w:right w:val="single" w:sz="4" w:space="0" w:color="auto"/>
            </w:tcBorders>
          </w:tcPr>
          <w:p w14:paraId="4E26756F">
            <w:pPr>
              <w:pStyle w:val="TableText"/>
            </w:pPr>
            <w:r>
              <w:rPr>
                <w:rStyle w:val="VARIABLE"/>
              </w:rPr>
              <w:t xml:space="preserve">record ExtensionObject</w:t>
            </w:r>
          </w:p>
        </w:tc>
        <w:tc>
          <w:tcPr>
            <w:tcW w:w="2976" w:type="dxa"/>
            <w:tcBorders>
              <w:top w:val="single" w:sz="4" w:space="0" w:color="auto"/>
              <w:left w:val="single" w:sz="4" w:space="0" w:color="auto"/>
              <w:bottom w:val="single" w:sz="4" w:space="0" w:color="auto"/>
              <w:right w:val="single" w:sz="4" w:space="0" w:color="auto"/>
            </w:tcBorders>
          </w:tcPr>
          <w:p w14:paraId="6EF3A4EE">
            <w:pPr>
              <w:pStyle w:val="TableText"/>
            </w:pPr>
            <w:r>
              <w:t xml:space="preserve">TypeId NodeId plus nullable body union as described in </w:t>
            </w:r>
            <w:r>
              <w:fldChar w:fldCharType="begin"/>
            </w:r>
            <w:r>
              <w:instrText xml:space="preserve"> REF _Clause_c6_5_8 \r \h </w:instrText>
            </w:r>
            <w:r>
              <w:fldChar w:fldCharType="separate"/>
            </w:r>
            <w:r>
              <w:rPr>
                <w:noProof/>
              </w:rPr>
              <w:t xml:space="preserve">6.5.8</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6B3961B">
            <w:pPr>
              <w:pStyle w:val="TableText"/>
            </w:pPr>
            <w:r>
              <w:t xml:space="preserve">DataValue</w:t>
            </w:r>
          </w:p>
        </w:tc>
        <w:tc>
          <w:tcPr>
            <w:tcW w:w="2975" w:type="dxa"/>
            <w:tcBorders>
              <w:top w:val="single" w:sz="4" w:space="0" w:color="auto"/>
              <w:left w:val="single" w:sz="4" w:space="0" w:color="auto"/>
              <w:bottom w:val="single" w:sz="4" w:space="0" w:color="auto"/>
              <w:right w:val="single" w:sz="4" w:space="0" w:color="auto"/>
            </w:tcBorders>
          </w:tcPr>
          <w:p w14:paraId="38D58A27">
            <w:pPr>
              <w:pStyle w:val="TableText"/>
            </w:pPr>
            <w:r>
              <w:rPr>
                <w:rStyle w:val="VARIABLE"/>
              </w:rPr>
              <w:t xml:space="preserve">record DataValue</w:t>
            </w:r>
          </w:p>
        </w:tc>
        <w:tc>
          <w:tcPr>
            <w:tcW w:w="2976" w:type="dxa"/>
            <w:tcBorders>
              <w:top w:val="single" w:sz="4" w:space="0" w:color="auto"/>
              <w:left w:val="single" w:sz="4" w:space="0" w:color="auto"/>
              <w:bottom w:val="single" w:sz="4" w:space="0" w:color="auto"/>
              <w:right w:val="single" w:sz="4" w:space="0" w:color="auto"/>
            </w:tcBorders>
          </w:tcPr>
          <w:p w14:paraId="61A969F8">
            <w:pPr>
              <w:pStyle w:val="TableText"/>
            </w:pPr>
            <w:r>
              <w:t xml:space="preserve">Optional members as described in </w:t>
            </w:r>
            <w:r>
              <w:fldChar w:fldCharType="begin"/>
            </w:r>
            <w:r>
              <w:instrText xml:space="preserve"> REF _Clause_c6_5_10 \r \h </w:instrText>
            </w:r>
            <w:r>
              <w:fldChar w:fldCharType="separate"/>
            </w:r>
            <w:r>
              <w:rPr>
                <w:noProof/>
              </w:rPr>
              <w:t xml:space="preserve">6.5.10</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C336A9A">
            <w:pPr>
              <w:pStyle w:val="TableText"/>
            </w:pPr>
            <w:r>
              <w:t xml:space="preserve">Variant</w:t>
            </w:r>
          </w:p>
        </w:tc>
        <w:tc>
          <w:tcPr>
            <w:tcW w:w="2975" w:type="dxa"/>
            <w:tcBorders>
              <w:top w:val="single" w:sz="4" w:space="0" w:color="auto"/>
              <w:left w:val="single" w:sz="4" w:space="0" w:color="auto"/>
              <w:bottom w:val="single" w:sz="4" w:space="0" w:color="auto"/>
              <w:right w:val="single" w:sz="4" w:space="0" w:color="auto"/>
            </w:tcBorders>
          </w:tcPr>
          <w:p w14:paraId="4AFAD818">
            <w:pPr>
              <w:pStyle w:val="TableText"/>
            </w:pPr>
            <w:r>
              <w:rPr>
                <w:rStyle w:val="VARIABLE"/>
              </w:rPr>
              <w:t xml:space="preserve">record Variant</w:t>
            </w:r>
          </w:p>
        </w:tc>
        <w:tc>
          <w:tcPr>
            <w:tcW w:w="2976" w:type="dxa"/>
            <w:tcBorders>
              <w:top w:val="single" w:sz="4" w:space="0" w:color="auto"/>
              <w:left w:val="single" w:sz="4" w:space="0" w:color="auto"/>
              <w:bottom w:val="single" w:sz="4" w:space="0" w:color="auto"/>
              <w:right w:val="single" w:sz="4" w:space="0" w:color="auto"/>
            </w:tcBorders>
          </w:tcPr>
          <w:p w14:paraId="6A672C14">
            <w:pPr>
              <w:pStyle w:val="TableText"/>
            </w:pPr>
            <w:r>
              <w:t xml:space="preserve">Recursive typed body as described in </w:t>
            </w:r>
            <w:r>
              <w:fldChar w:fldCharType="begin"/>
            </w:r>
            <w:r>
              <w:instrText xml:space="preserve"> REF _Clause_c6_5_7 \r \h </w:instrText>
            </w:r>
            <w:r>
              <w:fldChar w:fldCharType="separate"/>
            </w:r>
            <w:r>
              <w:rPr>
                <w:noProof/>
              </w:rPr>
              <w:t xml:space="preserve">6.5.7</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08469C0">
            <w:pPr>
              <w:pStyle w:val="TableText"/>
            </w:pPr>
            <w:r>
              <w:t xml:space="preserve">DiagnosticInfo</w:t>
            </w:r>
          </w:p>
        </w:tc>
        <w:tc>
          <w:tcPr>
            <w:tcW w:w="2975" w:type="dxa"/>
            <w:tcBorders>
              <w:top w:val="single" w:sz="4" w:space="0" w:color="auto"/>
              <w:left w:val="single" w:sz="4" w:space="0" w:color="auto"/>
              <w:bottom w:val="single" w:sz="4" w:space="0" w:color="auto"/>
              <w:right w:val="single" w:sz="4" w:space="0" w:color="auto"/>
            </w:tcBorders>
          </w:tcPr>
          <w:p w14:paraId="119205A8">
            <w:pPr>
              <w:pStyle w:val="TableText"/>
            </w:pPr>
            <w:r>
              <w:rPr>
                <w:rStyle w:val="VARIABLE"/>
              </w:rPr>
              <w:t xml:space="preserve">record DiagnosticInfo</w:t>
            </w:r>
          </w:p>
        </w:tc>
        <w:tc>
          <w:tcPr>
            <w:tcW w:w="2976" w:type="dxa"/>
            <w:tcBorders>
              <w:top w:val="single" w:sz="4" w:space="0" w:color="auto"/>
              <w:left w:val="single" w:sz="4" w:space="0" w:color="auto"/>
              <w:bottom w:val="single" w:sz="4" w:space="0" w:color="auto"/>
              <w:right w:val="single" w:sz="4" w:space="0" w:color="auto"/>
            </w:tcBorders>
          </w:tcPr>
          <w:p w14:paraId="7F86FCD4">
            <w:pPr>
              <w:pStyle w:val="TableText"/>
            </w:pPr>
            <w:r>
              <w:t xml:space="preserve">Recursive optional members as described in </w:t>
            </w:r>
            <w:r>
              <w:fldChar w:fldCharType="begin"/>
            </w:r>
            <w:r>
              <w:instrText xml:space="preserve"> REF _Clause_c6_5_11 \r \h </w:instrText>
            </w:r>
            <w:r>
              <w:fldChar w:fldCharType="separate"/>
            </w:r>
            <w:r>
              <w:rPr>
                <w:noProof/>
              </w:rPr>
              <w:t xml:space="preserve">6.5.11</w:t>
            </w:r>
            <w:r>
              <w:fldChar w:fldCharType="end"/>
            </w:r>
            <w:r>
              <w:t xml:space="preserve">.</w:t>
            </w:r>
          </w:p>
        </w:tc>
      </w:tr>
    </w:tbl>
    <w:p w14:paraId="1250DE6D">
      <w:pPr>
        <w:pStyle w:val="spacer"/>
      </w:pPr>
    </w:p>
    <w:p w14:paraId="5BA3A881">
      <w:pPr>
        <w:pStyle w:val="Heading4"/>
      </w:pPr>
      <w:bookmarkStart w:id="480" w:name="_Clause_c6_5_2_1"/>
      <w:r>
        <w:t xml:space="preserve">Textual NodeId and ExpandedNodeId form</w:t>
      </w:r>
      <w:bookmarkEnd w:id="480"/>
    </w:p>
    <w:p w14:paraId="052AB82E">
      <w:pPr>
        <w:pStyle w:val="PARAGRAPH"/>
      </w:pPr>
      <w:r>
        <w:t xml:space="preserve">A schema generator MAY represent a NodeId or ExpandedNodeId field as Avro </w:t>
      </w:r>
      <w:r>
        <w:rPr>
          <w:rStyle w:val="VARIABLE"/>
        </w:rPr>
        <w:t xml:space="preserve">string</w:t>
      </w:r>
      <w:r>
        <w:t xml:space="preserve"> instead of the </w:t>
      </w:r>
      <w:r>
        <w:rPr>
          <w:rStyle w:val="VARIABLE"/>
        </w:rPr>
        <w:t xml:space="preserve">record NodeId</w:t>
      </w:r>
      <w:r>
        <w:t xml:space="preserve"> / </w:t>
      </w:r>
      <w:r>
        <w:rPr>
          <w:rStyle w:val="VARIABLE"/>
        </w:rPr>
        <w:t xml:space="preserve">record ExpandedNodeId</w:t>
      </w:r>
      <w:r>
        <w:t xml:space="preserve"> of </w:t>
      </w:r>
      <w:r>
        <w:fldChar w:fldCharType="begin"/>
      </w:r>
      <w:r>
        <w:instrText xml:space="preserve"> REF _Clause_c6_5_2 \r \h </w:instrText>
      </w:r>
      <w:r>
        <w:fldChar w:fldCharType="separate"/>
      </w:r>
      <w:r>
        <w:rPr>
          <w:noProof/>
        </w:rPr>
        <w:t xml:space="preserve">6.5.2</w:t>
      </w:r>
      <w:r>
        <w:fldChar w:fldCharType="end"/>
      </w:r>
      <w:r>
        <w:t xml:space="preserve">. The choice is fixed in the schema and is therefore part of the SchemaId (</w:t>
      </w:r>
      <w:r>
        <w:fldChar w:fldCharType="begin"/>
      </w:r>
      <w:r>
        <w:instrText xml:space="preserve"> REF _Clause_c6_6_3 \r \h </w:instrText>
      </w:r>
      <w:r>
        <w:fldChar w:fldCharType="separate"/>
      </w:r>
      <w:r>
        <w:rPr>
          <w:noProof/>
        </w:rPr>
        <w:t xml:space="preserve">6.6.3</w:t>
      </w:r>
      <w:r>
        <w:fldChar w:fldCharType="end"/>
      </w:r>
      <w:r>
        <w:t xml:space="preserve">): a given field is either always structured or always textual, never both. Both representations are conformant and losslessly reversible; a columnar or registry consumer may prefer the string form because a NodeId is then a single Avro </w:t>
      </w:r>
      <w:r>
        <w:rPr>
          <w:rStyle w:val="VARIABLE"/>
        </w:rPr>
        <w:t xml:space="preserve">string</w:t>
      </w:r>
      <w:r>
        <w:t xml:space="preserve"> value rather than a nested record.</w:t>
      </w:r>
    </w:p>
    <w:p w14:paraId="14142A20">
      <w:pPr>
        <w:pStyle w:val="PARAGRAPH"/>
      </w:pPr>
      <w:r>
        <w:t xml:space="preserve">When the field type is </w:t>
      </w:r>
      <w:r>
        <w:rPr>
          <w:rStyle w:val="VARIABLE"/>
        </w:rPr>
        <w:t xml:space="preserve">string</w:t>
      </w:r>
      <w:r>
        <w:t xml:space="preserve">, the value shall use the canonical OPC UA textual syntax of </w:t>
      </w:r>
      <w:r>
        <w:rPr>
          <w:i/>
        </w:rPr>
        <w:t xml:space="preserve">OPC 10000-6</w:t>
      </w:r>
      <w:r>
        <w:t xml:space="preserve"> (the syntax used by the XML and JSON encodings):</w:t>
      </w:r>
    </w:p>
    <w:p w14:paraId="103C5051">
      <w:pPr>
        <w:pStyle w:val="ListBullet"/>
        <w:numPr>
          <w:ilvl w:val="0"/>
          <w:numId w:val="21"/>
        </w:numPr>
      </w:pPr>
      <w:r>
        <w:rPr>
          <w:b/>
        </w:rPr>
        <w:t xml:space="preserve">NodeId</w:t>
      </w:r>
      <w:r>
        <w:t xml:space="preserve"> — </w:t>
      </w:r>
      <w:r>
        <w:rPr>
          <w:rStyle w:val="VARIABLE"/>
        </w:rPr>
        <w:t xml:space="preserve">[ns=&lt;namespaceindex&gt;;]&lt;t&gt;=&lt;identifier&gt;</w:t>
      </w:r>
      <w:r>
        <w:t xml:space="preserve">, where </w:t>
      </w:r>
      <w:r>
        <w:rPr>
          <w:rStyle w:val="VARIABLE"/>
        </w:rPr>
        <w:t xml:space="preserve">&lt;t&gt;</w:t>
      </w:r>
      <w:r>
        <w:t xml:space="preserve"> is </w:t>
      </w:r>
      <w:r>
        <w:rPr>
          <w:rStyle w:val="VARIABLE"/>
        </w:rPr>
        <w:t xml:space="preserve">i</w:t>
      </w:r>
      <w:r>
        <w:t xml:space="preserve"> for a numeric identifier (decimal UInt32), </w:t>
      </w:r>
      <w:r>
        <w:rPr>
          <w:rStyle w:val="VARIABLE"/>
        </w:rPr>
        <w:t xml:space="preserve">s</w:t>
      </w:r>
      <w:r>
        <w:t xml:space="preserve"> for a String identifier, </w:t>
      </w:r>
      <w:r>
        <w:rPr>
          <w:rStyle w:val="VARIABLE"/>
        </w:rPr>
        <w:t xml:space="preserve">g</w:t>
      </w:r>
      <w:r>
        <w:t xml:space="preserve"> for a Guid in the canonical hyphenated 8-4-4-4-12 form, or </w:t>
      </w:r>
      <w:r>
        <w:rPr>
          <w:rStyle w:val="VARIABLE"/>
        </w:rPr>
        <w:t xml:space="preserve">b</w:t>
      </w:r>
      <w:r>
        <w:t xml:space="preserve"> for a ByteString identifier in standard base64. The </w:t>
      </w:r>
      <w:r>
        <w:rPr>
          <w:rStyle w:val="VARIABLE"/>
        </w:rPr>
        <w:t xml:space="preserve">ns=</w:t>
      </w:r>
      <w:r>
        <w:t xml:space="preserve"> prefix is omitted when the namespace index is 0. The </w:t>
      </w:r>
      <w:r>
        <w:rPr>
          <w:rStyle w:val="VARIABLE"/>
        </w:rPr>
        <w:t xml:space="preserve">s=</w:t>
      </w:r>
      <w:r>
        <w:t xml:space="preserve"> String identifier is the final component and is taken verbatim to the end of the string, so it needs no escaping and MAY itself contain </w:t>
      </w:r>
      <w:r>
        <w:rPr>
          <w:rStyle w:val="VARIABLE"/>
        </w:rPr>
        <w:t xml:space="preserve">;</w:t>
      </w:r>
      <w:r>
        <w:t xml:space="preserve"> or </w:t>
      </w:r>
      <w:r>
        <w:rPr>
          <w:rStyle w:val="VARIABLE"/>
        </w:rPr>
        <w:t xml:space="preserve">=</w:t>
      </w:r>
      <w:r>
        <w:t xml:space="preserve">.</w:t>
      </w:r>
    </w:p>
    <w:p w14:paraId="546301BE">
      <w:pPr>
        <w:pStyle w:val="ListBullet"/>
        <w:numPr>
          <w:ilvl w:val="0"/>
          <w:numId w:val="21"/>
        </w:numPr>
      </w:pPr>
      <w:r>
        <w:rPr>
          <w:b/>
        </w:rPr>
        <w:t xml:space="preserve">ExpandedNodeId</w:t>
      </w:r>
      <w:r>
        <w:t xml:space="preserve"> — </w:t>
      </w:r>
      <w:r>
        <w:rPr>
          <w:rStyle w:val="VARIABLE"/>
        </w:rPr>
        <w:t xml:space="preserve">[svr=&lt;serverindex&gt;;][nsu=&lt;namespaceuri&gt;;]&lt;nodeid-text&gt;</w:t>
      </w:r>
      <w:r>
        <w:t xml:space="preserve">. </w:t>
      </w:r>
      <w:r>
        <w:rPr>
          <w:rStyle w:val="VARIABLE"/>
        </w:rPr>
        <w:t xml:space="preserve">svr=</w:t>
      </w:r>
      <w:r>
        <w:t xml:space="preserve"> appears only when the server index is non-zero. </w:t>
      </w:r>
      <w:r>
        <w:rPr>
          <w:rStyle w:val="VARIABLE"/>
        </w:rPr>
        <w:t xml:space="preserve">nsu=&lt;namespaceuri&gt;</w:t>
      </w:r>
      <w:r>
        <w:t xml:space="preserve">, when present, carries the NamespaceUri and is terminated by the following </w:t>
      </w:r>
      <w:r>
        <w:rPr>
          <w:rStyle w:val="VARIABLE"/>
        </w:rPr>
        <w:t xml:space="preserve">;</w:t>
      </w:r>
      <w:r>
        <w:t xml:space="preserve">; the NamespaceUri is authoritative and the trailing </w:t>
      </w:r>
      <w:r>
        <w:rPr>
          <w:rStyle w:val="VARIABLE"/>
        </w:rPr>
        <w:t xml:space="preserve">&lt;nodeid-text&gt;</w:t>
      </w:r>
      <w:r>
        <w:t xml:space="preserve"> keeps its own </w:t>
      </w:r>
      <w:r>
        <w:rPr>
          <w:rStyle w:val="VARIABLE"/>
        </w:rPr>
        <w:t xml:space="preserve">ns=</w:t>
      </w:r>
      <w:r>
        <w:t xml:space="preserve"> index (which MAY be 0 and is retained, so a value that carries both a namespace index and a NamespaceUri round-trips). Because </w:t>
      </w:r>
      <w:r>
        <w:rPr>
          <w:rStyle w:val="VARIABLE"/>
        </w:rPr>
        <w:t xml:space="preserve">;</w:t>
      </w:r>
      <w:r>
        <w:t xml:space="preserve"> terminates the </w:t>
      </w:r>
      <w:r>
        <w:rPr>
          <w:rStyle w:val="VARIABLE"/>
        </w:rPr>
        <w:t xml:space="preserve">nsu=</w:t>
      </w:r>
      <w:r>
        <w:t xml:space="preserve"> value, the textual form is only used when the NamespaceUri contains no </w:t>
      </w:r>
      <w:r>
        <w:rPr>
          <w:rStyle w:val="VARIABLE"/>
        </w:rPr>
        <w:t xml:space="preserve">;</w:t>
      </w:r>
      <w:r>
        <w:t xml:space="preserve">; a NamespaceUri that contains </w:t>
      </w:r>
      <w:r>
        <w:rPr>
          <w:rStyle w:val="VARIABLE"/>
        </w:rPr>
        <w:t xml:space="preserve">;</w:t>
      </w:r>
      <w:r>
        <w:t xml:space="preserve"> shall use the structured </w:t>
      </w:r>
      <w:r>
        <w:rPr>
          <w:rStyle w:val="VARIABLE"/>
        </w:rPr>
        <w:t xml:space="preserve">record ExpandedNodeId</w:t>
      </w:r>
      <w:r>
        <w:t xml:space="preserve">, which represents any NamespaceUri losslessly.</w:t>
      </w:r>
    </w:p>
    <w:p w14:paraId="790BF34E">
      <w:pPr>
        <w:pStyle w:val="PARAGRAPH"/>
      </w:pPr>
      <w:r>
        <w:t xml:space="preserve">A </w:t>
      </w:r>
      <w:r>
        <w:rPr>
          <w:rStyle w:val="VARIABLE"/>
        </w:rPr>
        <w:t xml:space="preserve">string</w:t>
      </w:r>
      <w:r>
        <w:t xml:space="preserve">-typed NodeId or ExpandedNodeId field that is nullable uses the </w:t>
      </w:r>
      <w:r>
        <w:rPr>
          <w:rStyle w:val="VARIABLE"/>
        </w:rPr>
        <w:t xml:space="preserve">["null", "string"]</w:t>
      </w:r>
      <w:r>
        <w:t xml:space="preserve"> union; a null value is distinct from the empty string. An encoder and decoder shall round-trip every identifier kind — numeric, String, Guid and opaque — and, for ExpandedNodeId, a value that carries a namespace index together with a NamespaceUri, without loss.</w:t>
      </w:r>
    </w:p>
    <w:p w14:paraId="207B1722">
      <w:pPr>
        <w:pStyle w:val="Heading3"/>
      </w:pPr>
      <w:bookmarkStart w:id="481" w:name="_Clause_c6_5_3"/>
      <w:r>
        <w:t xml:space="preserve">Enumerations and OptionSets</w:t>
      </w:r>
      <w:bookmarkEnd w:id="481"/>
    </w:p>
    <w:p w14:paraId="0BCA8434">
      <w:pPr>
        <w:pStyle w:val="PARAGRAPH"/>
      </w:pPr>
      <w:r>
        <w:t xml:space="preserve">An OPC UA Enumeration shall be encoded as Avro </w:t>
      </w:r>
      <w:r>
        <w:rPr>
          <w:rStyle w:val="VARIABLE"/>
        </w:rPr>
        <w:t xml:space="preserve">int</w:t>
      </w:r>
      <w:r>
        <w:t xml:space="preserve"> containing the numeric Int32 value. An OptionSet shall also be encoded as Avro </w:t>
      </w:r>
      <w:r>
        <w:rPr>
          <w:rStyle w:val="VARIABLE"/>
        </w:rPr>
        <w:t xml:space="preserve">int</w:t>
      </w:r>
      <w:r>
        <w:t xml:space="preserve"> or </w:t>
      </w:r>
      <w:r>
        <w:rPr>
          <w:rStyle w:val="VARIABLE"/>
        </w:rPr>
        <w:t xml:space="preserve">long</w:t>
      </w:r>
      <w:r>
        <w:t xml:space="preserve"> according to its declared bit size, with each bit preserved. Symbolic Avro enum labels are useful for documentation but shall not replace the numeric value on the wire because OPC UA permits forward-compatible unknown values and bit combinations.</w:t>
      </w:r>
    </w:p>
    <w:p w14:paraId="0BB0EDEA">
      <w:pPr>
        <w:pStyle w:val="Heading3"/>
      </w:pPr>
      <w:bookmarkStart w:id="482" w:name="_Clause_c6_5_4"/>
      <w:r>
        <w:t xml:space="preserve">Arrays</w:t>
      </w:r>
      <w:bookmarkEnd w:id="482"/>
    </w:p>
    <w:p w14:paraId="0C5DB711">
      <w:pPr>
        <w:pStyle w:val="PARAGRAPH"/>
      </w:pPr>
      <w:r>
        <w:t xml:space="preserve">A one-dimensional OPC UA array of element type </w:t>
      </w:r>
      <w:r>
        <w:rPr>
          <w:rStyle w:val="VARIABLE"/>
        </w:rPr>
        <w:t xml:space="preserve">T</w:t>
      </w:r>
      <w:r>
        <w:t xml:space="preserve"> shall be encoded as </w:t>
      </w:r>
      <w:r>
        <w:rPr>
          <w:rStyle w:val="VARIABLE"/>
        </w:rPr>
        <w:t xml:space="preserve">["null", {"type":"array","items":T}]</w:t>
      </w:r>
      <w:r>
        <w:t xml:space="preserve"> when the array value itself is nullable. If the element can be null, the item schema shall be </w:t>
      </w:r>
      <w:r>
        <w:rPr>
          <w:rStyle w:val="VARIABLE"/>
        </w:rPr>
        <w:t xml:space="preserve">["null", T]</w:t>
      </w:r>
      <w:r>
        <w:t xml:space="preserve">; otherwise it shall be </w:t>
      </w:r>
      <w:r>
        <w:rPr>
          <w:rStyle w:val="VARIABLE"/>
        </w:rPr>
        <w:t xml:space="preserve">T</w:t>
      </w:r>
      <w:r>
        <w:t xml:space="preserve">. Encoders shall preserve an empty array as an array with zero items, not as </w:t>
      </w:r>
      <w:r>
        <w:rPr>
          <w:rStyle w:val="VARIABLE"/>
        </w:rPr>
        <w:t xml:space="preserve">null</w:t>
      </w:r>
      <w:r>
        <w:t xml:space="preserve">.</w:t>
      </w:r>
    </w:p>
    <w:p w14:paraId="1A5A6E97">
      <w:pPr>
        <w:pStyle w:val="Heading3"/>
      </w:pPr>
      <w:bookmarkStart w:id="483" w:name="_Clause_c6_5_5"/>
      <w:r>
        <w:t xml:space="preserve">Matrices</w:t>
      </w:r>
      <w:bookmarkEnd w:id="483"/>
    </w:p>
    <w:p w14:paraId="7AC049B6">
      <w:pPr>
        <w:pStyle w:val="PARAGRAPH"/>
      </w:pPr>
      <w:r>
        <w:t xml:space="preserve">A matrix shall be encoded as a record with fields </w:t>
      </w:r>
      <w:r>
        <w:rPr>
          <w:rStyle w:val="VARIABLE"/>
        </w:rPr>
        <w:t xml:space="preserve">dimensions</w:t>
      </w:r>
      <w:r>
        <w:t xml:space="preserve"> and </w:t>
      </w:r>
      <w:r>
        <w:rPr>
          <w:rStyle w:val="VARIABLE"/>
        </w:rPr>
        <w:t xml:space="preserve">values</w:t>
      </w:r>
      <w:r>
        <w:t xml:space="preserve">: </w:t>
      </w:r>
      <w:r>
        <w:rPr>
          <w:rStyle w:val="VARIABLE"/>
        </w:rPr>
        <w:t xml:space="preserve">{ "dimensions": {"type":"array","items":"int"}, "values": {"type":"array","items": &lt;element-or-null&gt;} }</w:t>
      </w:r>
      <w:r>
        <w:t xml:space="preserve">. Values are row-major. An OPC UA matrix has </w:t>
      </w:r>
      <w:r>
        <w:rPr>
          <w:b/>
        </w:rPr>
        <w:t xml:space="preserve">at least two dimensions</w:t>
      </w:r>
      <w:r>
        <w:t xml:space="preserve">, and the product of dimensions shall equal the length of </w:t>
      </w:r>
      <w:r>
        <w:rPr>
          <w:rStyle w:val="VARIABLE"/>
        </w:rPr>
        <w:t xml:space="preserve">values</w:t>
      </w:r>
      <w:r>
        <w:t xml:space="preserve">. A decoder </w:t>
      </w:r>
      <w:r>
        <w:rPr>
          <w:b/>
        </w:rPr>
        <w:t xml:space="preserve">shall reject</w:t>
      </w:r>
      <w:r>
        <w:t xml:space="preserve">, with </w:t>
      </w:r>
      <w:r>
        <w:rPr>
          <w:rStyle w:val="VARIABLE"/>
        </w:rPr>
        <w:t xml:space="preserve">Bad_DecodingError</w:t>
      </w:r>
      <w:r>
        <w:t xml:space="preserve">, a matrix whose </w:t>
      </w:r>
      <w:r>
        <w:rPr>
          <w:rStyle w:val="VARIABLE"/>
        </w:rPr>
        <w:t xml:space="preserve">dimensions</w:t>
      </w:r>
      <w:r>
        <w:t xml:space="preserve"> has fewer than two entries or whose dimension product does not equal the length of </w:t>
      </w:r>
      <w:r>
        <w:rPr>
          <w:rStyle w:val="VARIABLE"/>
        </w:rPr>
        <w:t xml:space="preserve">values</w:t>
      </w:r>
      <w:r>
        <w:t xml:space="preserve">. A null matrix is the null branch of </w:t>
      </w:r>
      <w:r>
        <w:rPr>
          <w:rStyle w:val="VARIABLE"/>
        </w:rPr>
        <w:t xml:space="preserve">["null", MatrixRecord]</w:t>
      </w:r>
      <w:r>
        <w:t xml:space="preserve"> and is distinct from a present matrix record.</w:t>
      </w:r>
    </w:p>
    <w:p w14:paraId="5139C69D">
      <w:pPr>
        <w:pStyle w:val="Heading3"/>
      </w:pPr>
      <w:bookmarkStart w:id="484" w:name="_Clause_c6_5_6"/>
      <w:r>
        <w:t xml:space="preserve">Structures and optional fields</w:t>
      </w:r>
      <w:bookmarkEnd w:id="484"/>
    </w:p>
    <w:p w14:paraId="64D60BFB">
      <w:pPr>
        <w:pStyle w:val="PARAGRAPH"/>
      </w:pPr>
      <w:r>
        <w:t xml:space="preserve">A plain Structure shall be an Avro record with one field per OPC UA field. A StructureWithOptionalFields shall use an outer optional-field wrapper for each optional field: </w:t>
      </w:r>
      <w:r>
        <w:rPr>
          <w:rStyle w:val="VARIABLE"/>
        </w:rPr>
        <w:t xml:space="preserve">["null", {"type":"record","name":"&lt;Structure&gt;_&lt;Field&gt;_Optional","fields":[{"name":"value","type":T}]}]</w:t>
      </w:r>
      <w:r>
        <w:t xml:space="preserve"> with default </w:t>
      </w:r>
      <w:r>
        <w:rPr>
          <w:rStyle w:val="VARIABLE"/>
        </w:rPr>
        <w:t xml:space="preserve">null</w:t>
      </w:r>
      <w:r>
        <w:t xml:space="preserve">. The outer null means the OPC UA optional field is absent. A present wrapper whose </w:t>
      </w:r>
      <w:r>
        <w:rPr>
          <w:rStyle w:val="VARIABLE"/>
        </w:rPr>
        <w:t xml:space="preserve">value</w:t>
      </w:r>
      <w:r>
        <w:t xml:space="preserve"> is null means the field is present with a null value, when </w:t>
      </w:r>
      <w:r>
        <w:rPr>
          <w:rStyle w:val="VARIABLE"/>
        </w:rPr>
        <w:t xml:space="preserve">T</w:t>
      </w:r>
      <w:r>
        <w:t xml:space="preserve"> itself is nullable. Mandatory fields whose type is nullable, such as String, still carry their own null union and shall be present in the record.</w:t>
      </w:r>
    </w:p>
    <w:p w14:paraId="4B40FAAA">
      <w:pPr>
        <w:pStyle w:val="Heading3"/>
      </w:pPr>
      <w:bookmarkStart w:id="485" w:name="_Clause_c6_5_7"/>
      <w:r>
        <w:t xml:space="preserve">Union DataTypes</w:t>
      </w:r>
      <w:bookmarkEnd w:id="485"/>
    </w:p>
    <w:p w14:paraId="35C40F94">
      <w:pPr>
        <w:pStyle w:val="PARAGRAPH"/>
      </w:pPr>
      <w:r>
        <w:t xml:space="preserve">An OPC UA Union DataType shall be encoded canonically as an Avro record with </w:t>
      </w:r>
      <w:r>
        <w:rPr>
          <w:rStyle w:val="VARIABLE"/>
        </w:rPr>
        <w:t xml:space="preserve">switch</w:t>
      </w:r>
      <w:r>
        <w:t xml:space="preserve"> and </w:t>
      </w:r>
      <w:r>
        <w:rPr>
          <w:rStyle w:val="VARIABLE"/>
        </w:rPr>
        <w:t xml:space="preserve">value</w:t>
      </w:r>
      <w:r>
        <w:t xml:space="preserve">. The </w:t>
      </w:r>
      <w:r>
        <w:rPr>
          <w:rStyle w:val="VARIABLE"/>
        </w:rPr>
        <w:t xml:space="preserve">switch</w:t>
      </w:r>
      <w:r>
        <w:t xml:space="preserve"> field is </w:t>
      </w:r>
      <w:r>
        <w:rPr>
          <w:rStyle w:val="VARIABLE"/>
        </w:rPr>
        <w:t xml:space="preserve">["null", "string"]</w:t>
      </w:r>
      <w:r>
        <w:t xml:space="preserve"> and contains the selected OPC UA field name, or null for the null union. The </w:t>
      </w:r>
      <w:r>
        <w:rPr>
          <w:rStyle w:val="VARIABLE"/>
        </w:rPr>
        <w:t xml:space="preserve">value</w:t>
      </w:r>
      <w:r>
        <w:t xml:space="preserve"> field is an Avro union of null plus record-wrapped branches, one branch per union field. Each branch record contains exactly one field with the OPC UA field name and field type, including that type's null branch when the selected field type is nullable. The record wrapper is required so Avro union branch resolution is deterministic even when two union fields have the same Avro primitive type.</w:t>
      </w:r>
    </w:p>
    <w:p w14:paraId="5C317CF5">
      <w:pPr>
        <w:pStyle w:val="Heading3"/>
      </w:pPr>
      <w:bookmarkStart w:id="486" w:name="_Clause_c6_5_8"/>
      <w:r>
        <w:t xml:space="preserve">Variant</w:t>
      </w:r>
      <w:bookmarkEnd w:id="486"/>
    </w:p>
    <w:p w14:paraId="31A673EA">
      <w:pPr>
        <w:pStyle w:val="PARAGRAPH"/>
      </w:pPr>
      <w:r>
        <w:t xml:space="preserve">Variant shall be a record carrying </w:t>
      </w:r>
      <w:r>
        <w:rPr>
          <w:rStyle w:val="VARIABLE"/>
        </w:rPr>
        <w:t xml:space="preserve">builtInType</w:t>
      </w:r>
      <w:r>
        <w:t xml:space="preserve">, nullable </w:t>
      </w:r>
      <w:r>
        <w:rPr>
          <w:rStyle w:val="VARIABLE"/>
        </w:rPr>
        <w:t xml:space="preserve">dimensions</w:t>
      </w:r>
      <w:r>
        <w:t xml:space="preserve">, and </w:t>
      </w:r>
      <w:r>
        <w:rPr>
          <w:rStyle w:val="VARIABLE"/>
        </w:rPr>
        <w:t xml:space="preserve">body</w:t>
      </w:r>
      <w:r>
        <w:t xml:space="preserve">. A null Variant has </w:t>
      </w:r>
      <w:r>
        <w:rPr>
          <w:rStyle w:val="VARIABLE"/>
        </w:rPr>
        <w:t xml:space="preserve">builtInType = 0</w:t>
      </w:r>
      <w:r>
        <w:t xml:space="preserve">, </w:t>
      </w:r>
      <w:r>
        <w:rPr>
          <w:rStyle w:val="VARIABLE"/>
        </w:rPr>
        <w:t xml:space="preserve">dimensions = null</w:t>
      </w:r>
      <w:r>
        <w:t xml:space="preserve">, and </w:t>
      </w:r>
      <w:r>
        <w:rPr>
          <w:rStyle w:val="VARIABLE"/>
        </w:rPr>
        <w:t xml:space="preserve">body = null</w:t>
      </w:r>
      <w:r>
        <w:t xml:space="preserve">. A scalar body uses one record-wrapped Avro union branch for the selected built-in body type. A one-dimensional array body uses the corresponding </w:t>
      </w:r>
      <w:r>
        <w:rPr>
          <w:rStyle w:val="VARIABLE"/>
        </w:rPr>
        <w:t xml:space="preserve">Array</w:t>
      </w:r>
      <w:r>
        <w:t xml:space="preserve"> wrapper. A matrix body uses the corresponding Matrix wrapper and sets </w:t>
      </w:r>
      <w:r>
        <w:rPr>
          <w:rStyle w:val="VARIABLE"/>
        </w:rPr>
        <w:t xml:space="preserve">dimensions</w:t>
      </w:r>
      <w:r>
        <w:t xml:space="preserve">.</w:t>
      </w:r>
    </w:p>
    <w:p w14:paraId="18409496">
      <w:pPr>
        <w:pStyle w:val="PARAGRAPH"/>
      </w:pPr>
      <w:r>
        <w:t xml:space="preserve">The </w:t>
      </w:r>
      <w:r>
        <w:rPr>
          <w:rStyle w:val="VARIABLE"/>
        </w:rPr>
        <w:t xml:space="preserve">body</w:t>
      </w:r>
      <w:r>
        <w:t xml:space="preserve"> union excludes nested Variant, DataValue and DiagnosticInfo. Its member set is the set of body types the Variant may carry. A self-describing encoding may include the full set of built-in body types, including ExtensionObject. A schema-governed encoding may instead narrow the union to the aggregated set for the field and grow it across MinorVersions under the append-only rule of the Schema Registry (see </w:t>
      </w:r>
      <w:r>
        <w:rPr>
          <w:i/>
        </w:rPr>
        <w:t xml:space="preserve">OPC UA — Schema Registry</w:t>
      </w:r>
      <w:r>
        <w:t xml:space="preserve"> </w:t>
      </w:r>
      <w:r>
        <w:t xml:space="preserve">§5.6</w:t>
      </w:r>
      <w:r>
        <w:t xml:space="preserve">). An existing branch therefore keeps its Avro union branch index in every later minor of the same major. The branch wrappers and the </w:t>
      </w:r>
      <w:r>
        <w:rPr>
          <w:rStyle w:val="VARIABLE"/>
        </w:rPr>
        <w:t xml:space="preserve">builtInType</w:t>
      </w:r>
      <w:r>
        <w:t xml:space="preserve"> field are both present so that decoders can disambiguate Avro unions and recover the exact OPC UA type.</w:t>
      </w:r>
    </w:p>
    <w:p w14:paraId="66855B8B">
      <w:pPr>
        <w:pStyle w:val="PARAGRAPH"/>
      </w:pPr>
      <w:r>
        <w:t xml:space="preserve">By default the Variant record is specialized per field, so that each Variant field's </w:t>
      </w:r>
      <w:r>
        <w:rPr>
          <w:rStyle w:val="VARIABLE"/>
        </w:rPr>
        <w:t xml:space="preserve">body</w:t>
      </w:r>
      <w:r>
        <w:t xml:space="preserve"> union grows independently. A single shared Variant record is an option (</w:t>
      </w:r>
      <w:r>
        <w:fldChar w:fldCharType="begin"/>
      </w:r>
      <w:r>
        <w:instrText xml:space="preserve"> REF _Clause_c6_6_6 \r \h </w:instrText>
      </w:r>
      <w:r>
        <w:fldChar w:fldCharType="separate"/>
      </w:r>
      <w:r>
        <w:rPr>
          <w:noProof/>
        </w:rPr>
        <w:t xml:space="preserve">6.6.6</w:t>
      </w:r>
      <w:r>
        <w:fldChar w:fldCharType="end"/>
      </w:r>
      <w:r>
        <w:t xml:space="preserve">).</w:t>
      </w:r>
    </w:p>
    <w:p w14:paraId="172B91E5">
      <w:pPr>
        <w:pStyle w:val="Heading3"/>
      </w:pPr>
      <w:bookmarkStart w:id="487" w:name="_Clause_c6_5_9"/>
      <w:r>
        <w:t xml:space="preserve">ExtensionObject and abstract or subtyped fields</w:t>
      </w:r>
      <w:bookmarkEnd w:id="487"/>
    </w:p>
    <w:p w14:paraId="76C3FD4C">
      <w:pPr>
        <w:pStyle w:val="PARAGRAPH"/>
      </w:pPr>
      <w:r>
        <w:t xml:space="preserve">ExtensionObject shall be a record </w:t>
      </w:r>
      <w:r>
        <w:rPr>
          <w:rStyle w:val="VARIABLE"/>
        </w:rPr>
        <w:t xml:space="preserve">{ "typeId": NodeId, "body": ["null", &lt;known-struct-records...&gt;, &lt;opaque fallback branches...&gt;] }</w:t>
      </w:r>
      <w:r>
        <w:t xml:space="preserve">. The opaque fallback branches are </w:t>
      </w:r>
      <w:r>
        <w:rPr>
          <w:rStyle w:val="VARIABLE"/>
        </w:rPr>
        <w:t xml:space="preserve">"bytes"</w:t>
      </w:r>
      <w:r>
        <w:t xml:space="preserve"> for a Binary body and </w:t>
      </w:r>
      <w:r>
        <w:rPr>
          <w:rStyle w:val="VARIABLE"/>
        </w:rPr>
        <w:t xml:space="preserve">"string"</w:t>
      </w:r>
      <w:r>
        <w:t xml:space="preserve"> for an XML or textual body. The </w:t>
      </w:r>
      <w:r>
        <w:rPr>
          <w:rStyle w:val="VARIABLE"/>
        </w:rPr>
        <w:t xml:space="preserve">typeId</w:t>
      </w:r>
      <w:r>
        <w:t xml:space="preserve"> shall identify the concrete DataType or DataTypeEncoding NodeId.</w:t>
      </w:r>
    </w:p>
    <w:p w14:paraId="6D2556B6">
      <w:pPr>
        <w:pStyle w:val="PARAGRAPH"/>
      </w:pPr>
      <w:r>
        <w:t xml:space="preserve">If the concrete structured DataType is known to the decoder, the body shall use that record branch. If the type is unknown but the sender has an opaque encoded representation, the body may use the </w:t>
      </w:r>
      <w:r>
        <w:rPr>
          <w:rStyle w:val="VARIABLE"/>
        </w:rPr>
        <w:t xml:space="preserve">bytes</w:t>
      </w:r>
      <w:r>
        <w:t xml:space="preserve"> branch for a Binary body or the </w:t>
      </w:r>
      <w:r>
        <w:rPr>
          <w:rStyle w:val="VARIABLE"/>
        </w:rPr>
        <w:t xml:space="preserve">string</w:t>
      </w:r>
      <w:r>
        <w:t xml:space="preserve"> branch for an XML or textual body. In that case the receiver shall preserve the opaque value together with the TypeId. Fields declared as abstract structures, and fields that allow subtypes, shall use the same representation so that the concrete runtime type is carried inline.</w:t>
      </w:r>
    </w:p>
    <w:p w14:paraId="184DF4DC">
      <w:pPr>
        <w:pStyle w:val="PARAGRAPH"/>
      </w:pPr>
      <w:r>
        <w:t xml:space="preserve">The </w:t>
      </w:r>
      <w:r>
        <w:rPr>
          <w:rStyle w:val="VARIABLE"/>
        </w:rPr>
        <w:t xml:space="preserve">known-struct</w:t>
      </w:r>
      <w:r>
        <w:t xml:space="preserve"> branches are the aggregated concrete-type set for the field. They are derived deterministically from the OPC UA type model — the subtype hierarchy of the field's abstract DataType — and ordered by that derivation. Where the hierarchy is bounded, the branches are generated from it. Otherwise they grow append-only across MinorVersions as new concrete types are encoded, and an existing branch keeps its Avro union branch index. An encoder therefore computes each body-union branch index from the type model alone. The Schema Registry (see </w:t>
      </w:r>
      <w:r>
        <w:rPr>
          <w:i/>
        </w:rPr>
        <w:t xml:space="preserve">OPC UA — Schema Registry</w:t>
      </w:r>
      <w:r>
        <w:t xml:space="preserve"> </w:t>
      </w:r>
      <w:r>
        <w:t xml:space="preserve">§5.6</w:t>
      </w:r>
      <w:r>
        <w:t xml:space="preserve">) shares the resulting schema with decoders, but is never consulted in order to encode.</w:t>
      </w:r>
    </w:p>
    <w:p w14:paraId="5A87A900">
      <w:pPr>
        <w:pStyle w:val="PARAGRAPH"/>
      </w:pPr>
      <w:r>
        <w:t xml:space="preserve">The opaque fallback branches are appended append-only alongside the known-struct branches when a value first requires them. A fallback may therefore occupy any branch index, and its index is fixed once appended. A fallback carries any body not represented by a known-struct branch.</w:t>
      </w:r>
    </w:p>
    <w:p w14:paraId="5BE3E366">
      <w:pPr>
        <w:pStyle w:val="PARAGRAPH"/>
      </w:pPr>
      <w:r>
        <w:t xml:space="preserve">By default the ExtensionObject record is specialized per field, so that each field's known-struct union grows independently. A single shared ExtensionObject record is an option (</w:t>
      </w:r>
      <w:r>
        <w:fldChar w:fldCharType="begin"/>
      </w:r>
      <w:r>
        <w:instrText xml:space="preserve"> REF _Clause_c6_6_6 \r \h </w:instrText>
      </w:r>
      <w:r>
        <w:fldChar w:fldCharType="separate"/>
      </w:r>
      <w:r>
        <w:rPr>
          <w:noProof/>
        </w:rPr>
        <w:t xml:space="preserve">6.6.6</w:t>
      </w:r>
      <w:r>
        <w:fldChar w:fldCharType="end"/>
      </w:r>
      <w:r>
        <w:t xml:space="preserve">).</w:t>
      </w:r>
    </w:p>
    <w:p w14:paraId="4D5883A5">
      <w:pPr>
        <w:pStyle w:val="Heading3"/>
      </w:pPr>
      <w:bookmarkStart w:id="488" w:name="_Clause_c6_5_10"/>
      <w:r>
        <w:t xml:space="preserve">DataValue</w:t>
      </w:r>
      <w:bookmarkEnd w:id="488"/>
    </w:p>
    <w:p w14:paraId="535903BD">
      <w:pPr>
        <w:pStyle w:val="PARAGRAPH"/>
      </w:pPr>
      <w:r>
        <w:t xml:space="preserve">DataValue shall be an Avro record with fields </w:t>
      </w:r>
      <w:r>
        <w:rPr>
          <w:rStyle w:val="VARIABLE"/>
        </w:rPr>
        <w:t xml:space="preserve">value</w:t>
      </w:r>
      <w:r>
        <w:t xml:space="preserve">, </w:t>
      </w:r>
      <w:r>
        <w:rPr>
          <w:rStyle w:val="VARIABLE"/>
        </w:rPr>
        <w:t xml:space="preserve">status</w:t>
      </w:r>
      <w:r>
        <w:t xml:space="preserve">, </w:t>
      </w:r>
      <w:r>
        <w:rPr>
          <w:rStyle w:val="VARIABLE"/>
        </w:rPr>
        <w:t xml:space="preserve">sourceTimestamp</w:t>
      </w:r>
      <w:r>
        <w:t xml:space="preserve">, </w:t>
      </w:r>
      <w:r>
        <w:rPr>
          <w:rStyle w:val="VARIABLE"/>
        </w:rPr>
        <w:t xml:space="preserve">sourcePicoseconds</w:t>
      </w:r>
      <w:r>
        <w:t xml:space="preserve">, </w:t>
      </w:r>
      <w:r>
        <w:rPr>
          <w:rStyle w:val="VARIABLE"/>
        </w:rPr>
        <w:t xml:space="preserve">serverTimestamp</w:t>
      </w:r>
      <w:r>
        <w:t xml:space="preserve">, and </w:t>
      </w:r>
      <w:r>
        <w:rPr>
          <w:rStyle w:val="VARIABLE"/>
        </w:rPr>
        <w:t xml:space="preserve">serverPicoseconds</w:t>
      </w:r>
      <w:r>
        <w:t xml:space="preserve">, each nullable and defaulting to null. The </w:t>
      </w:r>
      <w:r>
        <w:rPr>
          <w:rStyle w:val="VARIABLE"/>
        </w:rPr>
        <w:t xml:space="preserve">value</w:t>
      </w:r>
      <w:r>
        <w:t xml:space="preserve"> field is a nullable Variant. StatusCode uses the UInt32-as-signed-int rule. Timestamps use raw DateTime ticks. Picoseconds use Avro </w:t>
      </w:r>
      <w:r>
        <w:rPr>
          <w:rStyle w:val="VARIABLE"/>
        </w:rPr>
        <w:t xml:space="preserve">int</w:t>
      </w:r>
      <w:r>
        <w:t xml:space="preserve"> and retain the OPC UA UInt16 domain.</w:t>
      </w:r>
    </w:p>
    <w:p w14:paraId="172FFDB9">
      <w:pPr>
        <w:pStyle w:val="Heading3"/>
      </w:pPr>
      <w:bookmarkStart w:id="489" w:name="_Clause_c6_5_11"/>
      <w:r>
        <w:t xml:space="preserve">DiagnosticInfo</w:t>
      </w:r>
      <w:bookmarkEnd w:id="489"/>
    </w:p>
    <w:p w14:paraId="7EE7F9C6">
      <w:pPr>
        <w:pStyle w:val="PARAGRAPH"/>
      </w:pPr>
      <w:r>
        <w:t xml:space="preserve">DiagnosticInfo shall be an Avro record with nullable fields </w:t>
      </w:r>
      <w:r>
        <w:rPr>
          <w:rStyle w:val="VARIABLE"/>
        </w:rPr>
        <w:t xml:space="preserve">symbolicId</w:t>
      </w:r>
      <w:r>
        <w:t xml:space="preserve">, </w:t>
      </w:r>
      <w:r>
        <w:rPr>
          <w:rStyle w:val="VARIABLE"/>
        </w:rPr>
        <w:t xml:space="preserve">namespaceUri</w:t>
      </w:r>
      <w:r>
        <w:t xml:space="preserve">, </w:t>
      </w:r>
      <w:r>
        <w:rPr>
          <w:rStyle w:val="VARIABLE"/>
        </w:rPr>
        <w:t xml:space="preserve">locale</w:t>
      </w:r>
      <w:r>
        <w:t xml:space="preserve">, </w:t>
      </w:r>
      <w:r>
        <w:rPr>
          <w:rStyle w:val="VARIABLE"/>
        </w:rPr>
        <w:t xml:space="preserve">localizedText</w:t>
      </w:r>
      <w:r>
        <w:t xml:space="preserve">, </w:t>
      </w:r>
      <w:r>
        <w:rPr>
          <w:rStyle w:val="VARIABLE"/>
        </w:rPr>
        <w:t xml:space="preserve">additionalInfo</w:t>
      </w:r>
      <w:r>
        <w:t xml:space="preserve">, </w:t>
      </w:r>
      <w:r>
        <w:rPr>
          <w:rStyle w:val="VARIABLE"/>
        </w:rPr>
        <w:t xml:space="preserve">innerStatusCode</w:t>
      </w:r>
      <w:r>
        <w:t xml:space="preserve">, and </w:t>
      </w:r>
      <w:r>
        <w:rPr>
          <w:rStyle w:val="VARIABLE"/>
        </w:rPr>
        <w:t xml:space="preserve">innerDiagnosticInfo</w:t>
      </w:r>
      <w:r>
        <w:t xml:space="preserve">. </w:t>
      </w:r>
      <w:r>
        <w:rPr>
          <w:rStyle w:val="VARIABLE"/>
        </w:rPr>
        <w:t xml:space="preserve">innerDiagnosticInfo</w:t>
      </w:r>
      <w:r>
        <w:t xml:space="preserve"> is a recursive reference to DiagnosticInfo. Null means the corresponding mask bit is not present; zero is a present numeric value and shall not be treated as absent.</w:t>
      </w:r>
    </w:p>
    <w:p w14:paraId="5DEE2B6F">
      <w:pPr>
        <w:pStyle w:val="Heading2"/>
      </w:pPr>
      <w:bookmarkStart w:id="490" w:name="_Clause_c6_6"/>
      <w:r>
        <w:t xml:space="preserve">Deterministic schema generation and SchemaId</w:t>
      </w:r>
      <w:bookmarkEnd w:id="490"/>
    </w:p>
    <w:p w14:paraId="760FCC7E">
      <w:pPr>
        <w:pStyle w:val="PARAGRAPH"/>
      </w:pPr>
      <w:r>
        <w:t xml:space="preserve">Schema generation is a deterministic function of the OPC UA type model. Encoding a value </w:t>
      </w:r>
      <w:r>
        <w:rPr>
          <w:b/>
        </w:rPr>
        <w:t xml:space="preserve">produces</w:t>
      </w:r>
      <w:r>
        <w:t xml:space="preserve"> its schema by this function, and the schema's CRC-64-AVRO fingerprint is the </w:t>
      </w:r>
      <w:r>
        <w:rPr>
          <w:b/>
        </w:rPr>
        <w:t xml:space="preserve">SchemaId</w:t>
      </w:r>
      <w:r>
        <w:t xml:space="preserve"> that identifies it (</w:t>
      </w:r>
      <w:r>
        <w:fldChar w:fldCharType="begin"/>
      </w:r>
      <w:r>
        <w:instrText xml:space="preserve"> REF _Clause_c6_6_3 \r \h </w:instrText>
      </w:r>
      <w:r>
        <w:fldChar w:fldCharType="separate"/>
      </w:r>
      <w:r>
        <w:rPr>
          <w:noProof/>
        </w:rPr>
        <w:t xml:space="preserve">6.6.3</w:t>
      </w:r>
      <w:r>
        <w:fldChar w:fldCharType="end"/>
      </w:r>
      <w:r>
        <w:t xml:space="preserve">). The encoder is never handed a schema — it derives one from the type model as it encodes; the same function lets a publisher compute the SchemaId it announces, and lets a decoder that lacks a shared schema produce one (</w:t>
      </w:r>
      <w:r>
        <w:fldChar w:fldCharType="begin"/>
      </w:r>
      <w:r>
        <w:instrText xml:space="preserve"> REF _Clause_c6_7 \r \h </w:instrText>
      </w:r>
      <w:r>
        <w:fldChar w:fldCharType="separate"/>
      </w:r>
      <w:r>
        <w:rPr>
          <w:noProof/>
        </w:rPr>
        <w:t xml:space="preserve">6.7</w:t>
      </w:r>
      <w:r>
        <w:fldChar w:fldCharType="end"/>
      </w:r>
      <w:r>
        <w:t xml:space="preserve">).</w:t>
      </w:r>
    </w:p>
    <w:p w14:paraId="25F64C2F">
      <w:pPr>
        <w:pStyle w:val="Heading3"/>
      </w:pPr>
      <w:bookmarkStart w:id="491" w:name="_Clause_c6_6_1"/>
      <w:r>
        <w:t xml:space="preserve">Inputs</w:t>
      </w:r>
      <w:bookmarkEnd w:id="491"/>
    </w:p>
    <w:p w14:paraId="4C0592E4">
      <w:pPr>
        <w:pStyle w:val="PARAGRAPH"/>
      </w:pPr>
      <w:r>
        <w:t xml:space="preserve">The inputs to schema generation are the OPC UA DataTypeDefinition of the value's declared DataType and, for Variant values and for fields declared as abstract or allowing subtypes, the concrete runtime built-in type or concrete structured DataType of the value. When a schema is </w:t>
      </w:r>
      <w:r>
        <w:rPr>
          <w:b/>
        </w:rPr>
        <w:t xml:space="preserve">grown</w:t>
      </w:r>
      <w:r>
        <w:t xml:space="preserve"> rather than created from scratch, the </w:t>
      </w:r>
      <w:r>
        <w:rPr>
          <w:b/>
        </w:rPr>
        <w:t xml:space="preserve">previous schema of the lineage is also an input</w:t>
      </w:r>
      <w:r>
        <w:t xml:space="preserve">: the generator appends the newly encountered Variant body form or ExtensionObject concrete type to that prior schema as an additional union branch (</w:t>
      </w:r>
      <w:r>
        <w:fldChar w:fldCharType="begin"/>
      </w:r>
      <w:r>
        <w:instrText xml:space="preserve"> REF _Clause_c6_6_4 \r \h </w:instrText>
      </w:r>
      <w:r>
        <w:fldChar w:fldCharType="separate"/>
      </w:r>
      <w:r>
        <w:rPr>
          <w:noProof/>
        </w:rPr>
        <w:t xml:space="preserve">6.6.4</w:t>
      </w:r>
      <w:r>
        <w:fldChar w:fldCharType="end"/>
      </w:r>
      <w:r>
        <w:t xml:space="preserve">), leaving every existing branch at its index. When </w:t>
      </w:r>
      <w:r>
        <w:rPr>
          <w:b/>
        </w:rPr>
        <w:t xml:space="preserve">no previous schema is supplied, generation starts a fresh lineage — a reset that begins a new MajorVersion</w:t>
      </w:r>
      <w:r>
        <w:t xml:space="preserve"> (</w:t>
      </w:r>
      <w:r>
        <w:fldChar w:fldCharType="begin"/>
      </w:r>
      <w:r>
        <w:instrText xml:space="preserve"> REF _Clause_c6_6_4 \r \h </w:instrText>
      </w:r>
      <w:r>
        <w:fldChar w:fldCharType="separate"/>
      </w:r>
      <w:r>
        <w:rPr>
          <w:noProof/>
        </w:rPr>
        <w:t xml:space="preserve">6.6.4</w:t>
      </w:r>
      <w:r>
        <w:fldChar w:fldCharType="end"/>
      </w:r>
      <w:r>
        <w:t xml:space="preserve">, </w:t>
      </w:r>
      <w:r>
        <w:fldChar w:fldCharType="begin"/>
      </w:r>
      <w:r>
        <w:instrText xml:space="preserve"> REF _Clause_c6_8_4_8 \r \h </w:instrText>
      </w:r>
      <w:r>
        <w:fldChar w:fldCharType="separate"/>
      </w:r>
      <w:r>
        <w:rPr>
          <w:noProof/>
        </w:rPr>
        <w:t xml:space="preserve">6.8.4.8</w:t>
      </w:r>
      <w:r>
        <w:fldChar w:fldCharType="end"/>
      </w:r>
      <w:r>
        <w:t xml:space="preserve">). An </w:t>
      </w:r>
      <w:r>
        <w:rPr>
          <w:b/>
        </w:rPr>
        <w:t xml:space="preserve">encoder</w:t>
      </w:r>
      <w:r>
        <w:t xml:space="preserve"> produces the schema from these inputs as it encodes the value; it is not handed a foreign schema to encode against. A </w:t>
      </w:r>
      <w:r>
        <w:rPr>
          <w:b/>
        </w:rPr>
        <w:t xml:space="preserve">decoder</w:t>
      </w:r>
      <w:r>
        <w:t xml:space="preserve"> that re-derives a schema uses the identical inputs: the DataTypeDefinition read from the AddressSpace and, where present, the inline Variant built-in type or ExtensionObject TypeId. Because both sides derive from one deterministic type model — and, for a grown lineage, the shared previous schema — they agree on every record, union branch and branch order. Where the AddressSpace is not available, the equivalent inputs may instead be taken from a DataSetMetaData message (</w:t>
      </w:r>
      <w:r>
        <w:fldChar w:fldCharType="begin"/>
      </w:r>
      <w:r>
        <w:instrText xml:space="preserve"> REF _Clause_c6_6_7 \r \h </w:instrText>
      </w:r>
      <w:r>
        <w:fldChar w:fldCharType="separate"/>
      </w:r>
      <w:r>
        <w:rPr>
          <w:noProof/>
        </w:rPr>
        <w:t xml:space="preserve">6.6.7</w:t>
      </w:r>
      <w:r>
        <w:fldChar w:fldCharType="end"/>
      </w:r>
      <w:r>
        <w:t xml:space="preserve">).</w:t>
      </w:r>
    </w:p>
    <w:p w14:paraId="42BDD758">
      <w:pPr>
        <w:pStyle w:val="Heading3"/>
      </w:pPr>
      <w:bookmarkStart w:id="492" w:name="_Clause_c6_6_2"/>
      <w:r>
        <w:t xml:space="preserve">Generation algorithm</w:t>
      </w:r>
      <w:bookmarkEnd w:id="492"/>
    </w:p>
    <w:p w14:paraId="186F7B78">
      <w:pPr>
        <w:pStyle w:val="PARAGRAPH"/>
      </w:pPr>
      <w:r>
        <w:t xml:space="preserve">The schema generator shall apply the following deterministic algorithm.</w:t>
      </w:r>
    </w:p>
    <w:p w14:paraId="572C9F40">
      <w:pPr>
        <w:pStyle w:val="ListNumber"/>
        <w:numPr>
          <w:ilvl w:val="0"/>
          <w:numId w:val="21"/>
        </w:numPr>
      </w:pPr>
      <w:r>
        <w:t xml:space="preserve">Resolve the DataTypeDefinition and all recursively referenced DataTypes. Built-in DataTypes use the mappings in </w:t>
      </w:r>
      <w:r>
        <w:fldChar w:fldCharType="begin"/>
      </w:r>
      <w:r>
        <w:instrText xml:space="preserve"> REF _Clause_c6_5_2 \r \h </w:instrText>
      </w:r>
      <w:r>
        <w:fldChar w:fldCharType="separate"/>
      </w:r>
      <w:r>
        <w:rPr>
          <w:noProof/>
        </w:rPr>
        <w:t xml:space="preserve">6.5.2</w:t>
      </w:r>
      <w:r>
        <w:fldChar w:fldCharType="end"/>
      </w:r>
      <w:r>
        <w:t xml:space="preserve">. Enumerations and OptionSets use the numeric representation in </w:t>
      </w:r>
      <w:r>
        <w:fldChar w:fldCharType="begin"/>
      </w:r>
      <w:r>
        <w:instrText xml:space="preserve"> REF _Clause_c6_5_3 \r \h </w:instrText>
      </w:r>
      <w:r>
        <w:fldChar w:fldCharType="separate"/>
      </w:r>
      <w:r>
        <w:rPr>
          <w:noProof/>
        </w:rPr>
        <w:t xml:space="preserve">6.5.3</w:t>
      </w:r>
      <w:r>
        <w:fldChar w:fldCharType="end"/>
      </w:r>
      <w:r>
        <w:t xml:space="preserve">.</w:t>
      </w:r>
    </w:p>
    <w:p w14:paraId="7323D8EA">
      <w:pPr>
        <w:pStyle w:val="ListNumber"/>
        <w:numPr>
          <w:ilvl w:val="0"/>
          <w:numId w:val="21"/>
        </w:numPr>
      </w:pPr>
      <w:r>
        <w:t xml:space="preserve">Assign Avro names by converting OPC UA DataType and field names to legal Avro names: replace each character outside </w:t>
      </w:r>
      <w:r>
        <w:rPr>
          <w:rStyle w:val="VARIABLE"/>
        </w:rPr>
        <w:t xml:space="preserve">[A-Za-z0-9_]</w:t>
      </w:r>
      <w:r>
        <w:t xml:space="preserve"> with </w:t>
      </w:r>
      <w:r>
        <w:rPr>
          <w:rStyle w:val="VARIABLE"/>
        </w:rPr>
        <w:t xml:space="preserve">_</w:t>
      </w:r>
      <w:r>
        <w:t xml:space="preserve">; if the first character is not </w:t>
      </w:r>
      <w:r>
        <w:rPr>
          <w:rStyle w:val="VARIABLE"/>
        </w:rPr>
        <w:t xml:space="preserve">[A-Za-z_]</w:t>
      </w:r>
      <w:r>
        <w:t xml:space="preserve">, prefix </w:t>
      </w:r>
      <w:r>
        <w:rPr>
          <w:rStyle w:val="VARIABLE"/>
        </w:rPr>
        <w:t xml:space="preserve">T_</w:t>
      </w:r>
      <w:r>
        <w:t xml:space="preserve">. Names in the base namespace use Avro namespace </w:t>
      </w:r>
      <w:r>
        <w:rPr>
          <w:rStyle w:val="VARIABLE"/>
        </w:rPr>
        <w:t xml:space="preserve">org.opcfoundation.ua.avro</w:t>
      </w:r>
      <w:r>
        <w:t xml:space="preserve">. Growing Variant/ExtensionObject records and the containers that hold them are named per field by default (</w:t>
      </w:r>
      <w:r>
        <w:fldChar w:fldCharType="begin"/>
      </w:r>
      <w:r>
        <w:instrText xml:space="preserve"> REF _Clause_c6_6_6 \r \h </w:instrText>
      </w:r>
      <w:r>
        <w:fldChar w:fldCharType="separate"/>
      </w:r>
      <w:r>
        <w:rPr>
          <w:noProof/>
        </w:rPr>
        <w:t xml:space="preserve">6.6.6</w:t>
      </w:r>
      <w:r>
        <w:fldChar w:fldCharType="end"/>
      </w:r>
      <w:r>
        <w:t xml:space="preserve">).</w:t>
      </w:r>
    </w:p>
    <w:p w14:paraId="46AB9457">
      <w:pPr>
        <w:pStyle w:val="ListNumber"/>
        <w:numPr>
          <w:ilvl w:val="0"/>
          <w:numId w:val="21"/>
        </w:numPr>
      </w:pPr>
      <w:r>
        <w:t xml:space="preserve">Emit record fields in exactly the DataTypeDefinition field order. The generator shall not sort fields, omit disabled optional fields from the schema, or reorder union branches for local convenience.</w:t>
      </w:r>
    </w:p>
    <w:p w14:paraId="0A4066ED">
      <w:pPr>
        <w:pStyle w:val="ListNumber"/>
        <w:numPr>
          <w:ilvl w:val="0"/>
          <w:numId w:val="21"/>
        </w:numPr>
      </w:pPr>
      <w:r>
        <w:t xml:space="preserve">For nullable values, emit an Avro union ordered as </w:t>
      </w:r>
      <w:r>
        <w:rPr>
          <w:rStyle w:val="VARIABLE"/>
        </w:rPr>
        <w:t xml:space="preserve">["null", T]</w:t>
      </w:r>
      <w:r>
        <w:t xml:space="preserve"> and set the default to </w:t>
      </w:r>
      <w:r>
        <w:rPr>
          <w:rStyle w:val="VARIABLE"/>
        </w:rPr>
        <w:t xml:space="preserve">null</w:t>
      </w:r>
      <w:r>
        <w:t xml:space="preserve"> where Avro requires a default. Mandatory nullable fields remain mandatory record fields whose value type is nullable.</w:t>
      </w:r>
    </w:p>
    <w:p w14:paraId="65D481DE">
      <w:pPr>
        <w:pStyle w:val="ListNumber"/>
        <w:numPr>
          <w:ilvl w:val="0"/>
          <w:numId w:val="21"/>
        </w:numPr>
      </w:pPr>
      <w:r>
        <w:t xml:space="preserve">For StructureWithOptionalFields, emit one nullable wrapper record per optional field, named </w:t>
      </w:r>
      <w:r>
        <w:rPr>
          <w:rStyle w:val="VARIABLE"/>
        </w:rPr>
        <w:t xml:space="preserve">&lt;Structure&gt;_&lt;Field&gt;_Optional</w:t>
      </w:r>
      <w:r>
        <w:t xml:space="preserve">, with a single </w:t>
      </w:r>
      <w:r>
        <w:rPr>
          <w:rStyle w:val="VARIABLE"/>
        </w:rPr>
        <w:t xml:space="preserve">value</w:t>
      </w:r>
      <w:r>
        <w:t xml:space="preserve"> field. The wrapper null means absent; a non-null wrapper whose value is null means present-null.</w:t>
      </w:r>
    </w:p>
    <w:p w14:paraId="14BFF428">
      <w:pPr>
        <w:pStyle w:val="ListNumber"/>
        <w:numPr>
          <w:ilvl w:val="0"/>
          <w:numId w:val="21"/>
        </w:numPr>
      </w:pPr>
      <w:r>
        <w:t xml:space="preserve">For Union DataTypes, emit a record with </w:t>
      </w:r>
      <w:r>
        <w:rPr>
          <w:rStyle w:val="VARIABLE"/>
        </w:rPr>
        <w:t xml:space="preserve">switch</w:t>
      </w:r>
      <w:r>
        <w:t xml:space="preserve"> and </w:t>
      </w:r>
      <w:r>
        <w:rPr>
          <w:rStyle w:val="VARIABLE"/>
        </w:rPr>
        <w:t xml:space="preserve">value</w:t>
      </w:r>
      <w:r>
        <w:t xml:space="preserve">. The </w:t>
      </w:r>
      <w:r>
        <w:rPr>
          <w:rStyle w:val="VARIABLE"/>
        </w:rPr>
        <w:t xml:space="preserve">value</w:t>
      </w:r>
      <w:r>
        <w:t xml:space="preserve"> union starts with null and then one single-field branch record for each union field in DataTypeDefinition order.</w:t>
      </w:r>
    </w:p>
    <w:p w14:paraId="0AD852CE">
      <w:pPr>
        <w:pStyle w:val="ListNumber"/>
        <w:numPr>
          <w:ilvl w:val="0"/>
          <w:numId w:val="21"/>
        </w:numPr>
      </w:pPr>
      <w:r>
        <w:t xml:space="preserve">For arrays, emit an Avro array whose item schema is nullable only when the element type can carry null. For matrices, emit a record with </w:t>
      </w:r>
      <w:r>
        <w:rPr>
          <w:rStyle w:val="VARIABLE"/>
        </w:rPr>
        <w:t xml:space="preserve">dimensions</w:t>
      </w:r>
      <w:r>
        <w:t xml:space="preserve"> as an array of Avro </w:t>
      </w:r>
      <w:r>
        <w:rPr>
          <w:rStyle w:val="VARIABLE"/>
        </w:rPr>
        <w:t xml:space="preserve">int</w:t>
      </w:r>
      <w:r>
        <w:t xml:space="preserve"> and </w:t>
      </w:r>
      <w:r>
        <w:rPr>
          <w:rStyle w:val="VARIABLE"/>
        </w:rPr>
        <w:t xml:space="preserve">values</w:t>
      </w:r>
      <w:r>
        <w:t xml:space="preserve"> as the row-major Avro array of elements.</w:t>
      </w:r>
    </w:p>
    <w:p w14:paraId="377585DF">
      <w:pPr>
        <w:pStyle w:val="ListNumber"/>
        <w:numPr>
          <w:ilvl w:val="0"/>
          <w:numId w:val="21"/>
        </w:numPr>
      </w:pPr>
      <w:r>
        <w:t xml:space="preserve">For Variant, abstract fields, and fields allowing subtypes, carry the runtime type inline: Variant carries </w:t>
      </w:r>
      <w:r>
        <w:rPr>
          <w:rStyle w:val="VARIABLE"/>
        </w:rPr>
        <w:t xml:space="preserve">builtInType</w:t>
      </w:r>
      <w:r>
        <w:t xml:space="preserve">, dimensions and one record-wrapped body branch; abstract or subtyped structured values use ExtensionObject TypeId and the concrete body branch. The same runtime type information is used by encoder and decoder to choose the schema branch.</w:t>
      </w:r>
    </w:p>
    <w:p w14:paraId="78438781">
      <w:pPr>
        <w:pStyle w:val="ListNumber"/>
        <w:numPr>
          <w:ilvl w:val="0"/>
          <w:numId w:val="21"/>
        </w:numPr>
      </w:pPr>
      <w:r>
        <w:t xml:space="preserve">Before computing a SchemaId or announcing a schema, make the schema self-contained: inline every referenced named type at its first occurrence, using the recursively resolved definitions from step 1; for recursive or repeated named types, use Avro named references after the first definition.</w:t>
      </w:r>
    </w:p>
    <w:p w14:paraId="5FFBC55E">
      <w:pPr>
        <w:pStyle w:val="PARAGRAPH"/>
      </w:pPr>
      <w:r>
        <w:t xml:space="preserve">The canonical form used for SchemaId shall be the Apache Avro Parsing Canonical Form of that self-contained schema. The </w:t>
      </w:r>
      <w:r>
        <w:rPr>
          <w:b/>
        </w:rPr>
        <w:t xml:space="preserve">SchemaId</w:t>
      </w:r>
      <w:r>
        <w:t xml:space="preserve"> shall be the CRC-64-AVRO Rabin fingerprint of the Parsing Canonical Form bytes, represented as the 8 fingerprint bytes in little-endian hexadecimal. This is the same byte order used by Avro single-object encoding (</w:t>
      </w:r>
      <w:r>
        <w:rPr>
          <w:rStyle w:val="VARIABLE"/>
        </w:rPr>
        <w:t xml:space="preserve">0xC3 0x01</w:t>
      </w:r>
      <w:r>
        <w:t xml:space="preserve"> followed by the 8-byte little-endian Rabin fingerprint).</w:t>
      </w:r>
    </w:p>
    <w:p w14:paraId="66237FD1">
      <w:pPr>
        <w:pStyle w:val="Heading3"/>
      </w:pPr>
      <w:bookmarkStart w:id="493" w:name="_Clause_c6_6_3"/>
      <w:r>
        <w:t xml:space="preserve">SchemaId use</w:t>
      </w:r>
      <w:bookmarkEnd w:id="493"/>
    </w:p>
    <w:p w14:paraId="60455D2B">
      <w:pPr>
        <w:pStyle w:val="PARAGRAPH"/>
      </w:pPr>
      <w:r>
        <w:t xml:space="preserve">A producer shall recompute the SchemaId from the self-contained canonical schema before writing a value or message. Two schemas with different field order, optional-field wrappers, union branch order, runtime Variant body type, matrix record shape, or referenced concrete structured DataType definition shall have different SchemaIds. A consumer shall treat the SchemaId as identifying the exact self-contained Avro Parsing Canonical Form, not merely a DataType NodeId or a PubSub ConfigurationVersion.</w:t>
      </w:r>
    </w:p>
    <w:p w14:paraId="2A2BF77B">
      <w:pPr>
        <w:pStyle w:val="Heading3"/>
      </w:pPr>
      <w:bookmarkStart w:id="494" w:name="_Clause_c6_6_4"/>
      <w:r>
        <w:t xml:space="preserve">Implementing schema evolution (growing unions)</w:t>
      </w:r>
      <w:bookmarkEnd w:id="494"/>
    </w:p>
    <w:p w14:paraId="7AD818A9">
      <w:pPr>
        <w:pStyle w:val="PARAGRAPH"/>
      </w:pPr>
      <w:r>
        <w:t xml:space="preserve">The Variant body-type union (</w:t>
      </w:r>
      <w:r>
        <w:fldChar w:fldCharType="begin"/>
      </w:r>
      <w:r>
        <w:instrText xml:space="preserve"> REF _Clause_c6_5_8 \r \h </w:instrText>
      </w:r>
      <w:r>
        <w:fldChar w:fldCharType="separate"/>
      </w:r>
      <w:r>
        <w:rPr>
          <w:noProof/>
        </w:rPr>
        <w:t xml:space="preserve">6.5.8</w:t>
      </w:r>
      <w:r>
        <w:fldChar w:fldCharType="end"/>
      </w:r>
      <w:r>
        <w:t xml:space="preserve">) and the ExtensionObject known-struct union (</w:t>
      </w:r>
      <w:r>
        <w:fldChar w:fldCharType="begin"/>
      </w:r>
      <w:r>
        <w:instrText xml:space="preserve"> REF _Clause_c6_5_9 \r \h </w:instrText>
      </w:r>
      <w:r>
        <w:fldChar w:fldCharType="separate"/>
      </w:r>
      <w:r>
        <w:rPr>
          <w:noProof/>
        </w:rPr>
        <w:t xml:space="preserve">6.5.9</w:t>
      </w:r>
      <w:r>
        <w:fldChar w:fldCharType="end"/>
      </w:r>
      <w:r>
        <w:t xml:space="preserve">) are the only two Avro unions that may grow after a schema is first announced; every other union is closed. An implementer that governs an evolving schema shall grow these two unions </w:t>
      </w:r>
      <w:r>
        <w:rPr>
          <w:b/>
        </w:rPr>
        <w:t xml:space="preserve">append-only</w:t>
      </w:r>
      <w:r>
        <w:t xml:space="preserve">, as defined by </w:t>
      </w:r>
      <w:r>
        <w:rPr>
          <w:i/>
        </w:rPr>
        <w:t xml:space="preserve">OPC UA — Schema Registry</w:t>
      </w:r>
      <w:r>
        <w:t xml:space="preserve"> </w:t>
      </w:r>
      <w:r>
        <w:t xml:space="preserve">§5.6</w:t>
      </w:r>
      <w:r>
        <w:t xml:space="preserve">, using the following procedure.</w:t>
      </w:r>
    </w:p>
    <w:p w14:paraId="3C5A6CD3">
      <w:pPr>
        <w:pStyle w:val="ListNumber"/>
        <w:numPr>
          <w:ilvl w:val="0"/>
          <w:numId w:val="21"/>
        </w:numPr>
      </w:pPr>
      <w:r>
        <w:rPr>
          <w:b/>
        </w:rPr>
        <w:t xml:space="preserve">Narrow the initial union.</w:t>
      </w:r>
      <w:r>
        <w:t xml:space="preserve"> Prefer to build the initial (</w:t>
      </w:r>
      <w:r>
        <w:rPr>
          <w:rStyle w:val="VARIABLE"/>
        </w:rPr>
        <w:t xml:space="preserve">MAJOR.0</w:t>
      </w:r>
      <w:r>
        <w:t xml:space="preserve">) union </w:t>
      </w:r>
      <w:r>
        <w:rPr>
          <w:b/>
        </w:rPr>
        <w:t xml:space="preserve">data-driven</w:t>
      </w:r>
      <w:r>
        <w:t xml:space="preserve">, from the concrete type of the first value the field actually encodes: a Variant carrying an </w:t>
      </w:r>
      <w:r>
        <w:rPr>
          <w:rStyle w:val="VARIABLE"/>
        </w:rPr>
        <w:t xml:space="preserve">Int32</w:t>
      </w:r>
      <w:r>
        <w:t xml:space="preserve"> scalar starts </w:t>
      </w:r>
      <w:r>
        <w:rPr>
          <w:rStyle w:val="VARIABLE"/>
        </w:rPr>
        <w:t xml:space="preserve">["null", "VariantInt32Scalar"]</w:t>
      </w:r>
      <w:r>
        <w:t xml:space="preserve">; an ExtensionObject whose first body is a </w:t>
      </w:r>
      <w:r>
        <w:rPr>
          <w:rStyle w:val="VARIABLE"/>
        </w:rPr>
        <w:t xml:space="preserve">Point</w:t>
      </w:r>
      <w:r>
        <w:t xml:space="preserve"> starts </w:t>
      </w:r>
      <w:r>
        <w:rPr>
          <w:rStyle w:val="VARIABLE"/>
        </w:rPr>
        <w:t xml:space="preserve">["null", "Point"]</w:t>
      </w:r>
      <w:r>
        <w:t xml:space="preserve">; an opaque first body starts </w:t>
      </w:r>
      <w:r>
        <w:rPr>
          <w:rStyle w:val="VARIABLE"/>
        </w:rPr>
        <w:t xml:space="preserve">["null", "bytes"]</w:t>
      </w:r>
      <w:r>
        <w:t xml:space="preserve">. The concrete body type stands in place of the abstract Variant/ExtensionObject, unioned with </w:t>
      </w:r>
      <w:r>
        <w:rPr>
          <w:rStyle w:val="VARIABLE"/>
        </w:rPr>
        <w:t xml:space="preserve">null</w:t>
      </w:r>
      <w:r>
        <w:t xml:space="preserve">, and the union is grown at that position (steps 2–3) as later values carry types not yet present. The encoder MAY instead seed the union </w:t>
      </w:r>
      <w:r>
        <w:rPr>
          <w:b/>
        </w:rPr>
        <w:t xml:space="preserve">schema-driven</w:t>
      </w:r>
      <w:r>
        <w:t xml:space="preserve"> from the declared bound — for a Variant field whose declared DataType constrains the allowed body types, exactly those </w:t>
      </w:r>
      <w:r>
        <w:rPr>
          <w:rStyle w:val="VARIABLE"/>
        </w:rPr>
        <w:t xml:space="preserve">Variant&lt;Type&gt;Scalar</w:t>
      </w:r>
      <w:r>
        <w:t xml:space="preserve">, </w:t>
      </w:r>
      <w:r>
        <w:rPr>
          <w:rStyle w:val="VARIABLE"/>
        </w:rPr>
        <w:t xml:space="preserve">Variant&lt;Type&gt;Array</w:t>
      </w:r>
      <w:r>
        <w:t xml:space="preserve"> and </w:t>
      </w:r>
      <w:r>
        <w:rPr>
          <w:rStyle w:val="VARIABLE"/>
        </w:rPr>
        <w:t xml:space="preserve">Variant&lt;Type&gt;MatrixBody</w:t>
      </w:r>
      <w:r>
        <w:t xml:space="preserve"> branches; for an ExtensionObject or abstract/subtyped field, the record branch of every concrete subtype known from the AddressSpace or schema registry, in canonical order — where a schema is needed before the first message or where cross-publisher determinism is required (see </w:t>
      </w:r>
      <w:r>
        <w:rPr>
          <w:i/>
        </w:rPr>
        <w:t xml:space="preserve">OPC UA — Schema Registry</w:t>
      </w:r>
      <w:r>
        <w:t xml:space="preserve"> </w:t>
      </w:r>
      <w:r>
        <w:t xml:space="preserve">§5.6</w:t>
      </w:r>
      <w:r>
        <w:t xml:space="preserve">).</w:t>
      </w:r>
    </w:p>
    <w:p w14:paraId="5F1E1607">
      <w:pPr>
        <w:pStyle w:val="ListNumber"/>
        <w:numPr>
          <w:ilvl w:val="0"/>
          <w:numId w:val="21"/>
        </w:numPr>
      </w:pPr>
      <w:r>
        <w:rPr>
          <w:b/>
        </w:rPr>
        <w:t xml:space="preserve">Grow append-only.</w:t>
      </w:r>
      <w:r>
        <w:t xml:space="preserve"> When a value selects a body type or concrete struct type not yet present, </w:t>
      </w:r>
      <w:r>
        <w:rPr>
          <w:b/>
        </w:rPr>
        <w:t xml:space="preserve">append</w:t>
      </w:r>
      <w:r>
        <w:t xml:space="preserve"> the corresponding branch record to the end of the Avro union array and leave every existing branch at its current position. Because an Avro binary union is encoded as the zig-zag branch index followed by the branch value, appending never changes an existing branch index, so a message written under an earlier schema still selects the same branch under the grown schema. Do not reorder, remove or retype an existing branch; any such change is a MajorVersion reset, not an aggregation.</w:t>
      </w:r>
    </w:p>
    <w:p w14:paraId="06227C89">
      <w:pPr>
        <w:pStyle w:val="ListNumber"/>
        <w:numPr>
          <w:ilvl w:val="0"/>
          <w:numId w:val="21"/>
        </w:numPr>
      </w:pPr>
      <w:r>
        <w:rPr>
          <w:b/>
        </w:rPr>
        <w:t xml:space="preserve">Append the opaque fallback like any other branch.</w:t>
      </w:r>
      <w:r>
        <w:t xml:space="preserve"> An ExtensionObject body that cannot be represented as a known-struct record is carried in an opaque fallback branch — </w:t>
      </w:r>
      <w:r>
        <w:rPr>
          <w:rStyle w:val="VARIABLE"/>
        </w:rPr>
        <w:t xml:space="preserve">"bytes"</w:t>
      </w:r>
      <w:r>
        <w:t xml:space="preserve"> for a Binary body, or </w:t>
      </w:r>
      <w:r>
        <w:rPr>
          <w:rStyle w:val="VARIABLE"/>
        </w:rPr>
        <w:t xml:space="preserve">"string"</w:t>
      </w:r>
      <w:r>
        <w:t xml:space="preserve"> for an XML or textual body. A fallback branch is </w:t>
      </w:r>
      <w:r>
        <w:rPr>
          <w:b/>
        </w:rPr>
        <w:t xml:space="preserve">appended</w:t>
      </w:r>
      <w:r>
        <w:t xml:space="preserve"> when a value first requires it, exactly like a known-struct branch (step 2); it is not reserved at a fixed index and may therefore occupy any position. For example a body union may grow </w:t>
      </w:r>
      <w:r>
        <w:rPr>
          <w:rStyle w:val="VARIABLE"/>
        </w:rPr>
        <w:t xml:space="preserve">["null", &lt;Struct&gt;]</w:t>
      </w:r>
      <w:r>
        <w:t xml:space="preserve"> → </w:t>
      </w:r>
      <w:r>
        <w:rPr>
          <w:rStyle w:val="VARIABLE"/>
        </w:rPr>
        <w:t xml:space="preserve">["null", &lt;Struct&gt;, "bytes"]</w:t>
      </w:r>
      <w:r>
        <w:t xml:space="preserve"> → </w:t>
      </w:r>
      <w:r>
        <w:rPr>
          <w:rStyle w:val="VARIABLE"/>
        </w:rPr>
        <w:t xml:space="preserve">["null", &lt;Struct&gt;, "bytes", &lt;Struct'&gt;]</w:t>
      </w:r>
      <w:r>
        <w:t xml:space="preserve">. Because every branch is append-only, a fallback's index is fixed once appended, so an opaque body written under an earlier minor still decodes to the same fallback branch under a grown schema.</w:t>
      </w:r>
    </w:p>
    <w:p w14:paraId="1EEB4723">
      <w:pPr>
        <w:pStyle w:val="ListNumber"/>
        <w:numPr>
          <w:ilvl w:val="0"/>
          <w:numId w:val="21"/>
        </w:numPr>
      </w:pPr>
      <w:r>
        <w:rPr>
          <w:b/>
        </w:rPr>
        <w:t xml:space="preserve">Recompute the SchemaId, publish and announce.</w:t>
      </w:r>
      <w:r>
        <w:t xml:space="preserve"> Each grown union is a new self-contained schema; recompute the CRC-64-AVRO SchemaId per </w:t>
      </w:r>
      <w:r>
        <w:fldChar w:fldCharType="begin"/>
      </w:r>
      <w:r>
        <w:instrText xml:space="preserve"> REF _Clause_c6_6 \r \h </w:instrText>
      </w:r>
      <w:r>
        <w:fldChar w:fldCharType="separate"/>
      </w:r>
      <w:r>
        <w:rPr>
          <w:noProof/>
        </w:rPr>
        <w:t xml:space="preserve">6.6</w:t>
      </w:r>
      <w:r>
        <w:fldChar w:fldCharType="end"/>
      </w:r>
      <w:r>
        <w:t xml:space="preserve">, advance the DataSet </w:t>
      </w:r>
      <w:r>
        <w:rPr>
          <w:rStyle w:val="VARIABLE"/>
        </w:rPr>
        <w:t xml:space="preserve">ConfigurationVersion</w:t>
      </w:r>
      <w:r>
        <w:t xml:space="preserve"> MinorVersion, then </w:t>
      </w:r>
      <w:r>
        <w:rPr>
          <w:b/>
        </w:rPr>
        <w:t xml:space="preserve">publish the new schema to subscribers — both by registering it in the Schema Registry (</w:t>
      </w:r>
      <w:r>
        <w:rPr>
          <w:b/>
          <w:i/>
        </w:rPr>
        <w:t xml:space="preserve">OPC UA — Schema Registry</w:t>
      </w:r>
      <w:r>
        <w:rPr>
          <w:b/>
        </w:rPr>
        <w:t xml:space="preserve"> </w:t>
      </w:r>
      <w:r>
        <w:rPr>
          <w:b/>
        </w:rPr>
        <w:t xml:space="preserve">§5.2</w:t>
      </w:r>
      <w:r>
        <w:rPr>
          <w:b/>
        </w:rPr>
        <w:t xml:space="preserve">) and by re-announcing the schema and SchemaId over the Part 14 handshake (</w:t>
      </w:r>
      <w:r>
        <w:rPr>
          <w:b/>
        </w:rPr>
        <w:t xml:space="preserve">§8.4</w:t>
      </w:r>
      <w:r>
        <w:rPr>
          <w:b/>
        </w:rPr>
        <w:t xml:space="preserve">)</w:t>
      </w:r>
      <w:r>
        <w:t xml:space="preserve"> — before sending a message that uses the appended branch.</w:t>
      </w:r>
    </w:p>
    <w:p w14:paraId="3D370BE4">
      <w:pPr>
        <w:pStyle w:val="ListNumber"/>
        <w:numPr>
          <w:ilvl w:val="0"/>
          <w:numId w:val="21"/>
        </w:numPr>
      </w:pPr>
      <w:r>
        <w:rPr>
          <w:b/>
        </w:rPr>
        <w:t xml:space="preserve">Decode with the latest minor.</w:t>
      </w:r>
      <w:r>
        <w:t xml:space="preserve"> A decoder that holds the latest minor of a lineage decodes every earlier-minor message of that lineage directly, because reading the branch index resolves to the same branch. A decoder that lacks the exact writer SchemaId may decode with a later minor of the same lineage after confirming, from the registry or announced lineage, that the on-wire SchemaId is an earlier minor of it (Schema Registry </w:t>
      </w:r>
      <w:r>
        <w:t xml:space="preserve">§7</w:t>
      </w:r>
      <w:r>
        <w:t xml:space="preserve">, </w:t>
      </w:r>
      <w:r>
        <w:t xml:space="preserve">§8</w:t>
      </w:r>
      <w:r>
        <w:t xml:space="preserve">); it shall not compare the on-wire fingerprint against the later schema's canonical form.</w:t>
      </w:r>
    </w:p>
    <w:p w14:paraId="4759A901">
      <w:pPr>
        <w:pStyle w:val="PARAGRAPH"/>
      </w:pPr>
      <w:r>
        <w:t xml:space="preserve">An executable reference of this procedure — narrow schema, append-only growth (including opaque fallbacks appended at any position), latest-minor-decodes-older and distinct per-minor SchemaIds — is </w:t>
      </w:r>
      <w:r>
        <w:rPr>
          <w:rStyle w:val="VARIABLE"/>
        </w:rPr>
        <w:t xml:space="preserve">../extras/avro-encoding/tools/evolution_demo.py</w:t>
      </w:r>
      <w:r>
        <w:t xml:space="preserve">, and a fully worked lineage with concrete schemas, per-minor SchemaIds and a backward-compatible decode is in Annex C. See </w:t>
      </w:r>
      <w:r>
        <w:rPr>
          <w:i/>
        </w:rPr>
        <w:t xml:space="preserve">OPC UA — Schema Registry</w:t>
      </w:r>
      <w:r>
        <w:t xml:space="preserve"> </w:t>
      </w:r>
      <w:r>
        <w:t xml:space="preserve">§5.6</w:t>
      </w:r>
      <w:r>
        <w:t xml:space="preserve"> for the full model, including the data-driven-first (or schema-driven) initial basis and the lineage/SchemaId relationship.</w:t>
      </w:r>
    </w:p>
    <w:p w14:paraId="77F66D8C">
      <w:pPr>
        <w:pStyle w:val="Heading3"/>
      </w:pPr>
      <w:bookmarkStart w:id="495" w:name="_Clause_c6_6_5"/>
      <w:r>
        <w:t xml:space="preserve">NamespaceUri to Avro namespace mapping</w:t>
      </w:r>
      <w:bookmarkEnd w:id="495"/>
    </w:p>
    <w:p w14:paraId="03223E3D">
      <w:pPr>
        <w:pStyle w:val="PARAGRAPH"/>
      </w:pPr>
      <w:r>
        <w:t xml:space="preserve">Avro schema names generated from the base OPC UA namespace use the Avro namespace </w:t>
      </w:r>
      <w:r>
        <w:rPr>
          <w:rStyle w:val="VARIABLE"/>
        </w:rPr>
        <w:t xml:space="preserve">org.opcfoundation.ua.avro</w:t>
      </w:r>
      <w:r>
        <w:t xml:space="preserve">. Types generated from any other OPC UA NamespaceUri — a companion specification or a vendor namespace — shall be placed in an Avro namespace derived from that NamespaceUri by the following deterministic function, so that an encoder and a decoder compute the same fully-qualified Avro names.</w:t>
      </w:r>
    </w:p>
    <w:p w14:paraId="32F77638">
      <w:pPr>
        <w:pStyle w:val="PARAGRAPH"/>
      </w:pPr>
      <w:r>
        <w:t xml:space="preserve">Given a NamespaceUri:</w:t>
      </w:r>
    </w:p>
    <w:p w14:paraId="574FFB8E">
      <w:pPr>
        <w:pStyle w:val="ListNumber"/>
        <w:numPr>
          <w:ilvl w:val="0"/>
          <w:numId w:val="21"/>
        </w:numPr>
      </w:pPr>
      <w:r>
        <w:rPr>
          <w:b/>
        </w:rPr>
        <w:t xml:space="preserve">Parse the URI.</w:t>
      </w:r>
      <w:r>
        <w:t xml:space="preserve"> Take its authority (host) and its path. A NamespaceUri that is not an absolute URI with an authority (for example a bare URN) skips steps 2–3 and applies step 4 to its scheme-specific part split on </w:t>
      </w:r>
      <w:r>
        <w:rPr>
          <w:rStyle w:val="VARIABLE"/>
        </w:rPr>
        <w:t xml:space="preserve">:</w:t>
      </w:r>
      <w:r>
        <w:t xml:space="preserve"> and </w:t>
      </w:r>
      <w:r>
        <w:rPr>
          <w:rStyle w:val="VARIABLE"/>
        </w:rPr>
        <w:t xml:space="preserve">/</w:t>
      </w:r>
      <w:r>
        <w:t xml:space="preserve">.</w:t>
      </w:r>
    </w:p>
    <w:p w14:paraId="1306E3E5">
      <w:pPr>
        <w:pStyle w:val="ListNumber"/>
        <w:numPr>
          <w:ilvl w:val="0"/>
          <w:numId w:val="21"/>
        </w:numPr>
      </w:pPr>
      <w:r>
        <w:rPr>
          <w:b/>
        </w:rPr>
        <w:t xml:space="preserve">Reverse the authority.</w:t>
      </w:r>
      <w:r>
        <w:t xml:space="preserve"> Split the host on </w:t>
      </w:r>
      <w:r>
        <w:rPr>
          <w:rStyle w:val="VARIABLE"/>
        </w:rPr>
        <w:t xml:space="preserve">.</w:t>
      </w:r>
      <w:r>
        <w:t xml:space="preserve">, reverse the labels and join them with </w:t>
      </w:r>
      <w:r>
        <w:rPr>
          <w:rStyle w:val="VARIABLE"/>
        </w:rPr>
        <w:t xml:space="preserve">.</w:t>
      </w:r>
      <w:r>
        <w:t xml:space="preserve">; </w:t>
      </w:r>
      <w:r>
        <w:rPr>
          <w:rStyle w:val="VARIABLE"/>
        </w:rPr>
        <w:t xml:space="preserve">example.org</w:t>
      </w:r>
      <w:r>
        <w:t xml:space="preserve"> becomes </w:t>
      </w:r>
      <w:r>
        <w:rPr>
          <w:rStyle w:val="VARIABLE"/>
        </w:rPr>
        <w:t xml:space="preserve">org.example</w:t>
      </w:r>
      <w:r>
        <w:t xml:space="preserve">. Any port, userinfo or trailing dot is removed before reversal.</w:t>
      </w:r>
    </w:p>
    <w:p w14:paraId="621242B9">
      <w:pPr>
        <w:pStyle w:val="ListNumber"/>
        <w:numPr>
          <w:ilvl w:val="0"/>
          <w:numId w:val="21"/>
        </w:numPr>
      </w:pPr>
      <w:r>
        <w:rPr>
          <w:b/>
        </w:rPr>
        <w:t xml:space="preserve">Append the path.</w:t>
      </w:r>
      <w:r>
        <w:t xml:space="preserve"> Split the path on </w:t>
      </w:r>
      <w:r>
        <w:rPr>
          <w:rStyle w:val="VARIABLE"/>
        </w:rPr>
        <w:t xml:space="preserve">/</w:t>
      </w:r>
      <w:r>
        <w:t xml:space="preserve">, drop empty segments, and append them in order; </w:t>
      </w:r>
      <w:r>
        <w:rPr>
          <w:rStyle w:val="VARIABLE"/>
        </w:rPr>
        <w:t xml:space="preserve">/UA/Line3/</w:t>
      </w:r>
      <w:r>
        <w:t xml:space="preserve"> becomes </w:t>
      </w:r>
      <w:r>
        <w:rPr>
          <w:rStyle w:val="VARIABLE"/>
        </w:rPr>
        <w:t xml:space="preserve">.ua.line3</w:t>
      </w:r>
      <w:r>
        <w:t xml:space="preserve">.</w:t>
      </w:r>
    </w:p>
    <w:p w14:paraId="636229AE">
      <w:pPr>
        <w:pStyle w:val="ListNumber"/>
        <w:numPr>
          <w:ilvl w:val="0"/>
          <w:numId w:val="21"/>
        </w:numPr>
      </w:pPr>
      <w:r>
        <w:rPr>
          <w:b/>
        </w:rPr>
        <w:t xml:space="preserve">Make each part a legal Avro name.</w:t>
      </w:r>
      <w:r>
        <w:t xml:space="preserve"> Lower-case the whole result; replace every character outside </w:t>
      </w:r>
      <w:r>
        <w:rPr>
          <w:rStyle w:val="VARIABLE"/>
        </w:rPr>
        <w:t xml:space="preserve">[a-z0-9_]</w:t>
      </w:r>
      <w:r>
        <w:t xml:space="preserve"> with </w:t>
      </w:r>
      <w:r>
        <w:rPr>
          <w:rStyle w:val="VARIABLE"/>
        </w:rPr>
        <w:t xml:space="preserve">_</w:t>
      </w:r>
      <w:r>
        <w:t xml:space="preserve">; if any resulting part is empty or begins with a digit, prefix that part with </w:t>
      </w:r>
      <w:r>
        <w:rPr>
          <w:rStyle w:val="VARIABLE"/>
        </w:rPr>
        <w:t xml:space="preserve">_</w:t>
      </w:r>
      <w:r>
        <w:t xml:space="preserve">. Each URI segment maps to exactly one Avro name part.</w:t>
      </w:r>
    </w:p>
    <w:p w14:paraId="4143F2FF">
      <w:pPr>
        <w:pStyle w:val="ListNumber"/>
        <w:numPr>
          <w:ilvl w:val="0"/>
          <w:numId w:val="21"/>
        </w:numPr>
      </w:pPr>
      <w:r>
        <w:rPr>
          <w:b/>
        </w:rPr>
        <w:t xml:space="preserve">Append the reserved suffix.</w:t>
      </w:r>
      <w:r>
        <w:t xml:space="preserve"> Append the reserved final part </w:t>
      </w:r>
      <w:r>
        <w:rPr>
          <w:rStyle w:val="VARIABLE"/>
        </w:rPr>
        <w:t xml:space="preserve">avro</w:t>
      </w:r>
      <w:r>
        <w:t xml:space="preserve">, so the namespace ends in </w:t>
      </w:r>
      <w:r>
        <w:rPr>
          <w:rStyle w:val="VARIABLE"/>
        </w:rPr>
        <w:t xml:space="preserve">.avro</w:t>
      </w:r>
      <w:r>
        <w:t xml:space="preserve"> — for example </w:t>
      </w:r>
      <w:r>
        <w:rPr>
          <w:rStyle w:val="VARIABLE"/>
        </w:rPr>
        <w:t xml:space="preserve">org.example.ua.line3.avro</w:t>
      </w:r>
      <w:r>
        <w:t xml:space="preserve">. Encoders shall not generate any other namespace ending in </w:t>
      </w:r>
      <w:r>
        <w:rPr>
          <w:rStyle w:val="VARIABLE"/>
        </w:rPr>
        <w:t xml:space="preserve">.avro</w:t>
      </w:r>
      <w:r>
        <w:t xml:space="preserve">, and shall not map the base OPC UA namespace through this function (it keeps its fixed </w:t>
      </w:r>
      <w:r>
        <w:rPr>
          <w:rStyle w:val="VARIABLE"/>
        </w:rPr>
        <w:t xml:space="preserve">org.opcfoundation.ua.avro</w:t>
      </w:r>
      <w:r>
        <w:t xml:space="preserve"> namespace).</w:t>
      </w:r>
    </w:p>
    <w:p w14:paraId="714E4F98">
      <w:pPr>
        <w:pStyle w:val="PARAGRAPH"/>
      </w:pPr>
      <w:r>
        <w:rPr>
          <w:b/>
        </w:rPr>
        <w:t xml:space="preserve">Conflicts.</w:t>
      </w:r>
      <w:r>
        <w:t xml:space="preserve"> All Avro namespaces generated in one schema-generation scope shall be distinct. Map every NamespaceUri by steps 1–5; the resulting natural namespaces are reserved. If two or more distinct NamespaceUris map to the same natural namespace, order them by ordinal Unicode code-point order of the original URI string and leave the first with the natural namespace; for each subsequent colliding URI append an incrementing ordinal </w:t>
      </w:r>
      <w:r>
        <w:rPr>
          <w:rStyle w:val="VARIABLE"/>
        </w:rPr>
        <w:t xml:space="preserve">_2</w:t>
      </w:r>
      <w:r>
        <w:t xml:space="preserve">, </w:t>
      </w:r>
      <w:r>
        <w:rPr>
          <w:rStyle w:val="VARIABLE"/>
        </w:rPr>
        <w:t xml:space="preserve">_3</w:t>
      </w:r>
      <w:r>
        <w:t xml:space="preserve">, … to the last name part (the part before the reserved </w:t>
      </w:r>
      <w:r>
        <w:rPr>
          <w:rStyle w:val="VARIABLE"/>
        </w:rPr>
        <w:t xml:space="preserve">avro</w:t>
      </w:r>
      <w:r>
        <w:t xml:space="preserve">) and, if that candidate is already reserved by any other mapping in the scope, keep advancing the ordinal until it is free — for example </w:t>
      </w:r>
      <w:r>
        <w:rPr>
          <w:rStyle w:val="VARIABLE"/>
        </w:rPr>
        <w:t xml:space="preserve">org.example.ua.line3.avro</w:t>
      </w:r>
      <w:r>
        <w:t xml:space="preserve"> and </w:t>
      </w:r>
      <w:r>
        <w:rPr>
          <w:rStyle w:val="VARIABLE"/>
        </w:rPr>
        <w:t xml:space="preserve">org.example.ua.line3_2.avro</w:t>
      </w:r>
      <w:r>
        <w:t xml:space="preserve">. Because every natural namespace is reserved up front, a suffixed name can never coincide with another URI's natural namespace, so a producer and consumer that share the same set of NamespaceUris derive the same distinct namespaces. A deployment may instead supply an explicit configured NamespaceUri→Avro-namespace mapping that overrides this function for the mapped URIs; the configured targets shall still be distinct and end in </w:t>
      </w:r>
      <w:r>
        <w:rPr>
          <w:rStyle w:val="VARIABLE"/>
        </w:rPr>
        <w:t xml:space="preserve">.avro</w:t>
      </w:r>
      <w:r>
        <w:t xml:space="preserve">.</w:t>
      </w:r>
    </w:p>
    <w:p w14:paraId="7799D2C3">
      <w:pPr>
        <w:pStyle w:val="PARAGRAPH"/>
      </w:pPr>
      <w:r>
        <w:t xml:space="preserve">The generated Avro namespace is part of the fully-qualified type name and therefore of the Parsing Canonical Form, so it participates in the SchemaId (</w:t>
      </w:r>
      <w:r>
        <w:fldChar w:fldCharType="begin"/>
      </w:r>
      <w:r>
        <w:instrText xml:space="preserve"> REF _Clause_c6_6_3 \r \h </w:instrText>
      </w:r>
      <w:r>
        <w:fldChar w:fldCharType="separate"/>
      </w:r>
      <w:r>
        <w:rPr>
          <w:noProof/>
        </w:rPr>
        <w:t xml:space="preserve">6.6.3</w:t>
      </w:r>
      <w:r>
        <w:fldChar w:fldCharType="end"/>
      </w:r>
      <w:r>
        <w:t xml:space="preserve">).</w:t>
      </w:r>
    </w:p>
    <w:p w14:paraId="5D953562">
      <w:pPr>
        <w:pStyle w:val="Heading3"/>
      </w:pPr>
      <w:bookmarkStart w:id="496" w:name="_Clause_c6_6_6"/>
      <w:r>
        <w:t xml:space="preserve">Per-field specialization of Variant and ExtensionObject</w:t>
      </w:r>
      <w:bookmarkEnd w:id="496"/>
    </w:p>
    <w:p w14:paraId="566C7655">
      <w:pPr>
        <w:pStyle w:val="PARAGRAPH"/>
      </w:pPr>
      <w:r>
        <w:t xml:space="preserve">The </w:t>
      </w:r>
      <w:r>
        <w:rPr>
          <w:rStyle w:val="VARIABLE"/>
        </w:rPr>
        <w:t xml:space="preserve">body</w:t>
      </w:r>
      <w:r>
        <w:t xml:space="preserve"> union of a Variant (</w:t>
      </w:r>
      <w:r>
        <w:fldChar w:fldCharType="begin"/>
      </w:r>
      <w:r>
        <w:instrText xml:space="preserve"> REF _Clause_c6_5_8 \r \h </w:instrText>
      </w:r>
      <w:r>
        <w:fldChar w:fldCharType="separate"/>
      </w:r>
      <w:r>
        <w:rPr>
          <w:noProof/>
        </w:rPr>
        <w:t xml:space="preserve">6.5.8</w:t>
      </w:r>
      <w:r>
        <w:fldChar w:fldCharType="end"/>
      </w:r>
      <w:r>
        <w:t xml:space="preserve">) and the known-struct union of an ExtensionObject (</w:t>
      </w:r>
      <w:r>
        <w:fldChar w:fldCharType="begin"/>
      </w:r>
      <w:r>
        <w:instrText xml:space="preserve"> REF _Clause_c6_5_9 \r \h </w:instrText>
      </w:r>
      <w:r>
        <w:fldChar w:fldCharType="separate"/>
      </w:r>
      <w:r>
        <w:rPr>
          <w:noProof/>
        </w:rPr>
        <w:t xml:space="preserve">6.5.9</w:t>
      </w:r>
      <w:r>
        <w:fldChar w:fldCharType="end"/>
      </w:r>
      <w:r>
        <w:t xml:space="preserve">) are the only Avro constructs that grow (</w:t>
      </w:r>
      <w:r>
        <w:fldChar w:fldCharType="begin"/>
      </w:r>
      <w:r>
        <w:instrText xml:space="preserve"> REF _Clause_c6_6_4 \r \h </w:instrText>
      </w:r>
      <w:r>
        <w:fldChar w:fldCharType="separate"/>
      </w:r>
      <w:r>
        <w:rPr>
          <w:noProof/>
        </w:rPr>
        <w:t xml:space="preserve">6.6.4</w:t>
      </w:r>
      <w:r>
        <w:fldChar w:fldCharType="end"/>
      </w:r>
      <w:r>
        <w:t xml:space="preserve">). A schema generator shall choose, once per schema and as part of the SchemaId, between two ways of naming these growing records.</w:t>
      </w:r>
    </w:p>
    <w:p w14:paraId="1B4FC593">
      <w:pPr>
        <w:pStyle w:val="PARAGRAPH"/>
      </w:pPr>
      <w:r>
        <w:rPr>
          <w:b/>
        </w:rPr>
        <w:t xml:space="preserve">Per-field (preferred).</w:t>
      </w:r>
      <w:r>
        <w:t xml:space="preserve"> Each Variant occurrence, each ExtensionObject occurrence, and each container record that transitively contains one — a Structure with such a field, or a DataValue (whose </w:t>
      </w:r>
      <w:r>
        <w:rPr>
          <w:rStyle w:val="VARIABLE"/>
        </w:rPr>
        <w:t xml:space="preserve">value</w:t>
      </w:r>
      <w:r>
        <w:t xml:space="preserve"> is a Variant) — is a </w:t>
      </w:r>
      <w:r>
        <w:rPr>
          <w:b/>
        </w:rPr>
        <w:t xml:space="preserve">distinct</w:t>
      </w:r>
      <w:r>
        <w:t xml:space="preserve"> Avro record named by its </w:t>
      </w:r>
      <w:r>
        <w:rPr>
          <w:b/>
        </w:rPr>
        <w:t xml:space="preserve">field path</w:t>
      </w:r>
      <w:r>
        <w:t xml:space="preserve"> from the DataSet field root, for example </w:t>
      </w:r>
      <w:r>
        <w:rPr>
          <w:rStyle w:val="VARIABLE"/>
        </w:rPr>
        <w:t xml:space="preserve">Variant&lt;Path&gt;</w:t>
      </w:r>
      <w:r>
        <w:t xml:space="preserve">, </w:t>
      </w:r>
      <w:r>
        <w:rPr>
          <w:rStyle w:val="VARIABLE"/>
        </w:rPr>
        <w:t xml:space="preserve">ExtensionObject&lt;Path&gt;</w:t>
      </w:r>
      <w:r>
        <w:t xml:space="preserve"> and </w:t>
      </w:r>
      <w:r>
        <w:rPr>
          <w:rStyle w:val="VARIABLE"/>
        </w:rPr>
        <w:t xml:space="preserve">&lt;Structure&gt;&lt;Path&gt;</w:t>
      </w:r>
      <w:r>
        <w:t xml:space="preserve">. The path is formed from the DataSet field browse name followed, on each descent, by the struct field name, the concrete body Structure name for an ExtensionObject body branch, or </w:t>
      </w:r>
      <w:r>
        <w:rPr>
          <w:rStyle w:val="VARIABLE"/>
        </w:rPr>
        <w:t xml:space="preserve">Item</w:t>
      </w:r>
      <w:r>
        <w:t xml:space="preserve"> for an array or matrix element; each component is converted to a legal Avro name part (</w:t>
      </w:r>
      <w:r>
        <w:fldChar w:fldCharType="begin"/>
      </w:r>
      <w:r>
        <w:instrText xml:space="preserve"> REF _Clause_c6_6_2 \r \h </w:instrText>
      </w:r>
      <w:r>
        <w:fldChar w:fldCharType="separate"/>
      </w:r>
      <w:r>
        <w:rPr>
          <w:noProof/>
        </w:rPr>
        <w:t xml:space="preserve">6.6.2</w:t>
      </w:r>
      <w:r>
        <w:fldChar w:fldCharType="end"/>
      </w:r>
      <w:r>
        <w:t xml:space="preserve"> step 2) and the parts are joined with </w:t>
      </w:r>
      <w:r>
        <w:rPr>
          <w:rStyle w:val="VARIABLE"/>
        </w:rPr>
        <w:t xml:space="preserve">_</w:t>
      </w:r>
      <w:r>
        <w:t xml:space="preserve">. Every record fullname in a self-contained schema shall be unique: a generated name that would collide with any other name in that schema — another field path, a wrapper record, or an OPC UA type mapped per </w:t>
      </w:r>
      <w:r>
        <w:fldChar w:fldCharType="begin"/>
      </w:r>
      <w:r>
        <w:instrText xml:space="preserve"> REF _Clause_c6_6_2 \r \h </w:instrText>
      </w:r>
      <w:r>
        <w:fldChar w:fldCharType="separate"/>
      </w:r>
      <w:r>
        <w:rPr>
          <w:noProof/>
        </w:rPr>
        <w:t xml:space="preserve">6.6.2</w:t>
      </w:r>
      <w:r>
        <w:fldChar w:fldCharType="end"/>
      </w:r>
      <w:r>
        <w:t xml:space="preserve"> — is disambiguated with a deterministic ordinal suffix (</w:t>
      </w:r>
      <w:r>
        <w:rPr>
          <w:rStyle w:val="VARIABLE"/>
        </w:rPr>
        <w:t xml:space="preserve">_2</w:t>
      </w:r>
      <w:r>
        <w:t xml:space="preserve">, </w:t>
      </w:r>
      <w:r>
        <w:rPr>
          <w:rStyle w:val="VARIABLE"/>
        </w:rPr>
        <w:t xml:space="preserve">_3</w:t>
      </w:r>
      <w:r>
        <w:t xml:space="preserve">, …) assigned in field order over the complete set of names in the schema-generation scope. Because each occurrence is a separate record with its own union, the fields </w:t>
      </w:r>
      <w:r>
        <w:rPr>
          <w:b/>
        </w:rPr>
        <w:t xml:space="preserve">evolve independently</w:t>
      </w:r>
      <w:r>
        <w:t xml:space="preserve">: appending a body type or concrete struct type to one field's union never changes any other field's schema. A record with no Variant/ExtensionObject descendant — for example a Structure of only fixed built-in fields — is </w:t>
      </w:r>
      <w:r>
        <w:rPr>
          <w:b/>
        </w:rPr>
        <w:t xml:space="preserve">not</w:t>
      </w:r>
      <w:r>
        <w:t xml:space="preserve"> specialized and keeps its shared </w:t>
      </w:r>
      <w:r>
        <w:fldChar w:fldCharType="begin"/>
      </w:r>
      <w:r>
        <w:instrText xml:space="preserve"> REF _Clause_c6_6_2 \r \h </w:instrText>
      </w:r>
      <w:r>
        <w:fldChar w:fldCharType="separate"/>
      </w:r>
      <w:r>
        <w:rPr>
          <w:noProof/>
        </w:rPr>
        <w:t xml:space="preserve">6.6.2</w:t>
      </w:r>
      <w:r>
        <w:fldChar w:fldCharType="end"/>
      </w:r>
      <w:r>
        <w:t xml:space="preserve"> name, so specialization is limited to the records that actually grow.</w:t>
      </w:r>
    </w:p>
    <w:p w14:paraId="703630A5">
      <w:pPr>
        <w:pStyle w:val="PARAGRAPH"/>
      </w:pPr>
      <w:r>
        <w:t xml:space="preserve">Because a Variant body may itself be an ExtensionObject whose Structure contains a Variant, a </w:t>
      </w:r>
      <w:r>
        <w:rPr>
          <w:b/>
        </w:rPr>
        <w:t xml:space="preserve">bounded</w:t>
      </w:r>
      <w:r>
        <w:t xml:space="preserve"> (schema-driven, all-admissible-types) union can recurse without end. Cycle-tying applies only where continued expansion would revisit the </w:t>
      </w:r>
      <w:r>
        <w:rPr>
          <w:b/>
        </w:rPr>
        <w:t xml:space="preserve">same</w:t>
      </w:r>
      <w:r>
        <w:t xml:space="preserve"> recursive DataType occurrence already open on the ancestor path — a Variant or ExtensionObject whose admissible type set would reproduce that of an ancestor, or a self-recursive type such as DiagnosticInfo: the recursive occurrence shall then </w:t>
      </w:r>
      <w:r>
        <w:rPr>
          <w:b/>
        </w:rPr>
        <w:t xml:space="preserve">reference the nearest such ancestor's record by name</w:t>
      </w:r>
      <w:r>
        <w:t xml:space="preserve"> rather than expand further, which keeps the schema finite. An ordinary nested Variant or ExtensionObject whose admissible set differs from every ancestor is </w:t>
      </w:r>
      <w:r>
        <w:rPr>
          <w:b/>
        </w:rPr>
        <w:t xml:space="preserve">not</w:t>
      </w:r>
      <w:r>
        <w:t xml:space="preserve"> tied and remains separately specialized. A data-driven schema (</w:t>
      </w:r>
      <w:r>
        <w:fldChar w:fldCharType="begin"/>
      </w:r>
      <w:r>
        <w:instrText xml:space="preserve"> REF _Clause_c6_6_4 \r \h </w:instrText>
      </w:r>
      <w:r>
        <w:fldChar w:fldCharType="separate"/>
      </w:r>
      <w:r>
        <w:rPr>
          <w:noProof/>
        </w:rPr>
        <w:t xml:space="preserve">6.6.4</w:t>
      </w:r>
      <w:r>
        <w:fldChar w:fldCharType="end"/>
      </w:r>
      <w:r>
        <w:t xml:space="preserve">) includes only observed types and therefore terminates naturally at the nesting depth observed; cycle-tying thus affects only bounded schema-driven unions.</w:t>
      </w:r>
    </w:p>
    <w:p w14:paraId="22F0734F">
      <w:pPr>
        <w:pStyle w:val="PARAGRAPH"/>
      </w:pPr>
      <w:r>
        <w:rPr>
          <w:b/>
        </w:rPr>
        <w:t xml:space="preserve">Shared (option).</w:t>
      </w:r>
      <w:r>
        <w:t xml:space="preserve"> A generator MAY instead emit a single shared </w:t>
      </w:r>
      <w:r>
        <w:rPr>
          <w:rStyle w:val="VARIABLE"/>
        </w:rPr>
        <w:t xml:space="preserve">Variant</w:t>
      </w:r>
      <w:r>
        <w:t xml:space="preserve"> and a single shared </w:t>
      </w:r>
      <w:r>
        <w:rPr>
          <w:rStyle w:val="VARIABLE"/>
        </w:rPr>
        <w:t xml:space="preserve">ExtensionObject</w:t>
      </w:r>
      <w:r>
        <w:t xml:space="preserve"> record (and shared container records) named per </w:t>
      </w:r>
      <w:r>
        <w:fldChar w:fldCharType="begin"/>
      </w:r>
      <w:r>
        <w:instrText xml:space="preserve"> REF _Clause_c6_6_2 \r \h </w:instrText>
      </w:r>
      <w:r>
        <w:fldChar w:fldCharType="separate"/>
      </w:r>
      <w:r>
        <w:rPr>
          <w:noProof/>
        </w:rPr>
        <w:t xml:space="preserve">6.6.2</w:t>
      </w:r>
      <w:r>
        <w:fldChar w:fldCharType="end"/>
      </w:r>
      <w:r>
        <w:t xml:space="preserve">, referenced by every occurrence. This is more compact and lets two publishers that bound a field the same way produce the same SchemaId, at the cost of coupling: appending a body type for any occurrence widens the one shared union for every occurrence. The shared form is the form used by the published reference schemas and Annex A; the per-field form is shown in Annex C.</w:t>
      </w:r>
    </w:p>
    <w:p w14:paraId="2D135F28">
      <w:pPr>
        <w:pStyle w:val="PARAGRAPH"/>
      </w:pPr>
      <w:r>
        <w:t xml:space="preserve">An encoder and decoder shall use the same choice; because it is fixed in the schema it participates in the SchemaId (</w:t>
      </w:r>
      <w:r>
        <w:fldChar w:fldCharType="begin"/>
      </w:r>
      <w:r>
        <w:instrText xml:space="preserve"> REF _Clause_c6_6_3 \r \h </w:instrText>
      </w:r>
      <w:r>
        <w:fldChar w:fldCharType="separate"/>
      </w:r>
      <w:r>
        <w:rPr>
          <w:noProof/>
        </w:rPr>
        <w:t xml:space="preserve">6.6.3</w:t>
      </w:r>
      <w:r>
        <w:fldChar w:fldCharType="end"/>
      </w:r>
      <w:r>
        <w:t xml:space="preserve">). Both forms are reversible and both grow append-only (</w:t>
      </w:r>
      <w:r>
        <w:fldChar w:fldCharType="begin"/>
      </w:r>
      <w:r>
        <w:instrText xml:space="preserve"> REF _Clause_c6_6_4 \r \h </w:instrText>
      </w:r>
      <w:r>
        <w:fldChar w:fldCharType="separate"/>
      </w:r>
      <w:r>
        <w:rPr>
          <w:noProof/>
        </w:rPr>
        <w:t xml:space="preserve">6.6.4</w:t>
      </w:r>
      <w:r>
        <w:fldChar w:fldCharType="end"/>
      </w:r>
      <w:r>
        <w:t xml:space="preserve">); they differ only in whether growth is per-field or shared. This mirrors the Arrow mapping, whose inline structural dense unions are per-field by construction. An executable per-field reference is </w:t>
      </w:r>
      <w:r>
        <w:rPr>
          <w:rStyle w:val="VARIABLE"/>
        </w:rPr>
        <w:t xml:space="preserve">../extras/avro-encoding/tools/per_field_demo.py</w:t>
      </w:r>
      <w:r>
        <w:t xml:space="preserve">.</w:t>
      </w:r>
    </w:p>
    <w:p w14:paraId="3560A90C">
      <w:pPr>
        <w:pStyle w:val="Heading3"/>
      </w:pPr>
      <w:bookmarkStart w:id="497" w:name="_Clause_c6_6_7"/>
      <w:r>
        <w:t xml:space="preserve">Deriving a schema from DataSetMetaData</w:t>
      </w:r>
      <w:bookmarkEnd w:id="497"/>
    </w:p>
    <w:p w14:paraId="0D1539C2">
      <w:pPr>
        <w:pStyle w:val="PARAGRAPH"/>
      </w:pPr>
      <w:r>
        <w:fldChar w:fldCharType="begin"/>
      </w:r>
      <w:r>
        <w:instrText xml:space="preserve"> REF _Clause_c6_6_1 \r \h </w:instrText>
      </w:r>
      <w:r>
        <w:fldChar w:fldCharType="separate"/>
      </w:r>
      <w:r>
        <w:rPr>
          <w:noProof/>
        </w:rPr>
        <w:t xml:space="preserve">6.6.1</w:t>
      </w:r>
      <w:r>
        <w:fldChar w:fldCharType="end"/>
      </w:r>
      <w:r>
        <w:t xml:space="preserve"> takes its inputs from the AddressSpace. A </w:t>
      </w:r>
      <w:r>
        <w:rPr>
          <w:rStyle w:val="VARIABLE"/>
        </w:rPr>
        <w:t xml:space="preserve">DataSetMetaDataType</w:t>
      </w:r>
      <w:r>
        <w:t xml:space="preserve"> value carries the same information for the fields of one DataSet, so it may be used as an </w:t>
      </w:r>
      <w:r>
        <w:rPr>
          <w:b/>
        </w:rPr>
        <w:t xml:space="preserve">alternative input</w:t>
      </w:r>
      <w:r>
        <w:t xml:space="preserve"> to the generation algorithm of </w:t>
      </w:r>
      <w:r>
        <w:fldChar w:fldCharType="begin"/>
      </w:r>
      <w:r>
        <w:instrText xml:space="preserve"> REF _Clause_c6_6_2 \r \h </w:instrText>
      </w:r>
      <w:r>
        <w:fldChar w:fldCharType="separate"/>
      </w:r>
      <w:r>
        <w:rPr>
          <w:noProof/>
        </w:rPr>
        <w:t xml:space="preserve">6.6.2</w:t>
      </w:r>
      <w:r>
        <w:fldChar w:fldCharType="end"/>
      </w:r>
      <w:r>
        <w:t xml:space="preserve"> where no AddressSpace is available.</w:t>
      </w:r>
    </w:p>
    <w:p w14:paraId="2D75834D">
      <w:pPr>
        <w:pStyle w:val="PARAGRAPH"/>
      </w:pPr>
      <w:r>
        <w:t xml:space="preserve">This path is intended primarily for a </w:t>
      </w:r>
      <w:r>
        <w:rPr>
          <w:b/>
        </w:rPr>
        <w:t xml:space="preserve">Publisher</w:t>
      </w:r>
      <w:r>
        <w:t xml:space="preserve">. A Publisher that already holds the configured DataSetMetaData for a DataSetWriter — for example one bridging or forwarding DataSetMessages, or one configured offline — can produce the schema and its SchemaId from that metadata alone, without reading DataTypeDefinitions. A Subscriber may use the same derivation when it receives the DataSetMetaData message but holds no type model, in which case it is a third resolution path in addition to those of </w:t>
      </w:r>
      <w:r>
        <w:fldChar w:fldCharType="begin"/>
      </w:r>
      <w:r>
        <w:instrText xml:space="preserve"> REF _Clause_c6_7 \r \h </w:instrText>
      </w:r>
      <w:r>
        <w:fldChar w:fldCharType="separate"/>
      </w:r>
      <w:r>
        <w:rPr>
          <w:noProof/>
        </w:rPr>
        <w:t xml:space="preserve">6.7</w:t>
      </w:r>
      <w:r>
        <w:fldChar w:fldCharType="end"/>
      </w:r>
      <w:r>
        <w:t xml:space="preserve">.</w:t>
      </w:r>
    </w:p>
    <w:p w14:paraId="67636F67">
      <w:pPr>
        <w:pStyle w:val="PARAGRAPH"/>
      </w:pPr>
      <w:r>
        <w:t xml:space="preserve">Two scenarios motivate this path.</w:t>
      </w:r>
    </w:p>
    <w:p w14:paraId="5FB9BB81">
      <w:pPr>
        <w:pStyle w:val="ListBullet"/>
        <w:numPr>
          <w:ilvl w:val="0"/>
          <w:numId w:val="21"/>
        </w:numPr>
      </w:pPr>
      <w:r>
        <w:rPr>
          <w:b/>
        </w:rPr>
        <w:t xml:space="preserve">Transcoding in a translation bridge.</w:t>
      </w:r>
      <w:r>
        <w:t xml:space="preserve"> A bridge that receives UADP or JSON verbose NetworkMessages and re-publishes them as Avro has the DataSetMetaData for each DataSetWriter it forwards, but usually has no session with the originating Server and therefore no AddressSpace to read DataTypeDefinitions from. Deriving the schema from the metadata lets it transcode without one, and the SchemaId it computes is the same one the originating Publisher would have computed for the same DataSet.</w:t>
      </w:r>
    </w:p>
    <w:p w14:paraId="1CA76174">
      <w:pPr>
        <w:pStyle w:val="ListBullet"/>
        <w:numPr>
          <w:ilvl w:val="0"/>
          <w:numId w:val="21"/>
        </w:numPr>
      </w:pPr>
      <w:r>
        <w:rPr>
          <w:b/>
        </w:rPr>
        <w:t xml:space="preserve">Avro-enabling an existing JSON verbose Publisher.</w:t>
      </w:r>
      <w:r>
        <w:t xml:space="preserve"> A deployment already publishing JSON verbose messages already produces DataSetMetaData. Adding Avro then requires no new access to the type model: the existing metadata is sufficient to generate the schema, announce its SchemaId and start publishing Avro alongside or instead of JSON. This is the simplest migration path for an existing Publisher.</w:t>
      </w:r>
    </w:p>
    <w:p w14:paraId="6A2342B4">
      <w:pPr>
        <w:pStyle w:val="PARAGRAPH"/>
      </w:pPr>
      <w:r>
        <w:rPr>
          <w:rStyle w:val="VARIABLE"/>
        </w:rPr>
        <w:t xml:space="preserve">DataSetMetaDataType</w:t>
      </w:r>
      <w:r>
        <w:t xml:space="preserve"> is self-contained for this purpose because it carries both the field list and the definitions of the DataTypes those fields use.</w:t>
      </w:r>
    </w:p>
    <w:p w14:paraId="1B2578FE">
      <w:pPr>
        <w:pStyle w:val="TABLE-title"/>
        <w:keepNext/>
      </w:pPr>
      <w:bookmarkStart w:id="498" w:name="_Tab_deriving_a_schema_from_datasetmetadata_tab1"/>
      <w:r>
        <w:t xml:space="preserve">Table </w:t>
      </w:r>
      <w:r>
        <w:fldChar w:fldCharType="begin"/>
      </w:r>
      <w:r>
        <w:instrText xml:space="preserve"> SEQ Table \* ARABIC </w:instrText>
      </w:r>
      <w:r>
        <w:fldChar w:fldCharType="separate"/>
      </w:r>
      <w:r>
        <w:rPr>
          <w:noProof/>
        </w:rPr>
        <w:t xml:space="preserve">2</w:t>
      </w:r>
      <w:r>
        <w:fldChar w:fldCharType="end"/>
      </w:r>
      <w:r>
        <w:t xml:space="preserve"> – Deriving a schema from DataSetMetaData</w:t>
      </w:r>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19FE491A">
            <w:pPr>
              <w:pStyle w:val="TableText"/>
            </w:pPr>
            <w:r>
              <w:t xml:space="preserve">DataSetMetaData element</w:t>
            </w:r>
          </w:p>
        </w:tc>
        <w:tc>
          <w:tcPr>
            <w:tcW w:w="4463" w:type="dxa"/>
            <w:tcBorders>
              <w:top w:val="single" w:sz="4" w:space="0" w:color="auto"/>
              <w:left w:val="single" w:sz="4" w:space="0" w:color="auto"/>
              <w:bottom w:val="double" w:sz="4" w:space="0" w:color="auto"/>
              <w:right w:val="single" w:sz="4" w:space="0" w:color="auto"/>
            </w:tcBorders>
          </w:tcPr>
          <w:p w14:paraId="182435B3">
            <w:pPr>
              <w:pStyle w:val="TableText"/>
            </w:pPr>
            <w:r>
              <w:t xml:space="preserve">Use in the generation algorithm</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39BDA9D">
            <w:pPr>
              <w:pStyle w:val="TableText"/>
            </w:pPr>
            <w:r>
              <w:rPr>
                <w:rStyle w:val="VARIABLE"/>
              </w:rPr>
              <w:t xml:space="preserve">Name</w:t>
            </w:r>
          </w:p>
        </w:tc>
        <w:tc>
          <w:tcPr>
            <w:tcW w:w="4463" w:type="dxa"/>
            <w:tcBorders>
              <w:top w:val="single" w:sz="4" w:space="0" w:color="auto"/>
              <w:left w:val="single" w:sz="4" w:space="0" w:color="auto"/>
              <w:bottom w:val="single" w:sz="4" w:space="0" w:color="auto"/>
              <w:right w:val="single" w:sz="4" w:space="0" w:color="auto"/>
            </w:tcBorders>
          </w:tcPr>
          <w:p w14:paraId="28A7B4F5">
            <w:pPr>
              <w:pStyle w:val="TableText"/>
            </w:pPr>
            <w:r>
              <w:t xml:space="preserve">Name of the generated DataSet record, converted per </w:t>
            </w:r>
            <w:r>
              <w:fldChar w:fldCharType="begin"/>
            </w:r>
            <w:r>
              <w:instrText xml:space="preserve"> REF _Clause_c6_6_2 \r \h </w:instrText>
            </w:r>
            <w:r>
              <w:fldChar w:fldCharType="separate"/>
            </w:r>
            <w:r>
              <w:rPr>
                <w:noProof/>
              </w:rPr>
              <w:t xml:space="preserve">6.6.2</w:t>
            </w:r>
            <w:r>
              <w:fldChar w:fldCharType="end"/>
            </w:r>
            <w:r>
              <w:t xml:space="preserve"> step 2.</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20C90E0">
            <w:pPr>
              <w:pStyle w:val="TableText"/>
            </w:pPr>
            <w:r>
              <w:rPr>
                <w:rStyle w:val="VARIABLE"/>
              </w:rPr>
              <w:t xml:space="preserve">Fields</w:t>
            </w:r>
            <w:r>
              <w:t xml:space="preserve"> (</w:t>
            </w:r>
            <w:r>
              <w:rPr>
                <w:rStyle w:val="VARIABLE"/>
              </w:rPr>
              <w:t xml:space="preserve">FieldMetaData[]</w:t>
            </w:r>
            <w:r>
              <w:t xml:space="preserve">)</w:t>
            </w:r>
          </w:p>
        </w:tc>
        <w:tc>
          <w:tcPr>
            <w:tcW w:w="4463" w:type="dxa"/>
            <w:tcBorders>
              <w:top w:val="single" w:sz="4" w:space="0" w:color="auto"/>
              <w:left w:val="single" w:sz="4" w:space="0" w:color="auto"/>
              <w:bottom w:val="single" w:sz="4" w:space="0" w:color="auto"/>
              <w:right w:val="single" w:sz="4" w:space="0" w:color="auto"/>
            </w:tcBorders>
          </w:tcPr>
          <w:p w14:paraId="36E3BE8C">
            <w:pPr>
              <w:pStyle w:val="TableText"/>
            </w:pPr>
            <w:r>
              <w:t xml:space="preserve">One Avro record field per entry, emitted in </w:t>
            </w:r>
            <w:r>
              <w:rPr>
                <w:rStyle w:val="VARIABLE"/>
              </w:rPr>
              <w:t xml:space="preserve">Fields</w:t>
            </w:r>
            <w:r>
              <w:t xml:space="preserve"> order. </w:t>
            </w:r>
            <w:r>
              <w:fldChar w:fldCharType="begin"/>
            </w:r>
            <w:r>
              <w:instrText xml:space="preserve"> REF _Clause_c6_6_2 \r \h </w:instrText>
            </w:r>
            <w:r>
              <w:fldChar w:fldCharType="separate"/>
            </w:r>
            <w:r>
              <w:rPr>
                <w:noProof/>
              </w:rPr>
              <w:t xml:space="preserve">6.6.2</w:t>
            </w:r>
            <w:r>
              <w:fldChar w:fldCharType="end"/>
            </w:r>
            <w:r>
              <w:t xml:space="preserve"> step 3 applies unchanged: the generator shall not sort or omit fields.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E98AF18">
            <w:pPr>
              <w:pStyle w:val="TableText"/>
            </w:pPr>
            <w:r>
              <w:rPr>
                <w:rStyle w:val="VARIABLE"/>
              </w:rPr>
              <w:t xml:space="preserve">Fields[].Name</w:t>
            </w:r>
          </w:p>
        </w:tc>
        <w:tc>
          <w:tcPr>
            <w:tcW w:w="4463" w:type="dxa"/>
            <w:tcBorders>
              <w:top w:val="single" w:sz="4" w:space="0" w:color="auto"/>
              <w:left w:val="single" w:sz="4" w:space="0" w:color="auto"/>
              <w:bottom w:val="single" w:sz="4" w:space="0" w:color="auto"/>
              <w:right w:val="single" w:sz="4" w:space="0" w:color="auto"/>
            </w:tcBorders>
          </w:tcPr>
          <w:p w14:paraId="0FB35193">
            <w:pPr>
              <w:pStyle w:val="TableText"/>
            </w:pPr>
            <w:r>
              <w:t xml:space="preserve">Avro field name, converted per </w:t>
            </w:r>
            <w:r>
              <w:fldChar w:fldCharType="begin"/>
            </w:r>
            <w:r>
              <w:instrText xml:space="preserve"> REF _Clause_c6_6_2 \r \h </w:instrText>
            </w:r>
            <w:r>
              <w:fldChar w:fldCharType="separate"/>
            </w:r>
            <w:r>
              <w:rPr>
                <w:noProof/>
              </w:rPr>
              <w:t xml:space="preserve">6.6.2</w:t>
            </w:r>
            <w:r>
              <w:fldChar w:fldCharType="end"/>
            </w:r>
            <w:r>
              <w:t xml:space="preserve"> step 2.</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9CBFE02">
            <w:pPr>
              <w:pStyle w:val="TableText"/>
            </w:pPr>
            <w:r>
              <w:rPr>
                <w:rStyle w:val="VARIABLE"/>
              </w:rPr>
              <w:t xml:space="preserve">Fields[].BuiltInType</w:t>
            </w:r>
          </w:p>
        </w:tc>
        <w:tc>
          <w:tcPr>
            <w:tcW w:w="4463" w:type="dxa"/>
            <w:tcBorders>
              <w:top w:val="single" w:sz="4" w:space="0" w:color="auto"/>
              <w:left w:val="single" w:sz="4" w:space="0" w:color="auto"/>
              <w:bottom w:val="single" w:sz="4" w:space="0" w:color="auto"/>
              <w:right w:val="single" w:sz="4" w:space="0" w:color="auto"/>
            </w:tcBorders>
          </w:tcPr>
          <w:p w14:paraId="16E14AA5">
            <w:pPr>
              <w:pStyle w:val="TableText"/>
            </w:pPr>
            <w:r>
              <w:t xml:space="preserve">Selects the built-in mapping of </w:t>
            </w:r>
            <w:r>
              <w:fldChar w:fldCharType="begin"/>
            </w:r>
            <w:r>
              <w:instrText xml:space="preserve"> REF _Clause_c6_5_2 \r \h </w:instrText>
            </w:r>
            <w:r>
              <w:fldChar w:fldCharType="separate"/>
            </w:r>
            <w:r>
              <w:rPr>
                <w:noProof/>
              </w:rPr>
              <w:t xml:space="preserve">6.5.2</w:t>
            </w:r>
            <w:r>
              <w:fldChar w:fldCharType="end"/>
            </w:r>
            <w:r>
              <w:t xml:space="preserve"> when the field is a built-in DataType.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4DDEF2B">
            <w:pPr>
              <w:pStyle w:val="TableText"/>
            </w:pPr>
            <w:r>
              <w:rPr>
                <w:rStyle w:val="VARIABLE"/>
              </w:rPr>
              <w:t xml:space="preserve">Fields[].DataType</w:t>
            </w:r>
          </w:p>
        </w:tc>
        <w:tc>
          <w:tcPr>
            <w:tcW w:w="4463" w:type="dxa"/>
            <w:tcBorders>
              <w:top w:val="single" w:sz="4" w:space="0" w:color="auto"/>
              <w:left w:val="single" w:sz="4" w:space="0" w:color="auto"/>
              <w:bottom w:val="single" w:sz="4" w:space="0" w:color="auto"/>
              <w:right w:val="single" w:sz="4" w:space="0" w:color="auto"/>
            </w:tcBorders>
          </w:tcPr>
          <w:p w14:paraId="6722DE7E">
            <w:pPr>
              <w:pStyle w:val="TableText"/>
            </w:pPr>
            <w:r>
              <w:t xml:space="preserve">NodeId of the field DataType. When it is not a built-in, it shall resolve to an entry in </w:t>
            </w:r>
            <w:r>
              <w:rPr>
                <w:rStyle w:val="VARIABLE"/>
              </w:rPr>
              <w:t xml:space="preserve">StructureDataTypes</w:t>
            </w:r>
            <w:r>
              <w:t xml:space="preserve">, </w:t>
            </w:r>
            <w:r>
              <w:rPr>
                <w:rStyle w:val="VARIABLE"/>
              </w:rPr>
              <w:t xml:space="preserve">EnumDataTypes</w:t>
            </w:r>
            <w:r>
              <w:t xml:space="preserve"> or </w:t>
            </w:r>
            <w:r>
              <w:rPr>
                <w:rStyle w:val="VARIABLE"/>
              </w:rPr>
              <w:t xml:space="preserve">SimpleDataTypes</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D60CC90">
            <w:pPr>
              <w:pStyle w:val="TableText"/>
            </w:pPr>
            <w:r>
              <w:rPr>
                <w:rStyle w:val="VARIABLE"/>
              </w:rPr>
              <w:t xml:space="preserve">Fields[].ValueRank</w:t>
            </w:r>
            <w:r>
              <w:t xml:space="preserve">, </w:t>
            </w:r>
            <w:r>
              <w:rPr>
                <w:rStyle w:val="VARIABLE"/>
              </w:rPr>
              <w:t xml:space="preserve">Fields[].ArrayDimensions</w:t>
            </w:r>
          </w:p>
        </w:tc>
        <w:tc>
          <w:tcPr>
            <w:tcW w:w="4463" w:type="dxa"/>
            <w:tcBorders>
              <w:top w:val="single" w:sz="4" w:space="0" w:color="auto"/>
              <w:left w:val="single" w:sz="4" w:space="0" w:color="auto"/>
              <w:bottom w:val="single" w:sz="4" w:space="0" w:color="auto"/>
              <w:right w:val="single" w:sz="4" w:space="0" w:color="auto"/>
            </w:tcBorders>
          </w:tcPr>
          <w:p w14:paraId="34A68F92">
            <w:pPr>
              <w:pStyle w:val="TableText"/>
            </w:pPr>
            <w:r>
              <w:t xml:space="preserve">Scalar (</w:t>
            </w:r>
            <w:r>
              <w:rPr>
                <w:rStyle w:val="VARIABLE"/>
              </w:rPr>
              <w:t xml:space="preserve">ValueRank</w:t>
            </w:r>
            <w:r>
              <w:t xml:space="preserve"> = −1), array (</w:t>
            </w:r>
            <w:r>
              <w:fldChar w:fldCharType="begin"/>
            </w:r>
            <w:r>
              <w:instrText xml:space="preserve"> REF _Clause_c6_5_4 \r \h </w:instrText>
            </w:r>
            <w:r>
              <w:fldChar w:fldCharType="separate"/>
            </w:r>
            <w:r>
              <w:rPr>
                <w:noProof/>
              </w:rPr>
              <w:t xml:space="preserve">6.5.4</w:t>
            </w:r>
            <w:r>
              <w:fldChar w:fldCharType="end"/>
            </w:r>
            <w:r>
              <w:t xml:space="preserve">) or matrix (</w:t>
            </w:r>
            <w:r>
              <w:fldChar w:fldCharType="begin"/>
            </w:r>
            <w:r>
              <w:instrText xml:space="preserve"> REF _Clause_c6_5_5 \r \h </w:instrText>
            </w:r>
            <w:r>
              <w:fldChar w:fldCharType="separate"/>
            </w:r>
            <w:r>
              <w:rPr>
                <w:noProof/>
              </w:rPr>
              <w:t xml:space="preserve">6.5.5</w:t>
            </w:r>
            <w:r>
              <w:fldChar w:fldCharType="end"/>
            </w:r>
            <w:r>
              <w:t xml:space="preserve">) form, exactly as the DataTypeDefinition path derives it.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9F2E29E">
            <w:pPr>
              <w:pStyle w:val="TableText"/>
            </w:pPr>
            <w:r>
              <w:rPr>
                <w:rStyle w:val="VARIABLE"/>
              </w:rPr>
              <w:t xml:space="preserve">Fields[].MaxStringLength</w:t>
            </w:r>
          </w:p>
        </w:tc>
        <w:tc>
          <w:tcPr>
            <w:tcW w:w="4463" w:type="dxa"/>
            <w:tcBorders>
              <w:top w:val="single" w:sz="4" w:space="0" w:color="auto"/>
              <w:left w:val="single" w:sz="4" w:space="0" w:color="auto"/>
              <w:bottom w:val="single" w:sz="4" w:space="0" w:color="auto"/>
              <w:right w:val="single" w:sz="4" w:space="0" w:color="auto"/>
            </w:tcBorders>
          </w:tcPr>
          <w:p w14:paraId="55165F60">
            <w:pPr>
              <w:pStyle w:val="TableText"/>
            </w:pPr>
            <w:r>
              <w:t xml:space="preserve">Informative only. It constrains values, not the Avro type, and shall not change the generated schema.</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0976811">
            <w:pPr>
              <w:pStyle w:val="TableText"/>
            </w:pPr>
            <w:r>
              <w:rPr>
                <w:rStyle w:val="VARIABLE"/>
              </w:rPr>
              <w:t xml:space="preserve">Fields[].DataSetFieldId</w:t>
            </w:r>
            <w:r>
              <w:t xml:space="preserve">, </w:t>
            </w:r>
            <w:r>
              <w:rPr>
                <w:rStyle w:val="VARIABLE"/>
              </w:rPr>
              <w:t xml:space="preserve">Fields[].Properties</w:t>
            </w:r>
            <w:r>
              <w:t xml:space="preserve">, </w:t>
            </w:r>
            <w:r>
              <w:rPr>
                <w:rStyle w:val="VARIABLE"/>
              </w:rPr>
              <w:t xml:space="preserve">Fields[].Description</w:t>
            </w:r>
          </w:p>
        </w:tc>
        <w:tc>
          <w:tcPr>
            <w:tcW w:w="4463" w:type="dxa"/>
            <w:tcBorders>
              <w:top w:val="single" w:sz="4" w:space="0" w:color="auto"/>
              <w:left w:val="single" w:sz="4" w:space="0" w:color="auto"/>
              <w:bottom w:val="single" w:sz="4" w:space="0" w:color="auto"/>
              <w:right w:val="single" w:sz="4" w:space="0" w:color="auto"/>
            </w:tcBorders>
          </w:tcPr>
          <w:p w14:paraId="733B23D0">
            <w:pPr>
              <w:pStyle w:val="TableText"/>
            </w:pPr>
            <w:r>
              <w:t xml:space="preserve">Not part of the value schema. They may be carried as Avro documentation but shall not alter the Parsing Canonical Form.</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3999495">
            <w:pPr>
              <w:pStyle w:val="TableText"/>
            </w:pPr>
            <w:r>
              <w:rPr>
                <w:rStyle w:val="VARIABLE"/>
              </w:rPr>
              <w:t xml:space="preserve">StructureDataTypes</w:t>
            </w:r>
            <w:r>
              <w:t xml:space="preserve"> (</w:t>
            </w:r>
            <w:r>
              <w:rPr>
                <w:rStyle w:val="VARIABLE"/>
              </w:rPr>
              <w:t xml:space="preserve">StructureDescription[]</w:t>
            </w:r>
            <w:r>
              <w:t xml:space="preserve">)</w:t>
            </w:r>
          </w:p>
        </w:tc>
        <w:tc>
          <w:tcPr>
            <w:tcW w:w="4463" w:type="dxa"/>
            <w:tcBorders>
              <w:top w:val="single" w:sz="4" w:space="0" w:color="auto"/>
              <w:left w:val="single" w:sz="4" w:space="0" w:color="auto"/>
              <w:bottom w:val="single" w:sz="4" w:space="0" w:color="auto"/>
              <w:right w:val="single" w:sz="4" w:space="0" w:color="auto"/>
            </w:tcBorders>
          </w:tcPr>
          <w:p w14:paraId="63FE9907">
            <w:pPr>
              <w:pStyle w:val="TableText"/>
            </w:pPr>
            <w:r>
              <w:t xml:space="preserve">Supplies the </w:t>
            </w:r>
            <w:r>
              <w:rPr>
                <w:rStyle w:val="VARIABLE"/>
              </w:rPr>
              <w:t xml:space="preserve">StructureDefinition</w:t>
            </w:r>
            <w:r>
              <w:t xml:space="preserve"> for each structured DataType. Its </w:t>
            </w:r>
            <w:r>
              <w:rPr>
                <w:rStyle w:val="VARIABLE"/>
              </w:rPr>
              <w:t xml:space="preserve">StructureType</w:t>
            </w:r>
            <w:r>
              <w:t xml:space="preserve"> selects </w:t>
            </w:r>
            <w:r>
              <w:fldChar w:fldCharType="begin"/>
            </w:r>
            <w:r>
              <w:instrText xml:space="preserve"> REF _Clause_c6_5_6 \r \h </w:instrText>
            </w:r>
            <w:r>
              <w:fldChar w:fldCharType="separate"/>
            </w:r>
            <w:r>
              <w:rPr>
                <w:noProof/>
              </w:rPr>
              <w:t xml:space="preserve">6.5.6</w:t>
            </w:r>
            <w:r>
              <w:fldChar w:fldCharType="end"/>
            </w:r>
            <w:r>
              <w:t xml:space="preserve"> (Structure, StructureWithOptionalFields) or </w:t>
            </w:r>
            <w:r>
              <w:fldChar w:fldCharType="begin"/>
            </w:r>
            <w:r>
              <w:instrText xml:space="preserve"> REF _Clause_c6_5_7 \r \h </w:instrText>
            </w:r>
            <w:r>
              <w:fldChar w:fldCharType="separate"/>
            </w:r>
            <w:r>
              <w:rPr>
                <w:noProof/>
              </w:rPr>
              <w:t xml:space="preserve">6.5.7</w:t>
            </w:r>
            <w:r>
              <w:fldChar w:fldCharType="end"/>
            </w:r>
            <w:r>
              <w:t xml:space="preserve"> (Union).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413C832">
            <w:pPr>
              <w:pStyle w:val="TableText"/>
            </w:pPr>
            <w:r>
              <w:rPr>
                <w:rStyle w:val="VARIABLE"/>
              </w:rPr>
              <w:t xml:space="preserve">EnumDataTypes</w:t>
            </w:r>
            <w:r>
              <w:t xml:space="preserve"> (</w:t>
            </w:r>
            <w:r>
              <w:rPr>
                <w:rStyle w:val="VARIABLE"/>
              </w:rPr>
              <w:t xml:space="preserve">EnumDescription[]</w:t>
            </w:r>
            <w:r>
              <w:t xml:space="preserve">)</w:t>
            </w:r>
          </w:p>
        </w:tc>
        <w:tc>
          <w:tcPr>
            <w:tcW w:w="4463" w:type="dxa"/>
            <w:tcBorders>
              <w:top w:val="single" w:sz="4" w:space="0" w:color="auto"/>
              <w:left w:val="single" w:sz="4" w:space="0" w:color="auto"/>
              <w:bottom w:val="single" w:sz="4" w:space="0" w:color="auto"/>
              <w:right w:val="single" w:sz="4" w:space="0" w:color="auto"/>
            </w:tcBorders>
          </w:tcPr>
          <w:p w14:paraId="66D703C7">
            <w:pPr>
              <w:pStyle w:val="TableText"/>
            </w:pPr>
            <w:r>
              <w:t xml:space="preserve">Supplies the </w:t>
            </w:r>
            <w:r>
              <w:rPr>
                <w:rStyle w:val="VARIABLE"/>
              </w:rPr>
              <w:t xml:space="preserve">EnumDefinition</w:t>
            </w:r>
            <w:r>
              <w:t xml:space="preserve"> used by </w:t>
            </w:r>
            <w:r>
              <w:fldChar w:fldCharType="begin"/>
            </w:r>
            <w:r>
              <w:instrText xml:space="preserve"> REF _Clause_c6_5_3 \r \h </w:instrText>
            </w:r>
            <w:r>
              <w:fldChar w:fldCharType="separate"/>
            </w:r>
            <w:r>
              <w:rPr>
                <w:noProof/>
              </w:rPr>
              <w:t xml:space="preserve">6.5.3</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03000C4">
            <w:pPr>
              <w:pStyle w:val="TableText"/>
            </w:pPr>
            <w:r>
              <w:rPr>
                <w:rStyle w:val="VARIABLE"/>
              </w:rPr>
              <w:t xml:space="preserve">SimpleDataTypes</w:t>
            </w:r>
            <w:r>
              <w:t xml:space="preserve"> (</w:t>
            </w:r>
            <w:r>
              <w:rPr>
                <w:rStyle w:val="VARIABLE"/>
              </w:rPr>
              <w:t xml:space="preserve">SimpleTypeDescription[]</w:t>
            </w:r>
            <w:r>
              <w:t xml:space="preserve">)</w:t>
            </w:r>
          </w:p>
        </w:tc>
        <w:tc>
          <w:tcPr>
            <w:tcW w:w="4463" w:type="dxa"/>
            <w:tcBorders>
              <w:top w:val="single" w:sz="4" w:space="0" w:color="auto"/>
              <w:left w:val="single" w:sz="4" w:space="0" w:color="auto"/>
              <w:bottom w:val="single" w:sz="4" w:space="0" w:color="auto"/>
              <w:right w:val="single" w:sz="4" w:space="0" w:color="auto"/>
            </w:tcBorders>
          </w:tcPr>
          <w:p w14:paraId="62278361">
            <w:pPr>
              <w:pStyle w:val="TableText"/>
            </w:pPr>
            <w:r>
              <w:t xml:space="preserve">Supplies the built-in type each simple DataType derives from, mapped per </w:t>
            </w:r>
            <w:r>
              <w:fldChar w:fldCharType="begin"/>
            </w:r>
            <w:r>
              <w:instrText xml:space="preserve"> REF _Clause_c6_5_2 \r \h </w:instrText>
            </w:r>
            <w:r>
              <w:fldChar w:fldCharType="separate"/>
            </w:r>
            <w:r>
              <w:rPr>
                <w:noProof/>
              </w:rPr>
              <w:t xml:space="preserve">6.5.2</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E1A21EC">
            <w:pPr>
              <w:pStyle w:val="TableText"/>
            </w:pPr>
            <w:r>
              <w:rPr>
                <w:rStyle w:val="VARIABLE"/>
              </w:rPr>
              <w:t xml:space="preserve">Namespaces</w:t>
            </w:r>
          </w:p>
        </w:tc>
        <w:tc>
          <w:tcPr>
            <w:tcW w:w="4463" w:type="dxa"/>
            <w:tcBorders>
              <w:top w:val="single" w:sz="4" w:space="0" w:color="auto"/>
              <w:left w:val="single" w:sz="4" w:space="0" w:color="auto"/>
              <w:bottom w:val="single" w:sz="4" w:space="0" w:color="auto"/>
              <w:right w:val="single" w:sz="4" w:space="0" w:color="auto"/>
            </w:tcBorders>
          </w:tcPr>
          <w:p w14:paraId="374CF033">
            <w:pPr>
              <w:pStyle w:val="TableText"/>
            </w:pPr>
            <w:r>
              <w:t xml:space="preserve">Maps NamespaceUris to Avro namespaces per </w:t>
            </w:r>
            <w:r>
              <w:fldChar w:fldCharType="begin"/>
            </w:r>
            <w:r>
              <w:instrText xml:space="preserve"> REF _Clause_c6_6_5 \r \h </w:instrText>
            </w:r>
            <w:r>
              <w:fldChar w:fldCharType="separate"/>
            </w:r>
            <w:r>
              <w:rPr>
                <w:noProof/>
              </w:rPr>
              <w:t xml:space="preserve">6.6.5</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878EF12">
            <w:pPr>
              <w:pStyle w:val="TableText"/>
            </w:pPr>
            <w:r>
              <w:rPr>
                <w:rStyle w:val="VARIABLE"/>
              </w:rPr>
              <w:t xml:space="preserve">ConfigurationVersion</w:t>
            </w:r>
            <w:r>
              <w:t xml:space="preserve">, </w:t>
            </w:r>
            <w:r>
              <w:rPr>
                <w:rStyle w:val="VARIABLE"/>
              </w:rPr>
              <w:t xml:space="preserve">DataSetClassId</w:t>
            </w:r>
          </w:p>
        </w:tc>
        <w:tc>
          <w:tcPr>
            <w:tcW w:w="4463" w:type="dxa"/>
            <w:tcBorders>
              <w:top w:val="single" w:sz="4" w:space="0" w:color="auto"/>
              <w:left w:val="single" w:sz="4" w:space="0" w:color="auto"/>
              <w:bottom w:val="single" w:sz="4" w:space="0" w:color="auto"/>
              <w:right w:val="single" w:sz="4" w:space="0" w:color="auto"/>
            </w:tcBorders>
          </w:tcPr>
          <w:p w14:paraId="069BFD72">
            <w:pPr>
              <w:pStyle w:val="TableText"/>
            </w:pPr>
            <w:r>
              <w:t xml:space="preserve">Not inputs to schema generation. They identify the DataSet configuration and follow the lifecycle of </w:t>
            </w:r>
            <w:r>
              <w:fldChar w:fldCharType="begin"/>
            </w:r>
            <w:r>
              <w:instrText xml:space="preserve"> REF _Clause_c6_8_4 \r \h </w:instrText>
            </w:r>
            <w:r>
              <w:fldChar w:fldCharType="separate"/>
            </w:r>
            <w:r>
              <w:rPr>
                <w:noProof/>
              </w:rPr>
              <w:t xml:space="preserve">6.8.4</w:t>
            </w:r>
            <w:r>
              <w:fldChar w:fldCharType="end"/>
            </w:r>
            <w:r>
              <w:t xml:space="preserve">.</w:t>
            </w:r>
          </w:p>
        </w:tc>
      </w:tr>
    </w:tbl>
    <w:p w14:paraId="6BB7F0C3">
      <w:pPr>
        <w:pStyle w:val="spacer"/>
      </w:pPr>
    </w:p>
    <w:p w14:paraId="6F76A532">
      <w:pPr>
        <w:pStyle w:val="PARAGRAPH"/>
      </w:pPr>
      <w:r>
        <w:t xml:space="preserve">Nullability is </w:t>
      </w:r>
      <w:r>
        <w:rPr>
          <w:b/>
        </w:rPr>
        <w:t xml:space="preserve">not</w:t>
      </w:r>
      <w:r>
        <w:t xml:space="preserve"> taken from </w:t>
      </w:r>
      <w:r>
        <w:rPr>
          <w:rStyle w:val="VARIABLE"/>
        </w:rPr>
        <w:t xml:space="preserve">Fields[].FieldFlags</w:t>
      </w:r>
      <w:r>
        <w:t xml:space="preserve">. </w:t>
      </w:r>
      <w:r>
        <w:rPr>
          <w:rStyle w:val="VARIABLE"/>
        </w:rPr>
        <w:t xml:space="preserve">DataSetFieldFlags</w:t>
      </w:r>
      <w:r>
        <w:t xml:space="preserve"> defines only </w:t>
      </w:r>
      <w:r>
        <w:rPr>
          <w:rStyle w:val="VARIABLE"/>
        </w:rPr>
        <w:t xml:space="preserve">PromotedField</w:t>
      </w:r>
      <w:r>
        <w:t xml:space="preserve">, which selects promotion (</w:t>
      </w:r>
      <w:r>
        <w:fldChar w:fldCharType="begin"/>
      </w:r>
      <w:r>
        <w:instrText xml:space="preserve"> REF _Clause_c6_8_1 \r \h </w:instrText>
      </w:r>
      <w:r>
        <w:fldChar w:fldCharType="separate"/>
      </w:r>
      <w:r>
        <w:rPr>
          <w:noProof/>
        </w:rPr>
        <w:t xml:space="preserve">6.8.1</w:t>
      </w:r>
      <w:r>
        <w:fldChar w:fldCharType="end"/>
      </w:r>
      <w:r>
        <w:t xml:space="preserve">) and has no effect on the value schema. A field is nullable exactly where the rules of </w:t>
      </w:r>
      <w:r>
        <w:fldChar w:fldCharType="begin"/>
      </w:r>
      <w:r>
        <w:instrText xml:space="preserve"> REF _Clause_c6_5 \r \h </w:instrText>
      </w:r>
      <w:r>
        <w:fldChar w:fldCharType="separate"/>
      </w:r>
      <w:r>
        <w:rPr>
          <w:noProof/>
        </w:rPr>
        <w:t xml:space="preserve">6.5</w:t>
      </w:r>
      <w:r>
        <w:fldChar w:fldCharType="end"/>
      </w:r>
      <w:r>
        <w:t xml:space="preserve"> make its DataType nullable, which is the same determination the AddressSpace path makes.</w:t>
      </w:r>
    </w:p>
    <w:p w14:paraId="103443A4">
      <w:pPr>
        <w:pStyle w:val="PARAGRAPH"/>
      </w:pPr>
      <w:r>
        <w:t xml:space="preserve">The framing of each field — RawData, Variant-wrapped, or DataValue-wrapped — is </w:t>
      </w:r>
      <w:r>
        <w:rPr>
          <w:b/>
        </w:rPr>
        <w:t xml:space="preserve">not</w:t>
      </w:r>
      <w:r>
        <w:t xml:space="preserve"> part of the metadata. It follows the </w:t>
      </w:r>
      <w:r>
        <w:rPr>
          <w:rStyle w:val="VARIABLE"/>
        </w:rPr>
        <w:t xml:space="preserve">DataSetFieldContentMask</w:t>
      </w:r>
      <w:r>
        <w:t xml:space="preserve"> of the DataSetWriter as defined in </w:t>
      </w:r>
      <w:r>
        <w:fldChar w:fldCharType="begin"/>
      </w:r>
      <w:r>
        <w:instrText xml:space="preserve"> REF _Clause_c6_8_2 \r \h </w:instrText>
      </w:r>
      <w:r>
        <w:fldChar w:fldCharType="separate"/>
      </w:r>
      <w:r>
        <w:rPr>
          <w:noProof/>
        </w:rPr>
        <w:t xml:space="preserve">6.8.2</w:t>
      </w:r>
      <w:r>
        <w:fldChar w:fldCharType="end"/>
      </w:r>
      <w:r>
        <w:t xml:space="preserve">, and shall be applied after the per-field type mapping above.</w:t>
      </w:r>
    </w:p>
    <w:p w14:paraId="05CD6D9A">
      <w:pPr>
        <w:pStyle w:val="PARAGRAPH"/>
      </w:pPr>
      <w:r>
        <w:t xml:space="preserve">Where the metadata is complete, this path is a different </w:t>
      </w:r>
      <w:r>
        <w:rPr>
          <w:b/>
        </w:rPr>
        <w:t xml:space="preserve">source of inputs</w:t>
      </w:r>
      <w:r>
        <w:t xml:space="preserve">, not a different algorithm. It shall produce a schema </w:t>
      </w:r>
      <w:r>
        <w:rPr>
          <w:b/>
        </w:rPr>
        <w:t xml:space="preserve">identical</w:t>
      </w:r>
      <w:r>
        <w:t xml:space="preserve"> to the one the AddressSpace path of </w:t>
      </w:r>
      <w:r>
        <w:fldChar w:fldCharType="begin"/>
      </w:r>
      <w:r>
        <w:instrText xml:space="preserve"> REF _Clause_c6_6_1 \r \h </w:instrText>
      </w:r>
      <w:r>
        <w:fldChar w:fldCharType="separate"/>
      </w:r>
      <w:r>
        <w:rPr>
          <w:noProof/>
        </w:rPr>
        <w:t xml:space="preserve">6.6.1</w:t>
      </w:r>
      <w:r>
        <w:fldChar w:fldCharType="end"/>
      </w:r>
      <w:r>
        <w:t xml:space="preserve"> produces for the same DataSet, and therefore an identical SchemaId. If the two paths disagreed, the SchemaId would no longer identify one canonical schema and </w:t>
      </w:r>
      <w:r>
        <w:fldChar w:fldCharType="begin"/>
      </w:r>
      <w:r>
        <w:instrText xml:space="preserve"> REF _Clause_c6_6_3 \r \h </w:instrText>
      </w:r>
      <w:r>
        <w:fldChar w:fldCharType="separate"/>
      </w:r>
      <w:r>
        <w:rPr>
          <w:noProof/>
        </w:rPr>
        <w:t xml:space="preserve">6.6.3</w:t>
      </w:r>
      <w:r>
        <w:fldChar w:fldCharType="end"/>
      </w:r>
      <w:r>
        <w:t xml:space="preserve"> would not hold.</w:t>
      </w:r>
    </w:p>
    <w:p w14:paraId="1072CE87">
      <w:pPr>
        <w:pStyle w:val="PARAGRAPH"/>
      </w:pPr>
      <w:r>
        <w:t xml:space="preserve">The metadata is not always complete, and an implementation shall detect this rather than emit a schema that only appears correct.</w:t>
      </w:r>
    </w:p>
    <w:p w14:paraId="7DD688A6">
      <w:pPr>
        <w:pStyle w:val="ListBullet"/>
        <w:numPr>
          <w:ilvl w:val="0"/>
          <w:numId w:val="21"/>
        </w:numPr>
      </w:pPr>
      <w:r>
        <w:t xml:space="preserve">A </w:t>
      </w:r>
      <w:r>
        <w:rPr>
          <w:rStyle w:val="VARIABLE"/>
        </w:rPr>
        <w:t xml:space="preserve">Fields[].DataType</w:t>
      </w:r>
      <w:r>
        <w:t xml:space="preserve"> that is neither a built-in nor present in </w:t>
      </w:r>
      <w:r>
        <w:rPr>
          <w:rStyle w:val="VARIABLE"/>
        </w:rPr>
        <w:t xml:space="preserve">StructureDataTypes</w:t>
      </w:r>
      <w:r>
        <w:t xml:space="preserve">, </w:t>
      </w:r>
      <w:r>
        <w:rPr>
          <w:rStyle w:val="VARIABLE"/>
        </w:rPr>
        <w:t xml:space="preserve">EnumDataTypes</w:t>
      </w:r>
      <w:r>
        <w:t xml:space="preserve"> or </w:t>
      </w:r>
      <w:r>
        <w:rPr>
          <w:rStyle w:val="VARIABLE"/>
        </w:rPr>
        <w:t xml:space="preserve">SimpleDataTypes</w:t>
      </w:r>
      <w:r>
        <w:t xml:space="preserve"> cannot be mapped. The generator shall fail rather than substitute an opaque or guessed type.</w:t>
      </w:r>
    </w:p>
    <w:p w14:paraId="71FE20E1">
      <w:pPr>
        <w:pStyle w:val="ListBullet"/>
        <w:numPr>
          <w:ilvl w:val="0"/>
          <w:numId w:val="21"/>
        </w:numPr>
      </w:pPr>
      <w:r>
        <w:t xml:space="preserve">A field typed as Variant, or as an abstract DataType or one allowing subtypes, carries no concrete runtime type in the metadata. The metadata alone therefore cannot fix the body branch (</w:t>
      </w:r>
      <w:r>
        <w:fldChar w:fldCharType="begin"/>
      </w:r>
      <w:r>
        <w:instrText xml:space="preserve"> REF _Clause_c6_5_8 \r \h </w:instrText>
      </w:r>
      <w:r>
        <w:fldChar w:fldCharType="separate"/>
      </w:r>
      <w:r>
        <w:rPr>
          <w:noProof/>
        </w:rPr>
        <w:t xml:space="preserve">6.5.8</w:t>
      </w:r>
      <w:r>
        <w:fldChar w:fldCharType="end"/>
      </w:r>
      <w:r>
        <w:t xml:space="preserve">, </w:t>
      </w:r>
      <w:r>
        <w:fldChar w:fldCharType="begin"/>
      </w:r>
      <w:r>
        <w:instrText xml:space="preserve"> REF _Clause_c6_5_9 \r \h </w:instrText>
      </w:r>
      <w:r>
        <w:fldChar w:fldCharType="separate"/>
      </w:r>
      <w:r>
        <w:rPr>
          <w:noProof/>
        </w:rPr>
        <w:t xml:space="preserve">6.5.9</w:t>
      </w:r>
      <w:r>
        <w:fldChar w:fldCharType="end"/>
      </w:r>
      <w:r>
        <w:t xml:space="preserve">), and the schema is complete only once the concrete type is observed while encoding.</w:t>
      </w:r>
    </w:p>
    <w:p w14:paraId="00B7958A">
      <w:pPr>
        <w:pStyle w:val="ListBullet"/>
        <w:numPr>
          <w:ilvl w:val="0"/>
          <w:numId w:val="21"/>
        </w:numPr>
      </w:pPr>
      <w:r>
        <w:t xml:space="preserve">A schema derived from incomplete metadata shall be treated as the start of a lineage that </w:t>
      </w:r>
      <w:r>
        <w:rPr>
          <w:b/>
        </w:rPr>
        <w:t xml:space="preserve">grows</w:t>
      </w:r>
      <w:r>
        <w:t xml:space="preserve"> append-only per </w:t>
      </w:r>
      <w:r>
        <w:fldChar w:fldCharType="begin"/>
      </w:r>
      <w:r>
        <w:instrText xml:space="preserve"> REF _Clause_c6_6_4 \r \h </w:instrText>
      </w:r>
      <w:r>
        <w:fldChar w:fldCharType="separate"/>
      </w:r>
      <w:r>
        <w:rPr>
          <w:noProof/>
        </w:rPr>
        <w:t xml:space="preserve">6.6.4</w:t>
      </w:r>
      <w:r>
        <w:fldChar w:fldCharType="end"/>
      </w:r>
      <w:r>
        <w:t xml:space="preserve"> as those concrete types are observed. It shall not be announced as a final schema for the DataSet if further body types remain possible.</w:t>
      </w:r>
    </w:p>
    <w:p w14:paraId="54A95CBC">
      <w:pPr>
        <w:pStyle w:val="Heading2"/>
      </w:pPr>
      <w:bookmarkStart w:id="499" w:name="_Clause_c6_7"/>
      <w:r>
        <w:t xml:space="preserve">Decoder schema resolution</w:t>
      </w:r>
      <w:bookmarkEnd w:id="499"/>
    </w:p>
    <w:p w14:paraId="1192B802">
      <w:pPr>
        <w:pStyle w:val="PARAGRAPH"/>
      </w:pPr>
      <w:r>
        <w:t xml:space="preserve">A decoder shall use one of the following schema resolution paths.</w:t>
      </w:r>
    </w:p>
    <w:p w14:paraId="75934FBD">
      <w:pPr>
        <w:pStyle w:val="PARAGRAPH"/>
      </w:pPr>
      <w:r>
        <w:rPr>
          <w:b/>
        </w:rPr>
        <w:t xml:space="preserve">Schema-driven path.</w:t>
      </w:r>
      <w:r>
        <w:t xml:space="preserve"> If the decoder already has a schema for the SchemaId, from a local cache, announcement, schema registry or configured catalog, it shall parse that schema and decode the Avro binary payload directly. If the payload uses Avro single-object encoding, the decoder shall verify the two magic bytes and the embedded little-endian Rabin fingerprint before decoding the body.</w:t>
      </w:r>
    </w:p>
    <w:p w14:paraId="66D4A25B">
      <w:pPr>
        <w:pStyle w:val="PARAGRAPH"/>
      </w:pPr>
      <w:r>
        <w:rPr>
          <w:b/>
        </w:rPr>
        <w:t xml:space="preserve">AddressSpace-driven path.</w:t>
      </w:r>
      <w:r>
        <w:t xml:space="preserve"> If the decoder does not have a schema body but can read the DataType from the server, it shall read the DataTypeDefinition and recursively referenced definitions from the AddressSpace and run the same schema-generation function defined in </w:t>
      </w:r>
      <w:r>
        <w:fldChar w:fldCharType="begin"/>
      </w:r>
      <w:r>
        <w:instrText xml:space="preserve"> REF _Clause_c6_6 \r \h </w:instrText>
      </w:r>
      <w:r>
        <w:fldChar w:fldCharType="separate"/>
      </w:r>
      <w:r>
        <w:rPr>
          <w:noProof/>
        </w:rPr>
        <w:t xml:space="preserve">6.6</w:t>
      </w:r>
      <w:r>
        <w:fldChar w:fldCharType="end"/>
      </w:r>
      <w:r>
        <w:t xml:space="preserve">. For Variant and abstract/subtyped fields, it shall use the inline built-in type, dimensions and TypeId carried in the value to select the same concrete branch as the encoder. The re-derived self-contained Parsing Canonical Form shall produce the same SchemaId. When this check fails, the value shall not be decoded with the mismatched schema.</w:t>
      </w:r>
    </w:p>
    <w:p w14:paraId="08CB1209">
      <w:pPr>
        <w:pStyle w:val="PARAGRAPH"/>
      </w:pPr>
      <w:r>
        <w:rPr>
          <w:b/>
        </w:rPr>
        <w:t xml:space="preserve">Metadata-driven path.</w:t>
      </w:r>
      <w:r>
        <w:t xml:space="preserve"> If the decoder has neither a schema body nor access to the AddressSpace, but does hold the DataSetMetaData for the DataSet, it may derive the schema from that metadata as defined in </w:t>
      </w:r>
      <w:r>
        <w:fldChar w:fldCharType="begin"/>
      </w:r>
      <w:r>
        <w:instrText xml:space="preserve"> REF _Clause_c6_6_7 \r \h </w:instrText>
      </w:r>
      <w:r>
        <w:fldChar w:fldCharType="separate"/>
      </w:r>
      <w:r>
        <w:rPr>
          <w:noProof/>
        </w:rPr>
        <w:t xml:space="preserve">6.6.7</w:t>
      </w:r>
      <w:r>
        <w:fldChar w:fldCharType="end"/>
      </w:r>
      <w:r>
        <w:t xml:space="preserve">. The limits of </w:t>
      </w:r>
      <w:r>
        <w:fldChar w:fldCharType="begin"/>
      </w:r>
      <w:r>
        <w:instrText xml:space="preserve"> REF _Clause_c6_6_7 \r \h </w:instrText>
      </w:r>
      <w:r>
        <w:fldChar w:fldCharType="separate"/>
      </w:r>
      <w:r>
        <w:rPr>
          <w:noProof/>
        </w:rPr>
        <w:t xml:space="preserve">6.6.7</w:t>
      </w:r>
      <w:r>
        <w:fldChar w:fldCharType="end"/>
      </w:r>
      <w:r>
        <w:t xml:space="preserve"> apply: where the metadata cannot fix a Variant or subtyped body branch, the derived schema is incomplete and the decoder shall obtain the announced schema by SchemaId instead. This path is secondary — a subscriber is normally served by the schema-driven path.</w:t>
      </w:r>
    </w:p>
    <w:p w14:paraId="02659887">
      <w:pPr>
        <w:pStyle w:val="PARAGRAPH"/>
      </w:pPr>
      <w:r>
        <w:t xml:space="preserve">The encoder writes bytes from the type model. In the </w:t>
      </w:r>
      <w:r>
        <w:rPr>
          <w:b/>
        </w:rPr>
        <w:t xml:space="preserve">primary use case the decoder — a subscriber or downstream Avro consumer — likely does not have the OPC UA type model or DataTypeDefinitions at consumption time</w:t>
      </w:r>
      <w:r>
        <w:t xml:space="preserve">; the type model may live elsewhere but is unavailable where the value is decoded, so the decoder cannot re-derive the schema and instead </w:t>
      </w:r>
      <w:r>
        <w:rPr>
          <w:b/>
        </w:rPr>
        <w:t xml:space="preserve">obtains the shared schema by SchemaId</w:t>
      </w:r>
      <w:r>
        <w:t xml:space="preserve"> (from a registry, announcement or cache) and uses it to decode. Only where a decoder does hold the relevant DataTypeDefinitions — the AddressSpace-driven path above — may it re-derive the schema instead of receiving it; the SchemaId is then sufficient to verify that both sides </w:t>
      </w:r>
      <w:r>
        <w:rPr>
          <w:b/>
        </w:rPr>
        <w:t xml:space="preserve">are using</w:t>
      </w:r>
      <w:r>
        <w:t xml:space="preserve"> the same schema.</w:t>
      </w:r>
    </w:p>
    <w:p w14:paraId="7C227171">
      <w:pPr>
        <w:pStyle w:val="PARAGRAPH"/>
      </w:pPr>
      <w:r>
        <w:rPr>
          <w:b/>
        </w:rPr>
        <w:t xml:space="preserve">Textual NodeId fields.</w:t>
      </w:r>
      <w:r>
        <w:t xml:space="preserve"> The Avro schema alone determines the NodeId/ExpandedNodeId representation: where a NodeId or ExpandedNodeId field's schema type is </w:t>
      </w:r>
      <w:r>
        <w:rPr>
          <w:rStyle w:val="VARIABLE"/>
        </w:rPr>
        <w:t xml:space="preserve">string</w:t>
      </w:r>
      <w:r>
        <w:t xml:space="preserve">, the decoder shall parse the OPC UA textual syntax of </w:t>
      </w:r>
      <w:r>
        <w:fldChar w:fldCharType="begin"/>
      </w:r>
      <w:r>
        <w:instrText xml:space="preserve"> REF _Clause_c6_5_2_1 \r \h </w:instrText>
      </w:r>
      <w:r>
        <w:fldChar w:fldCharType="separate"/>
      </w:r>
      <w:r>
        <w:rPr>
          <w:noProof/>
        </w:rPr>
        <w:t xml:space="preserve">6.5.2.1</w:t>
      </w:r>
      <w:r>
        <w:fldChar w:fldCharType="end"/>
      </w:r>
      <w:r>
        <w:t xml:space="preserve">; where it is the </w:t>
      </w:r>
      <w:r>
        <w:rPr>
          <w:rStyle w:val="VARIABLE"/>
        </w:rPr>
        <w:t xml:space="preserve">record NodeId</w:t>
      </w:r>
      <w:r>
        <w:t xml:space="preserve"> / </w:t>
      </w:r>
      <w:r>
        <w:rPr>
          <w:rStyle w:val="VARIABLE"/>
        </w:rPr>
        <w:t xml:space="preserve">record ExpandedNodeId</w:t>
      </w:r>
      <w:r>
        <w:t xml:space="preserve">, the decoder shall decode structurally. A decoder shall not infer the textual form from the value; it follows the field's declared Avro type.</w:t>
      </w:r>
    </w:p>
    <w:p w14:paraId="558F6D89">
      <w:pPr>
        <w:pStyle w:val="Heading2"/>
      </w:pPr>
      <w:bookmarkStart w:id="500" w:name="_Clause_c6_8"/>
      <w:r>
        <w:t xml:space="preserve">PubSub message mapping</w:t>
      </w:r>
      <w:bookmarkEnd w:id="500"/>
    </w:p>
    <w:p w14:paraId="45B9F242">
      <w:pPr>
        <w:pStyle w:val="PARAGRAPH"/>
      </w:pPr>
      <w:r>
        <w:t xml:space="preserve">This clause maps the OPC 10000-14 PubSub message model onto Avro: NetworkMessages carrying DataSetMessages (</w:t>
      </w:r>
      <w:r>
        <w:t xml:space="preserve">§8.1</w:t>
      </w:r>
      <w:r>
        <w:t xml:space="preserve">, </w:t>
      </w:r>
      <w:r>
        <w:t xml:space="preserve">§8.2</w:t>
      </w:r>
      <w:r>
        <w:t xml:space="preserve">), Action and Discovery messages (</w:t>
      </w:r>
      <w:r>
        <w:t xml:space="preserve">§8.3</w:t>
      </w:r>
      <w:r>
        <w:t xml:space="preserve">), the SchemaId handshake that lets a receiver obtain the schema before decoding (</w:t>
      </w:r>
      <w:r>
        <w:t xml:space="preserve">§8.4</w:t>
      </w:r>
      <w:r>
        <w:t xml:space="preserve">), the configuration parameters that select the mapping (</w:t>
      </w:r>
      <w:r>
        <w:fldChar w:fldCharType="begin"/>
      </w:r>
      <w:r>
        <w:instrText xml:space="preserve"> REF _Clause_c6_8_5 \r \h </w:instrText>
      </w:r>
      <w:r>
        <w:fldChar w:fldCharType="separate"/>
      </w:r>
      <w:r>
        <w:rPr>
          <w:noProof/>
        </w:rPr>
        <w:t xml:space="preserve">6.8.5</w:t>
      </w:r>
      <w:r>
        <w:fldChar w:fldCharType="end"/>
      </w:r>
      <w:r>
        <w:t xml:space="preserve">), and the transport content types that identify an Avro payload (</w:t>
      </w:r>
      <w:r>
        <w:fldChar w:fldCharType="begin"/>
      </w:r>
      <w:r>
        <w:instrText xml:space="preserve"> REF _Clause_c6_8_6 \r \h </w:instrText>
      </w:r>
      <w:r>
        <w:fldChar w:fldCharType="separate"/>
      </w:r>
      <w:r>
        <w:rPr>
          <w:noProof/>
        </w:rPr>
        <w:t xml:space="preserve">6.8.6</w:t>
      </w:r>
      <w:r>
        <w:fldChar w:fldCharType="end"/>
      </w:r>
      <w:r>
        <w:t xml:space="preserve">). It applies on top of the value encoding of </w:t>
      </w:r>
      <w:r>
        <w:fldChar w:fldCharType="begin"/>
      </w:r>
      <w:r>
        <w:instrText xml:space="preserve"> REF _Clause_c6_5 \r \h </w:instrText>
      </w:r>
      <w:r>
        <w:fldChar w:fldCharType="separate"/>
      </w:r>
      <w:r>
        <w:rPr>
          <w:noProof/>
        </w:rPr>
        <w:t xml:space="preserve">6.5</w:t>
      </w:r>
      <w:r>
        <w:fldChar w:fldCharType="end"/>
      </w:r>
      <w:r>
        <w:t xml:space="preserve">–</w:t>
      </w:r>
      <w:r>
        <w:fldChar w:fldCharType="begin"/>
      </w:r>
      <w:r>
        <w:instrText xml:space="preserve"> REF _Clause_c6_7 \r \h </w:instrText>
      </w:r>
      <w:r>
        <w:fldChar w:fldCharType="separate"/>
      </w:r>
      <w:r>
        <w:rPr>
          <w:noProof/>
        </w:rPr>
        <w:t xml:space="preserve">6.7</w:t>
      </w:r>
      <w:r>
        <w:fldChar w:fldCharType="end"/>
      </w:r>
      <w:r>
        <w:t xml:space="preserve"> and mirrors the OPC 10000-14 message mapping structure used by the JSON mapping.</w:t>
      </w:r>
    </w:p>
    <w:p w14:paraId="34236AF1">
      <w:pPr>
        <w:pStyle w:val="Heading3"/>
      </w:pPr>
      <w:bookmarkStart w:id="501" w:name="_Clause_c6_8_1"/>
      <w:r>
        <w:t xml:space="preserve">NetworkMessage</w:t>
      </w:r>
      <w:bookmarkEnd w:id="501"/>
    </w:p>
    <w:p w14:paraId="5595BB98">
      <w:pPr>
        <w:pStyle w:val="PARAGRAPH"/>
      </w:pPr>
      <w:r>
        <w:t xml:space="preserve">An Avro NetworkMessage is a </w:t>
      </w:r>
      <w:r>
        <w:rPr>
          <w:b/>
        </w:rPr>
        <w:t xml:space="preserve">fixed envelope</w:t>
      </w:r>
      <w:r>
        <w:t xml:space="preserve"> whose Avro record schema is defined by this specification and does </w:t>
      </w:r>
      <w:r>
        <w:rPr>
          <w:b/>
        </w:rPr>
        <w:t xml:space="preserve">not</w:t>
      </w:r>
      <w:r>
        <w:t xml:space="preserve"> vary with the DataSets it carries. Because a NetworkMessage may, over its lifetime, carry any DataSet its WriterGroup is configured for, an envelope schema that inlined every DataSet's fields would be the union of all of them and would change whenever the group's configuration changed. Instead the envelope carries each DataSetMessage </w:t>
      </w:r>
      <w:r>
        <w:rPr>
          <w:b/>
        </w:rPr>
        <w:t xml:space="preserve">opaquely</w:t>
      </w:r>
      <w:r>
        <w:t xml:space="preserve">: the </w:t>
      </w:r>
      <w:r>
        <w:rPr>
          <w:rStyle w:val="VARIABLE"/>
        </w:rPr>
        <w:t xml:space="preserve">payload</w:t>
      </w:r>
      <w:r>
        <w:t xml:space="preserve"> is an array of entries, each </w:t>
      </w:r>
      <w:r>
        <w:rPr>
          <w:rStyle w:val="VARIABLE"/>
        </w:rPr>
        <w:t xml:space="preserve">{ "schemaId": bytes, "dataSetMessage": bytes }</w:t>
      </w:r>
      <w:r>
        <w:t xml:space="preserve">, where </w:t>
      </w:r>
      <w:r>
        <w:rPr>
          <w:rStyle w:val="VARIABLE"/>
        </w:rPr>
        <w:t xml:space="preserve">dataSetMessage</w:t>
      </w:r>
      <w:r>
        <w:t xml:space="preserve"> is the Avro-binary encoding of the DataSetMessage (</w:t>
      </w:r>
      <w:r>
        <w:fldChar w:fldCharType="begin"/>
      </w:r>
      <w:r>
        <w:instrText xml:space="preserve"> REF _Clause_c6_8_2 \r \h </w:instrText>
      </w:r>
      <w:r>
        <w:fldChar w:fldCharType="separate"/>
      </w:r>
      <w:r>
        <w:rPr>
          <w:noProof/>
        </w:rPr>
        <w:t xml:space="preserve">6.8.2</w:t>
      </w:r>
      <w:r>
        <w:fldChar w:fldCharType="end"/>
      </w:r>
      <w:r>
        <w:t xml:space="preserve">) under </w:t>
      </w:r>
      <w:r>
        <w:rPr>
          <w:b/>
        </w:rPr>
        <w:t xml:space="preserve">its own</w:t>
      </w:r>
      <w:r>
        <w:t xml:space="preserve"> DataSet schema, identified by the entry's </w:t>
      </w:r>
      <w:r>
        <w:rPr>
          <w:rStyle w:val="VARIABLE"/>
        </w:rPr>
        <w:t xml:space="preserve">schemaId</w:t>
      </w:r>
      <w:r>
        <w:t xml:space="preserve">. The envelope record therefore has a </w:t>
      </w:r>
      <w:r>
        <w:rPr>
          <w:b/>
        </w:rPr>
        <w:t xml:space="preserve">stable, specification-defined schema</w:t>
      </w:r>
      <w:r>
        <w:t xml:space="preserve"> — and thus a fixed SchemaId — that never changes as DataSets are added, removed or evolved.</w:t>
      </w:r>
    </w:p>
    <w:p w14:paraId="55A5CF6D">
      <w:pPr>
        <w:pStyle w:val="PARAGRAPH"/>
      </w:pPr>
      <w:r>
        <w:t xml:space="preserve">The envelope record has the selected PubSub header fields as nullable Avro fields. Fields disabled by the NetworkMessageContentMask are null. The following envelope fields are defined: PublisherId, DataSetClassId, GroupHeader fields, WriterGroupId, GroupVersion, NetworkMessageNumber, SequenceNumber, Timestamp, PicoSeconds, PromotedFields, and the Payload array of </w:t>
      </w:r>
      <w:r>
        <w:rPr>
          <w:rStyle w:val="VARIABLE"/>
        </w:rPr>
        <w:t xml:space="preserve">{ schemaId, dataSetMessage }</w:t>
      </w:r>
      <w:r>
        <w:t xml:space="preserve"> entries. When promoted fields are enabled, their values use Avro DataEncoding and preserve their configured DataTypes.</w:t>
      </w:r>
    </w:p>
    <w:p w14:paraId="1659DB4F">
      <w:pPr>
        <w:pStyle w:val="PARAGRAPH"/>
      </w:pPr>
      <w:r>
        <w:t xml:space="preserve">The fixed envelope is a published artifact. Its generated schema is </w:t>
      </w:r>
      <w:r>
        <w:rPr>
          <w:rStyle w:val="VARIABLE"/>
        </w:rPr>
        <w:t xml:space="preserve">../extras/avro-encoding/schemas/AvroNetworkMessage.avsc</w:t>
      </w:r>
      <w:r>
        <w:t xml:space="preserve">, and each payload entry is </w:t>
      </w:r>
      <w:r>
        <w:rPr>
          <w:rStyle w:val="VARIABLE"/>
        </w:rPr>
        <w:t xml:space="preserve">../extras/avro-encoding/schemas/AvroDataSetPayloadEntry.avsc</w:t>
      </w:r>
      <w:r>
        <w:t xml:space="preserve">. Both are reproduced in Annex B.</w:t>
      </w:r>
    </w:p>
    <w:p w14:paraId="6794734B">
      <w:pPr>
        <w:pStyle w:val="PARAGRAPH"/>
      </w:pPr>
      <w:r>
        <w:t xml:space="preserve">A receiver decodes the envelope with the fixed envelope schema, then decodes each entry's opaque </w:t>
      </w:r>
      <w:r>
        <w:rPr>
          <w:rStyle w:val="VARIABLE"/>
        </w:rPr>
        <w:t xml:space="preserve">dataSetMessage</w:t>
      </w:r>
      <w:r>
        <w:t xml:space="preserve"> with the per-DataSet schema resolved by the entry's </w:t>
      </w:r>
      <w:r>
        <w:rPr>
          <w:rStyle w:val="VARIABLE"/>
        </w:rPr>
        <w:t xml:space="preserve">schemaId</w:t>
      </w:r>
      <w:r>
        <w:t xml:space="preserve"> (</w:t>
      </w:r>
      <w:r>
        <w:fldChar w:fldCharType="begin"/>
      </w:r>
      <w:r>
        <w:instrText xml:space="preserve"> REF _Clause_c6_8_4 \r \h </w:instrText>
      </w:r>
      <w:r>
        <w:fldChar w:fldCharType="separate"/>
      </w:r>
      <w:r>
        <w:rPr>
          <w:noProof/>
        </w:rPr>
        <w:t xml:space="preserve">6.8.4</w:t>
      </w:r>
      <w:r>
        <w:fldChar w:fldCharType="end"/>
      </w:r>
      <w:r>
        <w:t xml:space="preserve">). This makes the outer envelope a stable, published contract and confines schema evolution to the per-DataSet schemas.</w:t>
      </w:r>
    </w:p>
    <w:p w14:paraId="7EAF0900">
      <w:pPr>
        <w:pStyle w:val="PARAGRAPH"/>
      </w:pPr>
      <w:r>
        <w:rPr>
          <w:b/>
        </w:rPr>
        <w:t xml:space="preserve">Single DataSet and un-enveloped batches.</w:t>
      </w:r>
      <w:r>
        <w:t xml:space="preserve"> Where a transport carries a </w:t>
      </w:r>
      <w:r>
        <w:rPr>
          <w:b/>
        </w:rPr>
        <w:t xml:space="preserve">single</w:t>
      </w:r>
      <w:r>
        <w:t xml:space="preserve"> DataSetMessage without a NetworkMessage wrapper (by explicit configuration), the payload is that DataSetMessage's Avro-binary encoding directly, identified by the DataSet </w:t>
      </w:r>
      <w:r>
        <w:rPr>
          <w:rStyle w:val="VARIABLE"/>
        </w:rPr>
        <w:t xml:space="preserve">schemaId</w:t>
      </w:r>
      <w:r>
        <w:t xml:space="preserve"> carried in the DataSetMessage header, transport metadata, or Avro single-object framing (</w:t>
      </w:r>
      <w:r>
        <w:fldChar w:fldCharType="begin"/>
      </w:r>
      <w:r>
        <w:instrText xml:space="preserve"> REF _Clause_c6_8_4_1 \r \h </w:instrText>
      </w:r>
      <w:r>
        <w:fldChar w:fldCharType="separate"/>
      </w:r>
      <w:r>
        <w:rPr>
          <w:noProof/>
        </w:rPr>
        <w:t xml:space="preserve">6.8.4.1</w:t>
      </w:r>
      <w:r>
        <w:fldChar w:fldCharType="end"/>
      </w:r>
      <w:r>
        <w:t xml:space="preserve">). A </w:t>
      </w:r>
      <w:r>
        <w:rPr>
          <w:b/>
        </w:rPr>
        <w:t xml:space="preserve">batch</w:t>
      </w:r>
      <w:r>
        <w:t xml:space="preserve"> of DataSetMessages without an envelope is the same </w:t>
      </w:r>
      <w:r>
        <w:rPr>
          <w:rStyle w:val="VARIABLE"/>
        </w:rPr>
        <w:t xml:space="preserve">{ schemaId, dataSetMessage }</w:t>
      </w:r>
      <w:r>
        <w:t xml:space="preserve"> entry array as the envelope </w:t>
      </w:r>
      <w:r>
        <w:rPr>
          <w:rStyle w:val="VARIABLE"/>
        </w:rPr>
        <w:t xml:space="preserve">payload</w:t>
      </w:r>
      <w:r>
        <w:t xml:space="preserve">, carried directly by the transport. In every case a DataSet payload is decoded only through its per-DataSet schema. The un-enveloped batch is likewise a published artifact: its generated schema is </w:t>
      </w:r>
      <w:r>
        <w:rPr>
          <w:rStyle w:val="VARIABLE"/>
        </w:rPr>
        <w:t xml:space="preserve">../extras/avro-encoding/schemas/AvroDataSetMessageBatch.avsc</w:t>
      </w:r>
      <w:r>
        <w:t xml:space="preserve">, reproduced in Annex B.</w:t>
      </w:r>
    </w:p>
    <w:p w14:paraId="136D2581">
      <w:pPr>
        <w:pStyle w:val="Heading3"/>
      </w:pPr>
      <w:bookmarkStart w:id="502" w:name="_Clause_c6_8_2"/>
      <w:r>
        <w:t xml:space="preserve">DataSetMessage</w:t>
      </w:r>
      <w:bookmarkEnd w:id="502"/>
    </w:p>
    <w:p w14:paraId="5912F64C">
      <w:pPr>
        <w:pStyle w:val="Heading4"/>
      </w:pPr>
      <w:bookmarkStart w:id="503" w:name="_Clause_c6_8_2_1"/>
      <w:r>
        <w:t xml:space="preserve">Common header</w:t>
      </w:r>
      <w:bookmarkEnd w:id="503"/>
    </w:p>
    <w:p w14:paraId="2823CF4C">
      <w:pPr>
        <w:pStyle w:val="PARAGRAPH"/>
      </w:pPr>
      <w:r>
        <w:t xml:space="preserve">Each Avro DataSetMessage shall carry DataSetWriterId, DataSetMessage type, ConfigurationVersion, SequenceNumber, Status, Timestamp, PicoSeconds, optional SchemaId and message flags according to the DataSetMessageContentMask. Disabled header fields shall be nullable and default to null in the canonical schema. DataSetWriterId and message type are mandatory because they select the DataSetMetaData and frame interpretation. Each DataSetMessage is identified by its own DataSet SchemaId, carried in the enclosing NetworkMessage payload entry (</w:t>
      </w:r>
      <w:r>
        <w:fldChar w:fldCharType="begin"/>
      </w:r>
      <w:r>
        <w:instrText xml:space="preserve"> REF _Clause_c6_8_1 \r \h </w:instrText>
      </w:r>
      <w:r>
        <w:fldChar w:fldCharType="separate"/>
      </w:r>
      <w:r>
        <w:rPr>
          <w:noProof/>
        </w:rPr>
        <w:t xml:space="preserve">6.8.1</w:t>
      </w:r>
      <w:r>
        <w:fldChar w:fldCharType="end"/>
      </w:r>
      <w:r>
        <w:t xml:space="preserve">) or, for an un-enveloped DataSetMessage, in the header, transport metadata, or single-object framing.</w:t>
      </w:r>
    </w:p>
    <w:p w14:paraId="75900FD8">
      <w:pPr>
        <w:pStyle w:val="Heading4"/>
      </w:pPr>
      <w:bookmarkStart w:id="504" w:name="_Clause_c6_8_2_2"/>
      <w:r>
        <w:t xml:space="preserve">Data key frame</w:t>
      </w:r>
      <w:bookmarkEnd w:id="504"/>
    </w:p>
    <w:p w14:paraId="390D17A2">
      <w:pPr>
        <w:pStyle w:val="PARAGRAPH"/>
      </w:pPr>
      <w:r>
        <w:t xml:space="preserve">A data key frame shall contain all fields defined by the PublishedDataSet in FieldMetaData order. The Avro payload field is an array or record whose members correspond exactly to that order. A key frame is self-contained for the current ConfigurationVersion.</w:t>
      </w:r>
    </w:p>
    <w:p w14:paraId="7273E150">
      <w:pPr>
        <w:pStyle w:val="PARAGRAPH"/>
      </w:pPr>
      <w:r>
        <w:t xml:space="preserve">Every field slot in the payload is </w:t>
      </w:r>
      <w:r>
        <w:rPr>
          <w:b/>
        </w:rPr>
        <w:t xml:space="preserve">nullable</w:t>
      </w:r>
      <w:r>
        <w:t xml:space="preserve"> (</w:t>
      </w:r>
      <w:r>
        <w:fldChar w:fldCharType="begin"/>
      </w:r>
      <w:r>
        <w:instrText xml:space="preserve"> REF _Clause_c6_8_2_4 \r \h </w:instrText>
      </w:r>
      <w:r>
        <w:fldChar w:fldCharType="separate"/>
      </w:r>
      <w:r>
        <w:rPr>
          <w:noProof/>
        </w:rPr>
        <w:t xml:space="preserve">6.8.2.4</w:t>
      </w:r>
      <w:r>
        <w:fldChar w:fldCharType="end"/>
      </w:r>
      <w:r>
        <w:t xml:space="preserve">). A DataSet may be </w:t>
      </w:r>
      <w:r>
        <w:rPr>
          <w:b/>
        </w:rPr>
        <w:t xml:space="preserve">sparse</w:t>
      </w:r>
      <w:r>
        <w:t xml:space="preserve"> — a given DataSetMessage need not carry a value for every key. A sparse frame uses the </w:t>
      </w:r>
      <w:r>
        <w:rPr>
          <w:b/>
        </w:rPr>
        <w:t xml:space="preserve">same</w:t>
      </w:r>
      <w:r>
        <w:t xml:space="preserve"> canonical schema as a full key frame: the field set and its FieldMetaData order are unchanged, and a key that has no value in this message is encoded as its </w:t>
      </w:r>
      <w:r>
        <w:rPr>
          <w:rStyle w:val="VARIABLE"/>
        </w:rPr>
        <w:t xml:space="preserve">null</w:t>
      </w:r>
      <w:r>
        <w:t xml:space="preserve"> branch, a </w:t>
      </w:r>
      <w:r>
        <w:rPr>
          <w:rStyle w:val="VARIABLE"/>
        </w:rPr>
        <w:t xml:space="preserve">null:null</w:t>
      </w:r>
      <w:r>
        <w:t xml:space="preserve"> value (the null union branch carrying null). A decoder shall treat a </w:t>
      </w:r>
      <w:r>
        <w:rPr>
          <w:rStyle w:val="VARIABLE"/>
        </w:rPr>
        <w:t xml:space="preserve">null:null</w:t>
      </w:r>
      <w:r>
        <w:t xml:space="preserve"> field as </w:t>
      </w:r>
      <w:r>
        <w:rPr>
          <w:b/>
        </w:rPr>
        <w:t xml:space="preserve">missing</w:t>
      </w:r>
      <w:r>
        <w:t xml:space="preserve"> — no value for that key in this message — not as a present null value. Because the schema is identical whether a frame carries all keys or only a subset, the SchemaId does not change with sparsity, and no per-subset schema is generated.</w:t>
      </w:r>
    </w:p>
    <w:p w14:paraId="132E6D83">
      <w:pPr>
        <w:pStyle w:val="Heading4"/>
      </w:pPr>
      <w:bookmarkStart w:id="505" w:name="_Clause_c6_8_2_3"/>
      <w:r>
        <w:t xml:space="preserve">Data delta frame</w:t>
      </w:r>
      <w:bookmarkEnd w:id="505"/>
    </w:p>
    <w:p w14:paraId="41CF86BC">
      <w:pPr>
        <w:pStyle w:val="PARAGRAPH"/>
      </w:pPr>
      <w:r>
        <w:t xml:space="preserve">A data delta frame shall contain only changed fields. Each changed field entry shall carry the field index or field name and the encoded value. The canonical Avro representation is an array of records </w:t>
      </w:r>
      <w:r>
        <w:rPr>
          <w:rStyle w:val="VARIABLE"/>
        </w:rPr>
        <w:t xml:space="preserve">{ "fieldIndex": int, "fieldName": ["null","string"], "value": FieldValue }</w:t>
      </w:r>
      <w:r>
        <w:t xml:space="preserve">; fieldIndex is the normative selector and fieldName is optional diagnostic metadata when configured.</w:t>
      </w:r>
    </w:p>
    <w:p w14:paraId="5AF7C5C0">
      <w:pPr>
        <w:pStyle w:val="Heading4"/>
      </w:pPr>
      <w:bookmarkStart w:id="506" w:name="_Clause_c6_8_2_4"/>
      <w:r>
        <w:t xml:space="preserve">Field representation and DataSetFieldContentMask</w:t>
      </w:r>
      <w:bookmarkEnd w:id="506"/>
    </w:p>
    <w:p w14:paraId="137CED9C">
      <w:pPr>
        <w:pStyle w:val="PARAGRAPH"/>
      </w:pPr>
      <w:r>
        <w:t xml:space="preserve">If the DataSetFieldContentMask selects StatusCode, timestamps or picoseconds, the field shall be encoded as a DataValue using the Avro DataValue mapping. If it selects Value wrapped as Variant, the field shall be encoded as a Variant. If RawData is selected, the field shall be encoded directly with the published Avro </w:t>
      </w:r>
      <w:r>
        <w:rPr>
          <w:rStyle w:val="VARIABLE"/>
        </w:rPr>
        <w:t xml:space="preserve">.avsc</w:t>
      </w:r>
      <w:r>
        <w:t xml:space="preserve"> schema for the FieldMetaData DataType, including array dimensions, nullable element rules, and optional-field wrapper records. RawData shall not be used when the field DataType is not known to the receiver schema.</w:t>
      </w:r>
    </w:p>
    <w:p w14:paraId="487003D5">
      <w:pPr>
        <w:pStyle w:val="PARAGRAPH"/>
      </w:pPr>
      <w:r>
        <w:t xml:space="preserve">Every field slot shall be </w:t>
      </w:r>
      <w:r>
        <w:rPr>
          <w:b/>
        </w:rPr>
        <w:t xml:space="preserve">nullable</w:t>
      </w:r>
      <w:r>
        <w:t xml:space="preserve">: the field's Avro type is a union with a </w:t>
      </w:r>
      <w:r>
        <w:rPr>
          <w:rStyle w:val="VARIABLE"/>
        </w:rPr>
        <w:t xml:space="preserve">null</w:t>
      </w:r>
      <w:r>
        <w:t xml:space="preserve"> branch. For a Variant or ExtensionObject field this is the </w:t>
      </w:r>
      <w:r>
        <w:rPr>
          <w:rStyle w:val="VARIABLE"/>
        </w:rPr>
        <w:t xml:space="preserve">null</w:t>
      </w:r>
      <w:r>
        <w:t xml:space="preserve"> branch already present in its growing union (</w:t>
      </w:r>
      <w:r>
        <w:fldChar w:fldCharType="begin"/>
      </w:r>
      <w:r>
        <w:instrText xml:space="preserve"> REF _Clause_c6_6_4 \r \h </w:instrText>
      </w:r>
      <w:r>
        <w:fldChar w:fldCharType="separate"/>
      </w:r>
      <w:r>
        <w:rPr>
          <w:noProof/>
        </w:rPr>
        <w:t xml:space="preserve">6.6.4</w:t>
      </w:r>
      <w:r>
        <w:fldChar w:fldCharType="end"/>
      </w:r>
      <w:r>
        <w:t xml:space="preserve">); for a DataValue or RawData field the value type shall be wrapped as </w:t>
      </w:r>
      <w:r>
        <w:rPr>
          <w:rStyle w:val="VARIABLE"/>
        </w:rPr>
        <w:t xml:space="preserve">["null", &lt;fieldType&gt;]</w:t>
      </w:r>
      <w:r>
        <w:t xml:space="preserve"> so that the key can be omitted.</w:t>
      </w:r>
    </w:p>
    <w:p w14:paraId="563E5EF6">
      <w:pPr>
        <w:pStyle w:val="PARAGRAPH"/>
      </w:pPr>
      <w:r>
        <w:t xml:space="preserve">A </w:t>
      </w:r>
      <w:r>
        <w:rPr>
          <w:rStyle w:val="VARIABLE"/>
        </w:rPr>
        <w:t xml:space="preserve">null:null</w:t>
      </w:r>
      <w:r>
        <w:t xml:space="preserve"> value (the </w:t>
      </w:r>
      <w:r>
        <w:rPr>
          <w:rStyle w:val="VARIABLE"/>
        </w:rPr>
        <w:t xml:space="preserve">null</w:t>
      </w:r>
      <w:r>
        <w:t xml:space="preserve"> branch carrying null) shall be used both for a genuinely null field value and for a </w:t>
      </w:r>
      <w:r>
        <w:rPr>
          <w:b/>
        </w:rPr>
        <w:t xml:space="preserve">missing</w:t>
      </w:r>
      <w:r>
        <w:t xml:space="preserve"> key in a sparse DataSet (</w:t>
      </w:r>
      <w:r>
        <w:fldChar w:fldCharType="begin"/>
      </w:r>
      <w:r>
        <w:instrText xml:space="preserve"> REF _Clause_c6_8_2_2 \r \h </w:instrText>
      </w:r>
      <w:r>
        <w:fldChar w:fldCharType="separate"/>
      </w:r>
      <w:r>
        <w:rPr>
          <w:noProof/>
        </w:rPr>
        <w:t xml:space="preserve">6.8.2.2</w:t>
      </w:r>
      <w:r>
        <w:fldChar w:fldCharType="end"/>
      </w:r>
      <w:r>
        <w:t xml:space="preserve">); a decoder treats a </w:t>
      </w:r>
      <w:r>
        <w:rPr>
          <w:rStyle w:val="VARIABLE"/>
        </w:rPr>
        <w:t xml:space="preserve">null:null</w:t>
      </w:r>
      <w:r>
        <w:t xml:space="preserve"> field as carrying no value for that key. This is distinct from a </w:t>
      </w:r>
      <w:r>
        <w:rPr>
          <w:b/>
        </w:rPr>
        <w:t xml:space="preserve">delta</w:t>
      </w:r>
      <w:r>
        <w:t xml:space="preserve"> frame (</w:t>
      </w:r>
      <w:r>
        <w:fldChar w:fldCharType="begin"/>
      </w:r>
      <w:r>
        <w:instrText xml:space="preserve"> REF _Clause_c6_8_2_3 \r \h </w:instrText>
      </w:r>
      <w:r>
        <w:fldChar w:fldCharType="separate"/>
      </w:r>
      <w:r>
        <w:rPr>
          <w:noProof/>
        </w:rPr>
        <w:t xml:space="preserve">6.8.2.3</w:t>
      </w:r>
      <w:r>
        <w:fldChar w:fldCharType="end"/>
      </w:r>
      <w:r>
        <w:t xml:space="preserve">), where a field that is simply </w:t>
      </w:r>
      <w:r>
        <w:rPr>
          <w:i/>
        </w:rPr>
        <w:t xml:space="preserve">absent from the delta array</w:t>
      </w:r>
      <w:r>
        <w:t xml:space="preserve"> means </w:t>
      </w:r>
      <w:r>
        <w:rPr>
          <w:i/>
        </w:rPr>
        <w:t xml:space="preserve">unchanged</w:t>
      </w:r>
      <w:r>
        <w:t xml:space="preserve">, not null; a delta field that is present carries its </w:t>
      </w:r>
      <w:r>
        <w:rPr>
          <w:rStyle w:val="VARIABLE"/>
        </w:rPr>
        <w:t xml:space="preserve">value</w:t>
      </w:r>
      <w:r>
        <w:t xml:space="preserve"> encoded per this clause and may itself be </w:t>
      </w:r>
      <w:r>
        <w:rPr>
          <w:rStyle w:val="VARIABLE"/>
        </w:rPr>
        <w:t xml:space="preserve">null:null</w:t>
      </w:r>
      <w:r>
        <w:t xml:space="preserve">. Because every field slot is nullable, a sparse key frame and a full key frame share one canonical schema and therefore one SchemaId.</w:t>
      </w:r>
    </w:p>
    <w:p w14:paraId="62F5378F">
      <w:pPr>
        <w:pStyle w:val="Heading3"/>
      </w:pPr>
      <w:bookmarkStart w:id="507" w:name="_Clause_c6_8_3"/>
      <w:r>
        <w:t xml:space="preserve">Action and Discovery messages</w:t>
      </w:r>
      <w:bookmarkEnd w:id="507"/>
    </w:p>
    <w:p w14:paraId="75B587F3">
      <w:pPr>
        <w:pStyle w:val="PARAGRAPH"/>
      </w:pPr>
      <w:r>
        <w:t xml:space="preserve">Data NetworkMessages use the records of </w:t>
      </w:r>
      <w:r>
        <w:fldChar w:fldCharType="begin"/>
      </w:r>
      <w:r>
        <w:instrText xml:space="preserve"> REF _Clause_c6_8_1 \r \h </w:instrText>
      </w:r>
      <w:r>
        <w:fldChar w:fldCharType="separate"/>
      </w:r>
      <w:r>
        <w:rPr>
          <w:noProof/>
        </w:rPr>
        <w:t xml:space="preserve">6.8.1</w:t>
      </w:r>
      <w:r>
        <w:fldChar w:fldCharType="end"/>
      </w:r>
      <w:r>
        <w:t xml:space="preserve"> and </w:t>
      </w:r>
      <w:r>
        <w:fldChar w:fldCharType="begin"/>
      </w:r>
      <w:r>
        <w:instrText xml:space="preserve"> REF _Clause_c6_8_2 \r \h </w:instrText>
      </w:r>
      <w:r>
        <w:fldChar w:fldCharType="separate"/>
      </w:r>
      <w:r>
        <w:rPr>
          <w:noProof/>
        </w:rPr>
        <w:t xml:space="preserve">6.8.2</w:t>
      </w:r>
      <w:r>
        <w:fldChar w:fldCharType="end"/>
      </w:r>
      <w:r>
        <w:t xml:space="preserve">. This clause additionally defines the Avro Action and Discovery message envelopes, which parallel the JSON message mapping.</w:t>
      </w:r>
    </w:p>
    <w:p w14:paraId="5BA6359A">
      <w:pPr>
        <w:pStyle w:val="Heading4"/>
      </w:pPr>
      <w:bookmarkStart w:id="508" w:name="_Clause_c6_8_3_1"/>
      <w:r>
        <w:t xml:space="preserve">Action messages</w:t>
      </w:r>
      <w:bookmarkEnd w:id="508"/>
    </w:p>
    <w:p w14:paraId="32447B81">
      <w:pPr>
        <w:pStyle w:val="PARAGRAPH"/>
      </w:pPr>
      <w:r>
        <w:t xml:space="preserve">Actions are Methods invoked via PubSub. An Avro Action NetworkMessage contains one or more Action request or Action response DataSetMessages. Request and response traffic shall not be mixed in one envelope. The same SchemaId handshake defined in </w:t>
      </w:r>
      <w:r>
        <w:fldChar w:fldCharType="begin"/>
      </w:r>
      <w:r>
        <w:instrText xml:space="preserve"> REF _Clause_c6_8_4 \r \h </w:instrText>
      </w:r>
      <w:r>
        <w:fldChar w:fldCharType="separate"/>
      </w:r>
      <w:r>
        <w:rPr>
          <w:noProof/>
        </w:rPr>
        <w:t xml:space="preserve">6.8.4</w:t>
      </w:r>
      <w:r>
        <w:fldChar w:fldCharType="end"/>
      </w:r>
      <w:r>
        <w:t xml:space="preserve"> applies: Action request and response schemas are announced, cached and selected by SchemaId exactly like data-message schemas.</w:t>
      </w:r>
    </w:p>
    <w:p w14:paraId="61F5825A">
      <w:pPr>
        <w:pStyle w:val="PARAGRAPH"/>
      </w:pPr>
      <w:r>
        <w:t xml:space="preserve">The published request envelope schema is </w:t>
      </w:r>
      <w:r>
        <w:rPr>
          <w:rStyle w:val="VARIABLE"/>
        </w:rPr>
        <w:t xml:space="preserve">../extras/avro-encoding/schemas/AvroActionRequestNetworkMessage.avsc</w:t>
      </w:r>
      <w:r>
        <w:t xml:space="preserve">:</w:t>
      </w:r>
    </w:p>
    <w:p w14:paraId="0E8EE2E6">
      <w:pPr>
        <w:pStyle w:val="CODE"/>
      </w:pPr>
      <w:r>
        <w:t xml:space="preserve">{</w:t>
      </w:r>
    </w:p>
    <w:p w14:paraId="3D6B4F32">
      <w:pPr>
        <w:pStyle w:val="CODE"/>
      </w:pPr>
      <w:r>
        <w:t xml:space="preserve">  "fields": [</w:t>
      </w:r>
    </w:p>
    <w:p w14:paraId="37B0DE1E">
      <w:pPr>
        <w:pStyle w:val="CODE"/>
      </w:pPr>
      <w:r>
        <w:t xml:space="preserve">    {</w:t>
      </w:r>
    </w:p>
    <w:p w14:paraId="0E7431ED">
      <w:pPr>
        <w:pStyle w:val="CODE"/>
      </w:pPr>
      <w:r>
        <w:t xml:space="preserve">      "name": "PublisherId",</w:t>
      </w:r>
    </w:p>
    <w:p w14:paraId="1FFE3090">
      <w:pPr>
        <w:pStyle w:val="CODE"/>
      </w:pPr>
      <w:r>
        <w:t xml:space="preserve">      "type": [</w:t>
      </w:r>
    </w:p>
    <w:p w14:paraId="1973BB18">
      <w:pPr>
        <w:pStyle w:val="CODE"/>
      </w:pPr>
      <w:r>
        <w:t xml:space="preserve">        "null",</w:t>
      </w:r>
    </w:p>
    <w:p w14:paraId="0E48126A">
      <w:pPr>
        <w:pStyle w:val="CODE"/>
      </w:pPr>
      <w:r>
        <w:t xml:space="preserve">        "string"</w:t>
      </w:r>
    </w:p>
    <w:p w14:paraId="1C0792CD">
      <w:pPr>
        <w:pStyle w:val="CODE"/>
      </w:pPr>
      <w:r>
        <w:t xml:space="preserve">      ]</w:t>
      </w:r>
    </w:p>
    <w:p w14:paraId="5089F720">
      <w:pPr>
        <w:pStyle w:val="CODE"/>
      </w:pPr>
      <w:r>
        <w:t xml:space="preserve">    },</w:t>
      </w:r>
    </w:p>
    <w:p w14:paraId="7BDD023F">
      <w:pPr>
        <w:pStyle w:val="CODE"/>
      </w:pPr>
      <w:r>
        <w:t xml:space="preserve">    {</w:t>
      </w:r>
    </w:p>
    <w:p w14:paraId="5CF4E1E8">
      <w:pPr>
        <w:pStyle w:val="CODE"/>
      </w:pPr>
      <w:r>
        <w:t xml:space="preserve">      "name": "WriterGroupId",</w:t>
      </w:r>
    </w:p>
    <w:p w14:paraId="1183FDAD">
      <w:pPr>
        <w:pStyle w:val="CODE"/>
      </w:pPr>
      <w:r>
        <w:t xml:space="preserve">      "type": "int"</w:t>
      </w:r>
    </w:p>
    <w:p w14:paraId="1306DF94">
      <w:pPr>
        <w:pStyle w:val="CODE"/>
      </w:pPr>
      <w:r>
        <w:t xml:space="preserve">    },</w:t>
      </w:r>
    </w:p>
    <w:p w14:paraId="3F579147">
      <w:pPr>
        <w:pStyle w:val="CODE"/>
      </w:pPr>
      <w:r>
        <w:t xml:space="preserve">    {</w:t>
      </w:r>
    </w:p>
    <w:p w14:paraId="7F7E5B8F">
      <w:pPr>
        <w:pStyle w:val="CODE"/>
      </w:pPr>
      <w:r>
        <w:t xml:space="preserve">      "name": "NetworkMessageNumber",</w:t>
      </w:r>
    </w:p>
    <w:p w14:paraId="6D8D81C1">
      <w:pPr>
        <w:pStyle w:val="CODE"/>
      </w:pPr>
      <w:r>
        <w:t xml:space="preserve">      "type": "int"</w:t>
      </w:r>
    </w:p>
    <w:p w14:paraId="1814D113">
      <w:pPr>
        <w:pStyle w:val="CODE"/>
      </w:pPr>
      <w:r>
        <w:t xml:space="preserve">    },</w:t>
      </w:r>
    </w:p>
    <w:p w14:paraId="7070424E">
      <w:pPr>
        <w:pStyle w:val="CODE"/>
      </w:pPr>
      <w:r>
        <w:t xml:space="preserve">    {</w:t>
      </w:r>
    </w:p>
    <w:p w14:paraId="60ECBA90">
      <w:pPr>
        <w:pStyle w:val="CODE"/>
      </w:pPr>
      <w:r>
        <w:t xml:space="preserve">      "name": "SequenceNumber",</w:t>
      </w:r>
    </w:p>
    <w:p w14:paraId="76D512A1">
      <w:pPr>
        <w:pStyle w:val="CODE"/>
      </w:pPr>
      <w:r>
        <w:t xml:space="preserve">      "type": "int"</w:t>
      </w:r>
    </w:p>
    <w:p w14:paraId="5CBA27B8">
      <w:pPr>
        <w:pStyle w:val="CODE"/>
      </w:pPr>
      <w:r>
        <w:t xml:space="preserve">    },</w:t>
      </w:r>
    </w:p>
    <w:p w14:paraId="23618764">
      <w:pPr>
        <w:pStyle w:val="CODE"/>
      </w:pPr>
      <w:r>
        <w:t xml:space="preserve">    {</w:t>
      </w:r>
    </w:p>
    <w:p w14:paraId="1C1511DF">
      <w:pPr>
        <w:pStyle w:val="CODE"/>
      </w:pPr>
      <w:r>
        <w:t xml:space="preserve">      "name": "Timestamp",</w:t>
      </w:r>
    </w:p>
    <w:p w14:paraId="63EB94E2">
      <w:pPr>
        <w:pStyle w:val="CODE"/>
      </w:pPr>
      <w:r>
        <w:t xml:space="preserve">      "type": "long"</w:t>
      </w:r>
    </w:p>
    <w:p w14:paraId="5942859B">
      <w:pPr>
        <w:pStyle w:val="CODE"/>
      </w:pPr>
      <w:r>
        <w:t xml:space="preserve">    },</w:t>
      </w:r>
    </w:p>
    <w:p w14:paraId="2104EFEA">
      <w:pPr>
        <w:pStyle w:val="CODE"/>
      </w:pPr>
      <w:r>
        <w:t xml:space="preserve">    {</w:t>
      </w:r>
    </w:p>
    <w:p w14:paraId="451CEA33">
      <w:pPr>
        <w:pStyle w:val="CODE"/>
      </w:pPr>
      <w:r>
        <w:t xml:space="preserve">      "name": "Messages",</w:t>
      </w:r>
    </w:p>
    <w:p w14:paraId="72D8B22A">
      <w:pPr>
        <w:pStyle w:val="CODE"/>
      </w:pPr>
      <w:r>
        <w:t xml:space="preserve">      "type": {</w:t>
      </w:r>
    </w:p>
    <w:p w14:paraId="2BF9B132">
      <w:pPr>
        <w:pStyle w:val="CODE"/>
      </w:pPr>
      <w:r>
        <w:t xml:space="preserve">        "items": [</w:t>
      </w:r>
    </w:p>
    <w:p w14:paraId="742C2439">
      <w:pPr>
        <w:pStyle w:val="CODE"/>
      </w:pPr>
      <w:r>
        <w:t xml:space="preserve">          "null",</w:t>
      </w:r>
    </w:p>
    <w:p w14:paraId="0150D408">
      <w:pPr>
        <w:pStyle w:val="CODE"/>
      </w:pPr>
      <w:r>
        <w:t xml:space="preserve">          "org.opcfoundation.ua.avro.AvroActionRequestDataSetMessage"</w:t>
      </w:r>
    </w:p>
    <w:p w14:paraId="3080BFF0">
      <w:pPr>
        <w:pStyle w:val="CODE"/>
      </w:pPr>
      <w:r>
        <w:t xml:space="preserve">        ],</w:t>
      </w:r>
    </w:p>
    <w:p w14:paraId="53D2FAD8">
      <w:pPr>
        <w:pStyle w:val="CODE"/>
      </w:pPr>
      <w:r>
        <w:t xml:space="preserve">        "type": "array"</w:t>
      </w:r>
    </w:p>
    <w:p w14:paraId="4A5D0710">
      <w:pPr>
        <w:pStyle w:val="CODE"/>
      </w:pPr>
      <w:r>
        <w:t xml:space="preserve">      }</w:t>
      </w:r>
    </w:p>
    <w:p w14:paraId="056D0B56">
      <w:pPr>
        <w:pStyle w:val="CODE"/>
      </w:pPr>
      <w:r>
        <w:t xml:space="preserve">    },</w:t>
      </w:r>
    </w:p>
    <w:p w14:paraId="493CEBD1">
      <w:pPr>
        <w:pStyle w:val="CODE"/>
      </w:pPr>
      <w:r>
        <w:t xml:space="preserve">    {</w:t>
      </w:r>
    </w:p>
    <w:p w14:paraId="5AA84335">
      <w:pPr>
        <w:pStyle w:val="CODE"/>
      </w:pPr>
      <w:r>
        <w:t xml:space="preserve">      "name": "SchemaId",</w:t>
      </w:r>
    </w:p>
    <w:p w14:paraId="116B9C04">
      <w:pPr>
        <w:pStyle w:val="CODE"/>
      </w:pPr>
      <w:r>
        <w:t xml:space="preserve">      "type": [</w:t>
      </w:r>
    </w:p>
    <w:p w14:paraId="5B689CA2">
      <w:pPr>
        <w:pStyle w:val="CODE"/>
      </w:pPr>
      <w:r>
        <w:t xml:space="preserve">        "null",</w:t>
      </w:r>
    </w:p>
    <w:p w14:paraId="3E0F7D6F">
      <w:pPr>
        <w:pStyle w:val="CODE"/>
      </w:pPr>
      <w:r>
        <w:t xml:space="preserve">        "string"</w:t>
      </w:r>
    </w:p>
    <w:p w14:paraId="56C3E8B7">
      <w:pPr>
        <w:pStyle w:val="CODE"/>
      </w:pPr>
      <w:r>
        <w:t xml:space="preserve">      ]</w:t>
      </w:r>
    </w:p>
    <w:p w14:paraId="541A6931">
      <w:pPr>
        <w:pStyle w:val="CODE"/>
      </w:pPr>
      <w:r>
        <w:t xml:space="preserve">    }</w:t>
      </w:r>
    </w:p>
    <w:p w14:paraId="2BACC048">
      <w:pPr>
        <w:pStyle w:val="CODE"/>
      </w:pPr>
      <w:r>
        <w:t xml:space="preserve">  ],</w:t>
      </w:r>
    </w:p>
    <w:p w14:paraId="7838E31A">
      <w:pPr>
        <w:pStyle w:val="CODE"/>
      </w:pPr>
      <w:r>
        <w:t xml:space="preserve">  "name": "AvroActionRequestNetworkMessage",</w:t>
      </w:r>
    </w:p>
    <w:p w14:paraId="7889B787">
      <w:pPr>
        <w:pStyle w:val="CODE"/>
      </w:pPr>
      <w:r>
        <w:t xml:space="preserve">  "namespace": "org.opcfoundation.ua.avro",</w:t>
      </w:r>
    </w:p>
    <w:p w14:paraId="55434635">
      <w:pPr>
        <w:pStyle w:val="CODE"/>
      </w:pPr>
      <w:r>
        <w:t xml:space="preserve">  "type": "record"</w:t>
      </w:r>
    </w:p>
    <w:p w14:paraId="2F9F8C58">
      <w:pPr>
        <w:pStyle w:val="CODE"/>
      </w:pPr>
      <w:r>
        <w:t xml:space="preserve">}</w:t>
      </w:r>
    </w:p>
    <w:p w14:paraId="17EC1E24">
      <w:pPr>
        <w:pStyle w:val="PARAGRAPH"/>
      </w:pPr>
      <w:r>
        <w:t xml:space="preserve">The published request DataSetMessage schema is </w:t>
      </w:r>
      <w:r>
        <w:rPr>
          <w:rStyle w:val="VARIABLE"/>
        </w:rPr>
        <w:t xml:space="preserve">../extras/avro-encoding/schemas/AvroActionRequestDataSetMessage.avsc</w:t>
      </w:r>
      <w:r>
        <w:t xml:space="preserve">:</w:t>
      </w:r>
    </w:p>
    <w:p w14:paraId="028C4D53">
      <w:pPr>
        <w:pStyle w:val="CODE"/>
      </w:pPr>
      <w:r>
        <w:t xml:space="preserve">{</w:t>
      </w:r>
    </w:p>
    <w:p w14:paraId="02AFF6DD">
      <w:pPr>
        <w:pStyle w:val="CODE"/>
      </w:pPr>
      <w:r>
        <w:t xml:space="preserve">  "fields": [</w:t>
      </w:r>
    </w:p>
    <w:p w14:paraId="66481D3D">
      <w:pPr>
        <w:pStyle w:val="CODE"/>
      </w:pPr>
      <w:r>
        <w:t xml:space="preserve">    {</w:t>
      </w:r>
    </w:p>
    <w:p w14:paraId="3C037726">
      <w:pPr>
        <w:pStyle w:val="CODE"/>
      </w:pPr>
      <w:r>
        <w:t xml:space="preserve">      "name": "ActionTargetId",</w:t>
      </w:r>
    </w:p>
    <w:p w14:paraId="753908B5">
      <w:pPr>
        <w:pStyle w:val="CODE"/>
      </w:pPr>
      <w:r>
        <w:t xml:space="preserve">      "type": [</w:t>
      </w:r>
    </w:p>
    <w:p w14:paraId="67A30EF9">
      <w:pPr>
        <w:pStyle w:val="CODE"/>
      </w:pPr>
      <w:r>
        <w:t xml:space="preserve">        "null",</w:t>
      </w:r>
    </w:p>
    <w:p w14:paraId="50B90090">
      <w:pPr>
        <w:pStyle w:val="CODE"/>
      </w:pPr>
      <w:r>
        <w:t xml:space="preserve">        "org.opcfoundation.ua.avro.NodeId"</w:t>
      </w:r>
    </w:p>
    <w:p w14:paraId="53A215B9">
      <w:pPr>
        <w:pStyle w:val="CODE"/>
      </w:pPr>
      <w:r>
        <w:t xml:space="preserve">      ]</w:t>
      </w:r>
    </w:p>
    <w:p w14:paraId="743DF2EE">
      <w:pPr>
        <w:pStyle w:val="CODE"/>
      </w:pPr>
      <w:r>
        <w:t xml:space="preserve">    },</w:t>
      </w:r>
    </w:p>
    <w:p w14:paraId="6CF3D5CB">
      <w:pPr>
        <w:pStyle w:val="CODE"/>
      </w:pPr>
      <w:r>
        <w:t xml:space="preserve">    {</w:t>
      </w:r>
    </w:p>
    <w:p w14:paraId="522BA525">
      <w:pPr>
        <w:pStyle w:val="CODE"/>
      </w:pPr>
      <w:r>
        <w:t xml:space="preserve">      "name": "RequestId",</w:t>
      </w:r>
    </w:p>
    <w:p w14:paraId="2BFCFB5C">
      <w:pPr>
        <w:pStyle w:val="CODE"/>
      </w:pPr>
      <w:r>
        <w:t xml:space="preserve">      "type": [</w:t>
      </w:r>
    </w:p>
    <w:p w14:paraId="5B2F90DB">
      <w:pPr>
        <w:pStyle w:val="CODE"/>
      </w:pPr>
      <w:r>
        <w:t xml:space="preserve">        "null",</w:t>
      </w:r>
    </w:p>
    <w:p w14:paraId="64AA24C6">
      <w:pPr>
        <w:pStyle w:val="CODE"/>
      </w:pPr>
      <w:r>
        <w:t xml:space="preserve">        "string"</w:t>
      </w:r>
    </w:p>
    <w:p w14:paraId="59478F7E">
      <w:pPr>
        <w:pStyle w:val="CODE"/>
      </w:pPr>
      <w:r>
        <w:t xml:space="preserve">      ]</w:t>
      </w:r>
    </w:p>
    <w:p w14:paraId="499E33B5">
      <w:pPr>
        <w:pStyle w:val="CODE"/>
      </w:pPr>
      <w:r>
        <w:t xml:space="preserve">    },</w:t>
      </w:r>
    </w:p>
    <w:p w14:paraId="66C026B8">
      <w:pPr>
        <w:pStyle w:val="CODE"/>
      </w:pPr>
      <w:r>
        <w:t xml:space="preserve">    {</w:t>
      </w:r>
    </w:p>
    <w:p w14:paraId="24FBB7E8">
      <w:pPr>
        <w:pStyle w:val="CODE"/>
      </w:pPr>
      <w:r>
        <w:t xml:space="preserve">      "name": "CorrelationData",</w:t>
      </w:r>
    </w:p>
    <w:p w14:paraId="11104A47">
      <w:pPr>
        <w:pStyle w:val="CODE"/>
      </w:pPr>
      <w:r>
        <w:t xml:space="preserve">      "type": [</w:t>
      </w:r>
    </w:p>
    <w:p w14:paraId="6ABC4896">
      <w:pPr>
        <w:pStyle w:val="CODE"/>
      </w:pPr>
      <w:r>
        <w:t xml:space="preserve">        "null",</w:t>
      </w:r>
    </w:p>
    <w:p w14:paraId="49D60210">
      <w:pPr>
        <w:pStyle w:val="CODE"/>
      </w:pPr>
      <w:r>
        <w:t xml:space="preserve">        "bytes"</w:t>
      </w:r>
    </w:p>
    <w:p w14:paraId="1E846C96">
      <w:pPr>
        <w:pStyle w:val="CODE"/>
      </w:pPr>
      <w:r>
        <w:t xml:space="preserve">      ]</w:t>
      </w:r>
    </w:p>
    <w:p w14:paraId="0BE1CF58">
      <w:pPr>
        <w:pStyle w:val="CODE"/>
      </w:pPr>
      <w:r>
        <w:t xml:space="preserve">    },</w:t>
      </w:r>
    </w:p>
    <w:p w14:paraId="78B360C7">
      <w:pPr>
        <w:pStyle w:val="CODE"/>
      </w:pPr>
      <w:r>
        <w:t xml:space="preserve">    {</w:t>
      </w:r>
    </w:p>
    <w:p w14:paraId="23E2B558">
      <w:pPr>
        <w:pStyle w:val="CODE"/>
      </w:pPr>
      <w:r>
        <w:t xml:space="preserve">      "name": "InputArguments",</w:t>
      </w:r>
    </w:p>
    <w:p w14:paraId="28501561">
      <w:pPr>
        <w:pStyle w:val="CODE"/>
      </w:pPr>
      <w:r>
        <w:t xml:space="preserve">      "type": {</w:t>
      </w:r>
    </w:p>
    <w:p w14:paraId="74247331">
      <w:pPr>
        <w:pStyle w:val="CODE"/>
      </w:pPr>
      <w:r>
        <w:t xml:space="preserve">        "items": [</w:t>
      </w:r>
    </w:p>
    <w:p w14:paraId="5834E475">
      <w:pPr>
        <w:pStyle w:val="CODE"/>
      </w:pPr>
      <w:r>
        <w:t xml:space="preserve">          "null",</w:t>
      </w:r>
    </w:p>
    <w:p w14:paraId="78AF3D00">
      <w:pPr>
        <w:pStyle w:val="CODE"/>
      </w:pPr>
      <w:r>
        <w:t xml:space="preserve">          "org.opcfoundation.ua.avro.Variant"</w:t>
      </w:r>
    </w:p>
    <w:p w14:paraId="342E51E9">
      <w:pPr>
        <w:pStyle w:val="CODE"/>
      </w:pPr>
      <w:r>
        <w:t xml:space="preserve">        ],</w:t>
      </w:r>
    </w:p>
    <w:p w14:paraId="17BCC923">
      <w:pPr>
        <w:pStyle w:val="CODE"/>
      </w:pPr>
      <w:r>
        <w:t xml:space="preserve">        "type": "array"</w:t>
      </w:r>
    </w:p>
    <w:p w14:paraId="6183932A">
      <w:pPr>
        <w:pStyle w:val="CODE"/>
      </w:pPr>
      <w:r>
        <w:t xml:space="preserve">      }</w:t>
      </w:r>
    </w:p>
    <w:p w14:paraId="66901841">
      <w:pPr>
        <w:pStyle w:val="CODE"/>
      </w:pPr>
      <w:r>
        <w:t xml:space="preserve">    }</w:t>
      </w:r>
    </w:p>
    <w:p w14:paraId="2D2FAFE2">
      <w:pPr>
        <w:pStyle w:val="CODE"/>
      </w:pPr>
      <w:r>
        <w:t xml:space="preserve">  ],</w:t>
      </w:r>
    </w:p>
    <w:p w14:paraId="313BA3C9">
      <w:pPr>
        <w:pStyle w:val="CODE"/>
      </w:pPr>
      <w:r>
        <w:t xml:space="preserve">  "name": "AvroActionRequestDataSetMessage",</w:t>
      </w:r>
    </w:p>
    <w:p w14:paraId="2FD61DE1">
      <w:pPr>
        <w:pStyle w:val="CODE"/>
      </w:pPr>
      <w:r>
        <w:t xml:space="preserve">  "namespace": "org.opcfoundation.ua.avro",</w:t>
      </w:r>
    </w:p>
    <w:p w14:paraId="6A181F54">
      <w:pPr>
        <w:pStyle w:val="CODE"/>
      </w:pPr>
      <w:r>
        <w:t xml:space="preserve">  "type": "record"</w:t>
      </w:r>
    </w:p>
    <w:p w14:paraId="4BB38336">
      <w:pPr>
        <w:pStyle w:val="CODE"/>
      </w:pPr>
      <w:r>
        <w:t xml:space="preserve">}</w:t>
      </w:r>
    </w:p>
    <w:p w14:paraId="272B9C63">
      <w:pPr>
        <w:pStyle w:val="PARAGRAPH"/>
      </w:pPr>
      <w:r>
        <w:t xml:space="preserve">The published response envelope schema is </w:t>
      </w:r>
      <w:r>
        <w:rPr>
          <w:rStyle w:val="VARIABLE"/>
        </w:rPr>
        <w:t xml:space="preserve">../extras/avro-encoding/schemas/AvroActionResponseNetworkMessage.avsc</w:t>
      </w:r>
      <w:r>
        <w:t xml:space="preserve">:</w:t>
      </w:r>
    </w:p>
    <w:p w14:paraId="4BB7CCB2">
      <w:pPr>
        <w:pStyle w:val="CODE"/>
      </w:pPr>
      <w:r>
        <w:t xml:space="preserve">{</w:t>
      </w:r>
    </w:p>
    <w:p w14:paraId="6B761FFE">
      <w:pPr>
        <w:pStyle w:val="CODE"/>
      </w:pPr>
      <w:r>
        <w:t xml:space="preserve">  "fields": [</w:t>
      </w:r>
    </w:p>
    <w:p w14:paraId="325BA04C">
      <w:pPr>
        <w:pStyle w:val="CODE"/>
      </w:pPr>
      <w:r>
        <w:t xml:space="preserve">    {</w:t>
      </w:r>
    </w:p>
    <w:p w14:paraId="357F1898">
      <w:pPr>
        <w:pStyle w:val="CODE"/>
      </w:pPr>
      <w:r>
        <w:t xml:space="preserve">      "name": "PublisherId",</w:t>
      </w:r>
    </w:p>
    <w:p w14:paraId="363FDA0C">
      <w:pPr>
        <w:pStyle w:val="CODE"/>
      </w:pPr>
      <w:r>
        <w:t xml:space="preserve">      "type": [</w:t>
      </w:r>
    </w:p>
    <w:p w14:paraId="607E6067">
      <w:pPr>
        <w:pStyle w:val="CODE"/>
      </w:pPr>
      <w:r>
        <w:t xml:space="preserve">        "null",</w:t>
      </w:r>
    </w:p>
    <w:p w14:paraId="29D653E1">
      <w:pPr>
        <w:pStyle w:val="CODE"/>
      </w:pPr>
      <w:r>
        <w:t xml:space="preserve">        "string"</w:t>
      </w:r>
    </w:p>
    <w:p w14:paraId="4027A976">
      <w:pPr>
        <w:pStyle w:val="CODE"/>
      </w:pPr>
      <w:r>
        <w:t xml:space="preserve">      ]</w:t>
      </w:r>
    </w:p>
    <w:p w14:paraId="686B2AAC">
      <w:pPr>
        <w:pStyle w:val="CODE"/>
      </w:pPr>
      <w:r>
        <w:t xml:space="preserve">    },</w:t>
      </w:r>
    </w:p>
    <w:p w14:paraId="50C05A5E">
      <w:pPr>
        <w:pStyle w:val="CODE"/>
      </w:pPr>
      <w:r>
        <w:t xml:space="preserve">    {</w:t>
      </w:r>
    </w:p>
    <w:p w14:paraId="3D8A6D21">
      <w:pPr>
        <w:pStyle w:val="CODE"/>
      </w:pPr>
      <w:r>
        <w:t xml:space="preserve">      "name": "WriterGroupId",</w:t>
      </w:r>
    </w:p>
    <w:p w14:paraId="3BAC220F">
      <w:pPr>
        <w:pStyle w:val="CODE"/>
      </w:pPr>
      <w:r>
        <w:t xml:space="preserve">      "type": "int"</w:t>
      </w:r>
    </w:p>
    <w:p w14:paraId="4499BC3B">
      <w:pPr>
        <w:pStyle w:val="CODE"/>
      </w:pPr>
      <w:r>
        <w:t xml:space="preserve">    },</w:t>
      </w:r>
    </w:p>
    <w:p w14:paraId="4468386A">
      <w:pPr>
        <w:pStyle w:val="CODE"/>
      </w:pPr>
      <w:r>
        <w:t xml:space="preserve">    {</w:t>
      </w:r>
    </w:p>
    <w:p w14:paraId="1C0F1A0D">
      <w:pPr>
        <w:pStyle w:val="CODE"/>
      </w:pPr>
      <w:r>
        <w:t xml:space="preserve">      "name": "NetworkMessageNumber",</w:t>
      </w:r>
    </w:p>
    <w:p w14:paraId="2DE66665">
      <w:pPr>
        <w:pStyle w:val="CODE"/>
      </w:pPr>
      <w:r>
        <w:t xml:space="preserve">      "type": "int"</w:t>
      </w:r>
    </w:p>
    <w:p w14:paraId="7B94C0EF">
      <w:pPr>
        <w:pStyle w:val="CODE"/>
      </w:pPr>
      <w:r>
        <w:t xml:space="preserve">    },</w:t>
      </w:r>
    </w:p>
    <w:p w14:paraId="71DCC1D0">
      <w:pPr>
        <w:pStyle w:val="CODE"/>
      </w:pPr>
      <w:r>
        <w:t xml:space="preserve">    {</w:t>
      </w:r>
    </w:p>
    <w:p w14:paraId="11A97296">
      <w:pPr>
        <w:pStyle w:val="CODE"/>
      </w:pPr>
      <w:r>
        <w:t xml:space="preserve">      "name": "SequenceNumber",</w:t>
      </w:r>
    </w:p>
    <w:p w14:paraId="2E10FF87">
      <w:pPr>
        <w:pStyle w:val="CODE"/>
      </w:pPr>
      <w:r>
        <w:t xml:space="preserve">      "type": "int"</w:t>
      </w:r>
    </w:p>
    <w:p w14:paraId="157D1FDC">
      <w:pPr>
        <w:pStyle w:val="CODE"/>
      </w:pPr>
      <w:r>
        <w:t xml:space="preserve">    },</w:t>
      </w:r>
    </w:p>
    <w:p w14:paraId="50400464">
      <w:pPr>
        <w:pStyle w:val="CODE"/>
      </w:pPr>
      <w:r>
        <w:t xml:space="preserve">    {</w:t>
      </w:r>
    </w:p>
    <w:p w14:paraId="2F312D1D">
      <w:pPr>
        <w:pStyle w:val="CODE"/>
      </w:pPr>
      <w:r>
        <w:t xml:space="preserve">      "name": "Timestamp",</w:t>
      </w:r>
    </w:p>
    <w:p w14:paraId="4F5E9E16">
      <w:pPr>
        <w:pStyle w:val="CODE"/>
      </w:pPr>
      <w:r>
        <w:t xml:space="preserve">      "type": "long"</w:t>
      </w:r>
    </w:p>
    <w:p w14:paraId="71870786">
      <w:pPr>
        <w:pStyle w:val="CODE"/>
      </w:pPr>
      <w:r>
        <w:t xml:space="preserve">    },</w:t>
      </w:r>
    </w:p>
    <w:p w14:paraId="7E1718D4">
      <w:pPr>
        <w:pStyle w:val="CODE"/>
      </w:pPr>
      <w:r>
        <w:t xml:space="preserve">    {</w:t>
      </w:r>
    </w:p>
    <w:p w14:paraId="165B8F9D">
      <w:pPr>
        <w:pStyle w:val="CODE"/>
      </w:pPr>
      <w:r>
        <w:t xml:space="preserve">      "name": "Messages",</w:t>
      </w:r>
    </w:p>
    <w:p w14:paraId="1638D219">
      <w:pPr>
        <w:pStyle w:val="CODE"/>
      </w:pPr>
      <w:r>
        <w:t xml:space="preserve">      "type": {</w:t>
      </w:r>
    </w:p>
    <w:p w14:paraId="0CA55DC2">
      <w:pPr>
        <w:pStyle w:val="CODE"/>
      </w:pPr>
      <w:r>
        <w:t xml:space="preserve">        "items": [</w:t>
      </w:r>
    </w:p>
    <w:p w14:paraId="1BCE5E63">
      <w:pPr>
        <w:pStyle w:val="CODE"/>
      </w:pPr>
      <w:r>
        <w:t xml:space="preserve">          "null",</w:t>
      </w:r>
    </w:p>
    <w:p w14:paraId="57212EAF">
      <w:pPr>
        <w:pStyle w:val="CODE"/>
      </w:pPr>
      <w:r>
        <w:t xml:space="preserve">          "org.opcfoundation.ua.avro.AvroActionResponseDataSetMessage"</w:t>
      </w:r>
    </w:p>
    <w:p w14:paraId="6BA0F4A0">
      <w:pPr>
        <w:pStyle w:val="CODE"/>
      </w:pPr>
      <w:r>
        <w:t xml:space="preserve">        ],</w:t>
      </w:r>
    </w:p>
    <w:p w14:paraId="7FB95EA5">
      <w:pPr>
        <w:pStyle w:val="CODE"/>
      </w:pPr>
      <w:r>
        <w:t xml:space="preserve">        "type": "array"</w:t>
      </w:r>
    </w:p>
    <w:p w14:paraId="3E5C46EE">
      <w:pPr>
        <w:pStyle w:val="CODE"/>
      </w:pPr>
      <w:r>
        <w:t xml:space="preserve">      }</w:t>
      </w:r>
    </w:p>
    <w:p w14:paraId="70A7AD76">
      <w:pPr>
        <w:pStyle w:val="CODE"/>
      </w:pPr>
      <w:r>
        <w:t xml:space="preserve">    },</w:t>
      </w:r>
    </w:p>
    <w:p w14:paraId="33684056">
      <w:pPr>
        <w:pStyle w:val="CODE"/>
      </w:pPr>
      <w:r>
        <w:t xml:space="preserve">    {</w:t>
      </w:r>
    </w:p>
    <w:p w14:paraId="652FABE2">
      <w:pPr>
        <w:pStyle w:val="CODE"/>
      </w:pPr>
      <w:r>
        <w:t xml:space="preserve">      "name": "SchemaId",</w:t>
      </w:r>
    </w:p>
    <w:p w14:paraId="0C5C4731">
      <w:pPr>
        <w:pStyle w:val="CODE"/>
      </w:pPr>
      <w:r>
        <w:t xml:space="preserve">      "type": [</w:t>
      </w:r>
    </w:p>
    <w:p w14:paraId="7B98C75A">
      <w:pPr>
        <w:pStyle w:val="CODE"/>
      </w:pPr>
      <w:r>
        <w:t xml:space="preserve">        "null",</w:t>
      </w:r>
    </w:p>
    <w:p w14:paraId="5489CBF0">
      <w:pPr>
        <w:pStyle w:val="CODE"/>
      </w:pPr>
      <w:r>
        <w:t xml:space="preserve">        "string"</w:t>
      </w:r>
    </w:p>
    <w:p w14:paraId="2BFA22AE">
      <w:pPr>
        <w:pStyle w:val="CODE"/>
      </w:pPr>
      <w:r>
        <w:t xml:space="preserve">      ]</w:t>
      </w:r>
    </w:p>
    <w:p w14:paraId="19498CBE">
      <w:pPr>
        <w:pStyle w:val="CODE"/>
      </w:pPr>
      <w:r>
        <w:t xml:space="preserve">    }</w:t>
      </w:r>
    </w:p>
    <w:p w14:paraId="66D6A695">
      <w:pPr>
        <w:pStyle w:val="CODE"/>
      </w:pPr>
      <w:r>
        <w:t xml:space="preserve">  ],</w:t>
      </w:r>
    </w:p>
    <w:p w14:paraId="61D2CFC8">
      <w:pPr>
        <w:pStyle w:val="CODE"/>
      </w:pPr>
      <w:r>
        <w:t xml:space="preserve">  "name": "AvroActionResponseNetworkMessage",</w:t>
      </w:r>
    </w:p>
    <w:p w14:paraId="16C22E98">
      <w:pPr>
        <w:pStyle w:val="CODE"/>
      </w:pPr>
      <w:r>
        <w:t xml:space="preserve">  "namespace": "org.opcfoundation.ua.avro",</w:t>
      </w:r>
    </w:p>
    <w:p w14:paraId="1EB4A7A1">
      <w:pPr>
        <w:pStyle w:val="CODE"/>
      </w:pPr>
      <w:r>
        <w:t xml:space="preserve">  "type": "record"</w:t>
      </w:r>
    </w:p>
    <w:p w14:paraId="384474C8">
      <w:pPr>
        <w:pStyle w:val="CODE"/>
      </w:pPr>
      <w:r>
        <w:t xml:space="preserve">}</w:t>
      </w:r>
    </w:p>
    <w:p w14:paraId="7AFF174F">
      <w:pPr>
        <w:pStyle w:val="PARAGRAPH"/>
      </w:pPr>
      <w:r>
        <w:t xml:space="preserve">The published response DataSetMessage schema is </w:t>
      </w:r>
      <w:r>
        <w:rPr>
          <w:rStyle w:val="VARIABLE"/>
        </w:rPr>
        <w:t xml:space="preserve">../extras/avro-encoding/schemas/AvroActionResponseDataSetMessage.avsc</w:t>
      </w:r>
      <w:r>
        <w:t xml:space="preserve">:</w:t>
      </w:r>
    </w:p>
    <w:p w14:paraId="15E5CB86">
      <w:pPr>
        <w:pStyle w:val="CODE"/>
      </w:pPr>
      <w:r>
        <w:t xml:space="preserve">{</w:t>
      </w:r>
    </w:p>
    <w:p w14:paraId="02E9A24B">
      <w:pPr>
        <w:pStyle w:val="CODE"/>
      </w:pPr>
      <w:r>
        <w:t xml:space="preserve">  "fields": [</w:t>
      </w:r>
    </w:p>
    <w:p w14:paraId="19A24FC7">
      <w:pPr>
        <w:pStyle w:val="CODE"/>
      </w:pPr>
      <w:r>
        <w:t xml:space="preserve">    {</w:t>
      </w:r>
    </w:p>
    <w:p w14:paraId="1237F0DF">
      <w:pPr>
        <w:pStyle w:val="CODE"/>
      </w:pPr>
      <w:r>
        <w:t xml:space="preserve">      "name": "ActionTargetId",</w:t>
      </w:r>
    </w:p>
    <w:p w14:paraId="55EB3B41">
      <w:pPr>
        <w:pStyle w:val="CODE"/>
      </w:pPr>
      <w:r>
        <w:t xml:space="preserve">      "type": [</w:t>
      </w:r>
    </w:p>
    <w:p w14:paraId="44A6EC3E">
      <w:pPr>
        <w:pStyle w:val="CODE"/>
      </w:pPr>
      <w:r>
        <w:t xml:space="preserve">        "null",</w:t>
      </w:r>
    </w:p>
    <w:p w14:paraId="71938C41">
      <w:pPr>
        <w:pStyle w:val="CODE"/>
      </w:pPr>
      <w:r>
        <w:t xml:space="preserve">        "org.opcfoundation.ua.avro.NodeId"</w:t>
      </w:r>
    </w:p>
    <w:p w14:paraId="77B60519">
      <w:pPr>
        <w:pStyle w:val="CODE"/>
      </w:pPr>
      <w:r>
        <w:t xml:space="preserve">      ]</w:t>
      </w:r>
    </w:p>
    <w:p w14:paraId="19A7475F">
      <w:pPr>
        <w:pStyle w:val="CODE"/>
      </w:pPr>
      <w:r>
        <w:t xml:space="preserve">    },</w:t>
      </w:r>
    </w:p>
    <w:p w14:paraId="5E28D78A">
      <w:pPr>
        <w:pStyle w:val="CODE"/>
      </w:pPr>
      <w:r>
        <w:t xml:space="preserve">    {</w:t>
      </w:r>
    </w:p>
    <w:p w14:paraId="377E6172">
      <w:pPr>
        <w:pStyle w:val="CODE"/>
      </w:pPr>
      <w:r>
        <w:t xml:space="preserve">      "name": "RequestId",</w:t>
      </w:r>
    </w:p>
    <w:p w14:paraId="6C417734">
      <w:pPr>
        <w:pStyle w:val="CODE"/>
      </w:pPr>
      <w:r>
        <w:t xml:space="preserve">      "type": [</w:t>
      </w:r>
    </w:p>
    <w:p w14:paraId="7B3505F0">
      <w:pPr>
        <w:pStyle w:val="CODE"/>
      </w:pPr>
      <w:r>
        <w:t xml:space="preserve">        "null",</w:t>
      </w:r>
    </w:p>
    <w:p w14:paraId="4F487958">
      <w:pPr>
        <w:pStyle w:val="CODE"/>
      </w:pPr>
      <w:r>
        <w:t xml:space="preserve">        "string"</w:t>
      </w:r>
    </w:p>
    <w:p w14:paraId="7E4208DF">
      <w:pPr>
        <w:pStyle w:val="CODE"/>
      </w:pPr>
      <w:r>
        <w:t xml:space="preserve">      ]</w:t>
      </w:r>
    </w:p>
    <w:p w14:paraId="0A97C520">
      <w:pPr>
        <w:pStyle w:val="CODE"/>
      </w:pPr>
      <w:r>
        <w:t xml:space="preserve">    },</w:t>
      </w:r>
    </w:p>
    <w:p w14:paraId="29A43E2E">
      <w:pPr>
        <w:pStyle w:val="CODE"/>
      </w:pPr>
      <w:r>
        <w:t xml:space="preserve">    {</w:t>
      </w:r>
    </w:p>
    <w:p w14:paraId="65DFB30D">
      <w:pPr>
        <w:pStyle w:val="CODE"/>
      </w:pPr>
      <w:r>
        <w:t xml:space="preserve">      "name": "CorrelationData",</w:t>
      </w:r>
    </w:p>
    <w:p w14:paraId="14EF8AE6">
      <w:pPr>
        <w:pStyle w:val="CODE"/>
      </w:pPr>
      <w:r>
        <w:t xml:space="preserve">      "type": [</w:t>
      </w:r>
    </w:p>
    <w:p w14:paraId="46C0433D">
      <w:pPr>
        <w:pStyle w:val="CODE"/>
      </w:pPr>
      <w:r>
        <w:t xml:space="preserve">        "null",</w:t>
      </w:r>
    </w:p>
    <w:p w14:paraId="3D7B011E">
      <w:pPr>
        <w:pStyle w:val="CODE"/>
      </w:pPr>
      <w:r>
        <w:t xml:space="preserve">        "bytes"</w:t>
      </w:r>
    </w:p>
    <w:p w14:paraId="09AD117D">
      <w:pPr>
        <w:pStyle w:val="CODE"/>
      </w:pPr>
      <w:r>
        <w:t xml:space="preserve">      ]</w:t>
      </w:r>
    </w:p>
    <w:p w14:paraId="6D0C367C">
      <w:pPr>
        <w:pStyle w:val="CODE"/>
      </w:pPr>
      <w:r>
        <w:t xml:space="preserve">    },</w:t>
      </w:r>
    </w:p>
    <w:p w14:paraId="2B0FDB91">
      <w:pPr>
        <w:pStyle w:val="CODE"/>
      </w:pPr>
      <w:r>
        <w:t xml:space="preserve">    {</w:t>
      </w:r>
    </w:p>
    <w:p w14:paraId="49C24070">
      <w:pPr>
        <w:pStyle w:val="CODE"/>
      </w:pPr>
      <w:r>
        <w:t xml:space="preserve">      "name": "Status",</w:t>
      </w:r>
    </w:p>
    <w:p w14:paraId="0AEED534">
      <w:pPr>
        <w:pStyle w:val="CODE"/>
      </w:pPr>
      <w:r>
        <w:t xml:space="preserve">      "type": "int"</w:t>
      </w:r>
    </w:p>
    <w:p w14:paraId="4AD12C3D">
      <w:pPr>
        <w:pStyle w:val="CODE"/>
      </w:pPr>
      <w:r>
        <w:t xml:space="preserve">    },</w:t>
      </w:r>
    </w:p>
    <w:p w14:paraId="7077792D">
      <w:pPr>
        <w:pStyle w:val="CODE"/>
      </w:pPr>
      <w:r>
        <w:t xml:space="preserve">    {</w:t>
      </w:r>
    </w:p>
    <w:p w14:paraId="6516FE55">
      <w:pPr>
        <w:pStyle w:val="CODE"/>
      </w:pPr>
      <w:r>
        <w:t xml:space="preserve">      "name": "OutputArguments",</w:t>
      </w:r>
    </w:p>
    <w:p w14:paraId="2F3EF406">
      <w:pPr>
        <w:pStyle w:val="CODE"/>
      </w:pPr>
      <w:r>
        <w:t xml:space="preserve">      "type": {</w:t>
      </w:r>
    </w:p>
    <w:p w14:paraId="1F1DE889">
      <w:pPr>
        <w:pStyle w:val="CODE"/>
      </w:pPr>
      <w:r>
        <w:t xml:space="preserve">        "items": [</w:t>
      </w:r>
    </w:p>
    <w:p w14:paraId="37790732">
      <w:pPr>
        <w:pStyle w:val="CODE"/>
      </w:pPr>
      <w:r>
        <w:t xml:space="preserve">          "null",</w:t>
      </w:r>
    </w:p>
    <w:p w14:paraId="69DE8639">
      <w:pPr>
        <w:pStyle w:val="CODE"/>
      </w:pPr>
      <w:r>
        <w:t xml:space="preserve">          "org.opcfoundation.ua.avro.Variant"</w:t>
      </w:r>
    </w:p>
    <w:p w14:paraId="3831FD41">
      <w:pPr>
        <w:pStyle w:val="CODE"/>
      </w:pPr>
      <w:r>
        <w:t xml:space="preserve">        ],</w:t>
      </w:r>
    </w:p>
    <w:p w14:paraId="36433D8B">
      <w:pPr>
        <w:pStyle w:val="CODE"/>
      </w:pPr>
      <w:r>
        <w:t xml:space="preserve">        "type": "array"</w:t>
      </w:r>
    </w:p>
    <w:p w14:paraId="458576FE">
      <w:pPr>
        <w:pStyle w:val="CODE"/>
      </w:pPr>
      <w:r>
        <w:t xml:space="preserve">      }</w:t>
      </w:r>
    </w:p>
    <w:p w14:paraId="710607FB">
      <w:pPr>
        <w:pStyle w:val="CODE"/>
      </w:pPr>
      <w:r>
        <w:t xml:space="preserve">    },</w:t>
      </w:r>
    </w:p>
    <w:p w14:paraId="49A6C0BE">
      <w:pPr>
        <w:pStyle w:val="CODE"/>
      </w:pPr>
      <w:r>
        <w:t xml:space="preserve">    {</w:t>
      </w:r>
    </w:p>
    <w:p w14:paraId="5ACB02B1">
      <w:pPr>
        <w:pStyle w:val="CODE"/>
      </w:pPr>
      <w:r>
        <w:t xml:space="preserve">      "name": "DiagnosticInfos",</w:t>
      </w:r>
    </w:p>
    <w:p w14:paraId="7A2D5B4A">
      <w:pPr>
        <w:pStyle w:val="CODE"/>
      </w:pPr>
      <w:r>
        <w:t xml:space="preserve">      "type": {</w:t>
      </w:r>
    </w:p>
    <w:p w14:paraId="11193FAC">
      <w:pPr>
        <w:pStyle w:val="CODE"/>
      </w:pPr>
      <w:r>
        <w:t xml:space="preserve">        "items": [</w:t>
      </w:r>
    </w:p>
    <w:p w14:paraId="5C242848">
      <w:pPr>
        <w:pStyle w:val="CODE"/>
      </w:pPr>
      <w:r>
        <w:t xml:space="preserve">          "null",</w:t>
      </w:r>
    </w:p>
    <w:p w14:paraId="2AE2019F">
      <w:pPr>
        <w:pStyle w:val="CODE"/>
      </w:pPr>
      <w:r>
        <w:t xml:space="preserve">          "org.opcfoundation.ua.avro.DiagnosticInfo"</w:t>
      </w:r>
    </w:p>
    <w:p w14:paraId="5099C1A1">
      <w:pPr>
        <w:pStyle w:val="CODE"/>
      </w:pPr>
      <w:r>
        <w:t xml:space="preserve">        ],</w:t>
      </w:r>
    </w:p>
    <w:p w14:paraId="1BB27959">
      <w:pPr>
        <w:pStyle w:val="CODE"/>
      </w:pPr>
      <w:r>
        <w:t xml:space="preserve">        "type": "array"</w:t>
      </w:r>
    </w:p>
    <w:p w14:paraId="5A18725B">
      <w:pPr>
        <w:pStyle w:val="CODE"/>
      </w:pPr>
      <w:r>
        <w:t xml:space="preserve">      }</w:t>
      </w:r>
    </w:p>
    <w:p w14:paraId="52369245">
      <w:pPr>
        <w:pStyle w:val="CODE"/>
      </w:pPr>
      <w:r>
        <w:t xml:space="preserve">    }</w:t>
      </w:r>
    </w:p>
    <w:p w14:paraId="53647AF3">
      <w:pPr>
        <w:pStyle w:val="CODE"/>
      </w:pPr>
      <w:r>
        <w:t xml:space="preserve">  ],</w:t>
      </w:r>
    </w:p>
    <w:p w14:paraId="2B49A888">
      <w:pPr>
        <w:pStyle w:val="CODE"/>
      </w:pPr>
      <w:r>
        <w:t xml:space="preserve">  "name": "AvroActionResponseDataSetMessage",</w:t>
      </w:r>
    </w:p>
    <w:p w14:paraId="0F63813E">
      <w:pPr>
        <w:pStyle w:val="CODE"/>
      </w:pPr>
      <w:r>
        <w:t xml:space="preserve">  "namespace": "org.opcfoundation.ua.avro",</w:t>
      </w:r>
    </w:p>
    <w:p w14:paraId="147498A5">
      <w:pPr>
        <w:pStyle w:val="CODE"/>
      </w:pPr>
      <w:r>
        <w:t xml:space="preserve">  "type": "record"</w:t>
      </w:r>
    </w:p>
    <w:p w14:paraId="3D9DAFE5">
      <w:pPr>
        <w:pStyle w:val="CODE"/>
      </w:pPr>
      <w:r>
        <w:t xml:space="preserve">}</w:t>
      </w:r>
    </w:p>
    <w:p w14:paraId="46F1953F">
      <w:pPr>
        <w:pStyle w:val="PARAGRAPH"/>
      </w:pPr>
      <w:r>
        <w:rPr>
          <w:rStyle w:val="VARIABLE"/>
        </w:rPr>
        <w:t xml:space="preserve">InputArguments</w:t>
      </w:r>
      <w:r>
        <w:t xml:space="preserve"> and </w:t>
      </w:r>
      <w:r>
        <w:rPr>
          <w:rStyle w:val="VARIABLE"/>
        </w:rPr>
        <w:t xml:space="preserve">OutputArguments</w:t>
      </w:r>
      <w:r>
        <w:t xml:space="preserve"> use Variant so each argument keeps its OPC UA BuiltInType, dimensions and null state. If a deployment elects to carry argument status and timestamps, the DataSetFieldContentMask may instead select DataValue and the derived Action schema shall use </w:t>
      </w:r>
      <w:r>
        <w:rPr>
          <w:rStyle w:val="VARIABLE"/>
        </w:rPr>
        <w:t xml:space="preserve">DataValue</w:t>
      </w:r>
      <w:r>
        <w:t xml:space="preserve"> for the argument array item type. MQTT Action request and response publications use the existing </w:t>
      </w:r>
      <w:r>
        <w:rPr>
          <w:rStyle w:val="VARIABLE"/>
        </w:rPr>
        <w:t xml:space="preserve">action-request</w:t>
      </w:r>
      <w:r>
        <w:t xml:space="preserve"> and </w:t>
      </w:r>
      <w:r>
        <w:rPr>
          <w:rStyle w:val="VARIABLE"/>
        </w:rPr>
        <w:t xml:space="preserve">action-response</w:t>
      </w:r>
      <w:r>
        <w:t xml:space="preserve"> topic conventions from Part 14 with MQTT 5 </w:t>
      </w:r>
      <w:r>
        <w:rPr>
          <w:rStyle w:val="VARIABLE"/>
        </w:rPr>
        <w:t xml:space="preserve">ContentType</w:t>
      </w:r>
      <w:r>
        <w:t xml:space="preserve"> set to </w:t>
      </w:r>
      <w:r>
        <w:rPr>
          <w:rStyle w:val="VARIABLE"/>
        </w:rPr>
        <w:t xml:space="preserve">application/vnd.apache.avro; opcua=pubsub; encoding=binary</w:t>
      </w:r>
      <w:r>
        <w:t xml:space="preserve">.</w:t>
      </w:r>
    </w:p>
    <w:p w14:paraId="70767A22">
      <w:pPr>
        <w:pStyle w:val="Heading4"/>
      </w:pPr>
      <w:bookmarkStart w:id="509" w:name="_Clause_c6_8_3_2"/>
      <w:r>
        <w:t xml:space="preserve">Discovery messages</w:t>
      </w:r>
      <w:bookmarkEnd w:id="509"/>
    </w:p>
    <w:p w14:paraId="4CBF173C">
      <w:pPr>
        <w:pStyle w:val="PARAGRAPH"/>
      </w:pPr>
      <w:r>
        <w:t xml:space="preserve">Discovery messages are encoded as Avro records and published with the same content type. The schemas generated by this draft are intentionally reduced, faithful shapes for the fields needed to prove the mapping. Full base OPC UA structures that are not locally modelled in this extension are represented as reduced records or </w:t>
      </w:r>
      <w:r>
        <w:rPr>
          <w:rStyle w:val="VARIABLE"/>
        </w:rPr>
        <w:t xml:space="preserve">ExtensionObject</w:t>
      </w:r>
      <w:r>
        <w:t xml:space="preserve"> fallbacks:</w:t>
      </w:r>
    </w:p>
    <w:p w14:paraId="4EB86F3B">
      <w:pPr>
        <w:pStyle w:val="TABLE-title"/>
        <w:keepNext/>
      </w:pPr>
      <w:bookmarkStart w:id="510" w:name="_Tab_discovery_messages_tab1"/>
      <w:r>
        <w:t xml:space="preserve">Table </w:t>
      </w:r>
      <w:r>
        <w:fldChar w:fldCharType="begin"/>
      </w:r>
      <w:r>
        <w:instrText xml:space="preserve"> SEQ Table \* ARABIC </w:instrText>
      </w:r>
      <w:r>
        <w:fldChar w:fldCharType="separate"/>
      </w:r>
      <w:r>
        <w:rPr>
          <w:noProof/>
        </w:rPr>
        <w:t xml:space="preserve">3</w:t>
      </w:r>
      <w:r>
        <w:fldChar w:fldCharType="end"/>
      </w:r>
      <w:r>
        <w:t xml:space="preserve"> – Discovery messages</w:t>
      </w:r>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791B45A1">
            <w:pPr>
              <w:pStyle w:val="TableText"/>
            </w:pPr>
            <w:r>
              <w:t xml:space="preserve">Part 14 discovery concept</w:t>
            </w:r>
          </w:p>
        </w:tc>
        <w:tc>
          <w:tcPr>
            <w:tcW w:w="2975" w:type="dxa"/>
            <w:tcBorders>
              <w:top w:val="single" w:sz="4" w:space="0" w:color="auto"/>
              <w:left w:val="single" w:sz="4" w:space="0" w:color="auto"/>
              <w:bottom w:val="double" w:sz="4" w:space="0" w:color="auto"/>
              <w:right w:val="single" w:sz="4" w:space="0" w:color="auto"/>
            </w:tcBorders>
          </w:tcPr>
          <w:p w14:paraId="45A36F09">
            <w:pPr>
              <w:pStyle w:val="TableText"/>
            </w:pPr>
            <w:r>
              <w:t xml:space="preserve">Published Avro schema</w:t>
            </w:r>
          </w:p>
        </w:tc>
        <w:tc>
          <w:tcPr>
            <w:tcW w:w="2976" w:type="dxa"/>
            <w:tcBorders>
              <w:top w:val="single" w:sz="4" w:space="0" w:color="auto"/>
              <w:left w:val="single" w:sz="4" w:space="0" w:color="auto"/>
              <w:bottom w:val="double" w:sz="4" w:space="0" w:color="auto"/>
              <w:right w:val="single" w:sz="4" w:space="0" w:color="auto"/>
            </w:tcBorders>
          </w:tcPr>
          <w:p w14:paraId="52581601">
            <w:pPr>
              <w:pStyle w:val="TableText"/>
            </w:pPr>
            <w:r>
              <w:t xml:space="preserve">Reduced-shape or fallback decision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A4B271B">
            <w:pPr>
              <w:pStyle w:val="TableText"/>
            </w:pPr>
            <w:r>
              <w:t xml:space="preserve">DataSetMetaData announcement</w:t>
            </w:r>
          </w:p>
        </w:tc>
        <w:tc>
          <w:tcPr>
            <w:tcW w:w="2975" w:type="dxa"/>
            <w:tcBorders>
              <w:top w:val="single" w:sz="4" w:space="0" w:color="auto"/>
              <w:left w:val="single" w:sz="4" w:space="0" w:color="auto"/>
              <w:bottom w:val="single" w:sz="4" w:space="0" w:color="auto"/>
              <w:right w:val="single" w:sz="4" w:space="0" w:color="auto"/>
            </w:tcBorders>
          </w:tcPr>
          <w:p w14:paraId="5B3D2DB4">
            <w:pPr>
              <w:pStyle w:val="TableText"/>
            </w:pPr>
            <w:r>
              <w:rPr>
                <w:rStyle w:val="VARIABLE"/>
              </w:rPr>
              <w:t xml:space="preserve">AvroDataSetMetaData.avsc</w:t>
            </w:r>
          </w:p>
        </w:tc>
        <w:tc>
          <w:tcPr>
            <w:tcW w:w="2976" w:type="dxa"/>
            <w:tcBorders>
              <w:top w:val="single" w:sz="4" w:space="0" w:color="auto"/>
              <w:left w:val="single" w:sz="4" w:space="0" w:color="auto"/>
              <w:bottom w:val="single" w:sz="4" w:space="0" w:color="auto"/>
              <w:right w:val="single" w:sz="4" w:space="0" w:color="auto"/>
            </w:tcBorders>
          </w:tcPr>
          <w:p w14:paraId="640C48BF">
            <w:pPr>
              <w:pStyle w:val="TableText"/>
            </w:pPr>
            <w:r>
              <w:t xml:space="preserve">Reduced shape: Name, DataSetClassId, ConfigurationVersion, FieldMetaData[], SchemaId and SchemaJson.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32EABFE">
            <w:pPr>
              <w:pStyle w:val="TableText"/>
            </w:pPr>
            <w:r>
              <w:t xml:space="preserve">FieldMetaData</w:t>
            </w:r>
          </w:p>
        </w:tc>
        <w:tc>
          <w:tcPr>
            <w:tcW w:w="2975" w:type="dxa"/>
            <w:tcBorders>
              <w:top w:val="single" w:sz="4" w:space="0" w:color="auto"/>
              <w:left w:val="single" w:sz="4" w:space="0" w:color="auto"/>
              <w:bottom w:val="single" w:sz="4" w:space="0" w:color="auto"/>
              <w:right w:val="single" w:sz="4" w:space="0" w:color="auto"/>
            </w:tcBorders>
          </w:tcPr>
          <w:p w14:paraId="4F7D50BB">
            <w:pPr>
              <w:pStyle w:val="TableText"/>
            </w:pPr>
            <w:r>
              <w:rPr>
                <w:rStyle w:val="VARIABLE"/>
              </w:rPr>
              <w:t xml:space="preserve">AvroFieldMetaData.avsc</w:t>
            </w:r>
          </w:p>
        </w:tc>
        <w:tc>
          <w:tcPr>
            <w:tcW w:w="2976" w:type="dxa"/>
            <w:tcBorders>
              <w:top w:val="single" w:sz="4" w:space="0" w:color="auto"/>
              <w:left w:val="single" w:sz="4" w:space="0" w:color="auto"/>
              <w:bottom w:val="single" w:sz="4" w:space="0" w:color="auto"/>
              <w:right w:val="single" w:sz="4" w:space="0" w:color="auto"/>
            </w:tcBorders>
          </w:tcPr>
          <w:p w14:paraId="2BC2A33B">
            <w:pPr>
              <w:pStyle w:val="TableText"/>
            </w:pPr>
            <w:r>
              <w:t xml:space="preserve">Reduced shape: Name, Description, DataType, BuiltInType, ValueRank and ArrayDimensions.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019DA96">
            <w:pPr>
              <w:pStyle w:val="TableText"/>
            </w:pPr>
            <w:r>
              <w:t xml:space="preserve">ConfigurationVersionDataType</w:t>
            </w:r>
          </w:p>
        </w:tc>
        <w:tc>
          <w:tcPr>
            <w:tcW w:w="2975" w:type="dxa"/>
            <w:tcBorders>
              <w:top w:val="single" w:sz="4" w:space="0" w:color="auto"/>
              <w:left w:val="single" w:sz="4" w:space="0" w:color="auto"/>
              <w:bottom w:val="single" w:sz="4" w:space="0" w:color="auto"/>
              <w:right w:val="single" w:sz="4" w:space="0" w:color="auto"/>
            </w:tcBorders>
          </w:tcPr>
          <w:p w14:paraId="51D222DE">
            <w:pPr>
              <w:pStyle w:val="TableText"/>
            </w:pPr>
            <w:r>
              <w:rPr>
                <w:rStyle w:val="VARIABLE"/>
              </w:rPr>
              <w:t xml:space="preserve">AvroConfigurationVersionDataType.avsc</w:t>
            </w:r>
          </w:p>
        </w:tc>
        <w:tc>
          <w:tcPr>
            <w:tcW w:w="2976" w:type="dxa"/>
            <w:tcBorders>
              <w:top w:val="single" w:sz="4" w:space="0" w:color="auto"/>
              <w:left w:val="single" w:sz="4" w:space="0" w:color="auto"/>
              <w:bottom w:val="single" w:sz="4" w:space="0" w:color="auto"/>
              <w:right w:val="single" w:sz="4" w:space="0" w:color="auto"/>
            </w:tcBorders>
          </w:tcPr>
          <w:p w14:paraId="5811EAC9">
            <w:pPr>
              <w:pStyle w:val="TableText"/>
            </w:pPr>
            <w:r>
              <w:t xml:space="preserve">Faithful two UInt32 fields: MajorVersion and MinorVersion.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D2044DE">
            <w:pPr>
              <w:pStyle w:val="TableText"/>
            </w:pPr>
            <w:r>
              <w:t xml:space="preserve">DataSetWriter configuration announcement</w:t>
            </w:r>
          </w:p>
        </w:tc>
        <w:tc>
          <w:tcPr>
            <w:tcW w:w="2975" w:type="dxa"/>
            <w:tcBorders>
              <w:top w:val="single" w:sz="4" w:space="0" w:color="auto"/>
              <w:left w:val="single" w:sz="4" w:space="0" w:color="auto"/>
              <w:bottom w:val="single" w:sz="4" w:space="0" w:color="auto"/>
              <w:right w:val="single" w:sz="4" w:space="0" w:color="auto"/>
            </w:tcBorders>
          </w:tcPr>
          <w:p w14:paraId="467BB117">
            <w:pPr>
              <w:pStyle w:val="TableText"/>
            </w:pPr>
            <w:r>
              <w:rPr>
                <w:rStyle w:val="VARIABLE"/>
              </w:rPr>
              <w:t xml:space="preserve">AvroDataSetWriterConfigurationAnnouncement.avsc</w:t>
            </w:r>
          </w:p>
        </w:tc>
        <w:tc>
          <w:tcPr>
            <w:tcW w:w="2976" w:type="dxa"/>
            <w:tcBorders>
              <w:top w:val="single" w:sz="4" w:space="0" w:color="auto"/>
              <w:left w:val="single" w:sz="4" w:space="0" w:color="auto"/>
              <w:bottom w:val="single" w:sz="4" w:space="0" w:color="auto"/>
              <w:right w:val="single" w:sz="4" w:space="0" w:color="auto"/>
            </w:tcBorders>
          </w:tcPr>
          <w:p w14:paraId="34D8A2A7">
            <w:pPr>
              <w:pStyle w:val="TableText"/>
            </w:pPr>
            <w:r>
              <w:t xml:space="preserve">Carries PublisherId, WriterGroupId, DataSetWriterId, ConfigurationVersion, DataSetMetaData, SchemaId and SchemaJson.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250936E">
            <w:pPr>
              <w:pStyle w:val="TableText"/>
            </w:pPr>
            <w:r>
              <w:t xml:space="preserve">ActionResponder configuration announcement</w:t>
            </w:r>
          </w:p>
        </w:tc>
        <w:tc>
          <w:tcPr>
            <w:tcW w:w="2975" w:type="dxa"/>
            <w:tcBorders>
              <w:top w:val="single" w:sz="4" w:space="0" w:color="auto"/>
              <w:left w:val="single" w:sz="4" w:space="0" w:color="auto"/>
              <w:bottom w:val="single" w:sz="4" w:space="0" w:color="auto"/>
              <w:right w:val="single" w:sz="4" w:space="0" w:color="auto"/>
            </w:tcBorders>
          </w:tcPr>
          <w:p w14:paraId="2FBF0318">
            <w:pPr>
              <w:pStyle w:val="TableText"/>
            </w:pPr>
            <w:r>
              <w:rPr>
                <w:rStyle w:val="VARIABLE"/>
              </w:rPr>
              <w:t xml:space="preserve">AvroActionResponderConfigurationAnnouncement.avsc</w:t>
            </w:r>
          </w:p>
        </w:tc>
        <w:tc>
          <w:tcPr>
            <w:tcW w:w="2976" w:type="dxa"/>
            <w:tcBorders>
              <w:top w:val="single" w:sz="4" w:space="0" w:color="auto"/>
              <w:left w:val="single" w:sz="4" w:space="0" w:color="auto"/>
              <w:bottom w:val="single" w:sz="4" w:space="0" w:color="auto"/>
              <w:right w:val="single" w:sz="4" w:space="0" w:color="auto"/>
            </w:tcBorders>
          </w:tcPr>
          <w:p w14:paraId="725867F5">
            <w:pPr>
              <w:pStyle w:val="TableText"/>
            </w:pPr>
            <w:r>
              <w:t xml:space="preserve">Carries ActionTargetId/ObjectId/MethodId plus input/output DataSetMetaData and schema announcement fields.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ED60D74">
            <w:pPr>
              <w:pStyle w:val="TableText"/>
            </w:pPr>
            <w:r>
              <w:t xml:space="preserve">Schema announcement</w:t>
            </w:r>
          </w:p>
        </w:tc>
        <w:tc>
          <w:tcPr>
            <w:tcW w:w="2975" w:type="dxa"/>
            <w:tcBorders>
              <w:top w:val="single" w:sz="4" w:space="0" w:color="auto"/>
              <w:left w:val="single" w:sz="4" w:space="0" w:color="auto"/>
              <w:bottom w:val="single" w:sz="4" w:space="0" w:color="auto"/>
              <w:right w:val="single" w:sz="4" w:space="0" w:color="auto"/>
            </w:tcBorders>
          </w:tcPr>
          <w:p w14:paraId="4FA120A0">
            <w:pPr>
              <w:pStyle w:val="TableText"/>
            </w:pPr>
            <w:r>
              <w:rPr>
                <w:rStyle w:val="VARIABLE"/>
              </w:rPr>
              <w:t xml:space="preserve">AvroSchemaAnnouncement.avsc</w:t>
            </w:r>
          </w:p>
        </w:tc>
        <w:tc>
          <w:tcPr>
            <w:tcW w:w="2976" w:type="dxa"/>
            <w:tcBorders>
              <w:top w:val="single" w:sz="4" w:space="0" w:color="auto"/>
              <w:left w:val="single" w:sz="4" w:space="0" w:color="auto"/>
              <w:bottom w:val="single" w:sz="4" w:space="0" w:color="auto"/>
              <w:right w:val="single" w:sz="4" w:space="0" w:color="auto"/>
            </w:tcBorders>
          </w:tcPr>
          <w:p w14:paraId="635BB71C">
            <w:pPr>
              <w:pStyle w:val="TableText"/>
            </w:pPr>
            <w:r>
              <w:t xml:space="preserve">Carries SchemaId bytes, SchemaJson and optional SchemaEpoch for the SchemaId cache.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AA21E5F">
            <w:pPr>
              <w:pStyle w:val="TableText"/>
            </w:pPr>
            <w:r>
              <w:t xml:space="preserve">Schema request</w:t>
            </w:r>
          </w:p>
        </w:tc>
        <w:tc>
          <w:tcPr>
            <w:tcW w:w="2975" w:type="dxa"/>
            <w:tcBorders>
              <w:top w:val="single" w:sz="4" w:space="0" w:color="auto"/>
              <w:left w:val="single" w:sz="4" w:space="0" w:color="auto"/>
              <w:bottom w:val="single" w:sz="4" w:space="0" w:color="auto"/>
              <w:right w:val="single" w:sz="4" w:space="0" w:color="auto"/>
            </w:tcBorders>
          </w:tcPr>
          <w:p w14:paraId="3BA5E5CB">
            <w:pPr>
              <w:pStyle w:val="TableText"/>
            </w:pPr>
            <w:r>
              <w:rPr>
                <w:rStyle w:val="VARIABLE"/>
              </w:rPr>
              <w:t xml:space="preserve">AvroSchemaRequest.avsc</w:t>
            </w:r>
          </w:p>
        </w:tc>
        <w:tc>
          <w:tcPr>
            <w:tcW w:w="2976" w:type="dxa"/>
            <w:tcBorders>
              <w:top w:val="single" w:sz="4" w:space="0" w:color="auto"/>
              <w:left w:val="single" w:sz="4" w:space="0" w:color="auto"/>
              <w:bottom w:val="single" w:sz="4" w:space="0" w:color="auto"/>
              <w:right w:val="single" w:sz="4" w:space="0" w:color="auto"/>
            </w:tcBorders>
          </w:tcPr>
          <w:p w14:paraId="4028F8B9">
            <w:pPr>
              <w:pStyle w:val="TableText"/>
            </w:pPr>
            <w:r>
              <w:t xml:space="preserve">Carries an optional RequesterId and the SchemaIds requested by a late joiner or cache-miss decoder.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CAD8043">
            <w:pPr>
              <w:pStyle w:val="TableText"/>
            </w:pPr>
            <w:r>
              <w:t xml:space="preserve">Discovery probe</w:t>
            </w:r>
          </w:p>
        </w:tc>
        <w:tc>
          <w:tcPr>
            <w:tcW w:w="2975" w:type="dxa"/>
            <w:tcBorders>
              <w:top w:val="single" w:sz="4" w:space="0" w:color="auto"/>
              <w:left w:val="single" w:sz="4" w:space="0" w:color="auto"/>
              <w:bottom w:val="single" w:sz="4" w:space="0" w:color="auto"/>
              <w:right w:val="single" w:sz="4" w:space="0" w:color="auto"/>
            </w:tcBorders>
          </w:tcPr>
          <w:p w14:paraId="5B3B1BC1">
            <w:pPr>
              <w:pStyle w:val="TableText"/>
            </w:pPr>
            <w:r>
              <w:rPr>
                <w:rStyle w:val="VARIABLE"/>
              </w:rPr>
              <w:t xml:space="preserve">AvroDiscoveryProbe.avsc</w:t>
            </w:r>
          </w:p>
        </w:tc>
        <w:tc>
          <w:tcPr>
            <w:tcW w:w="2976" w:type="dxa"/>
            <w:tcBorders>
              <w:top w:val="single" w:sz="4" w:space="0" w:color="auto"/>
              <w:left w:val="single" w:sz="4" w:space="0" w:color="auto"/>
              <w:bottom w:val="single" w:sz="4" w:space="0" w:color="auto"/>
              <w:right w:val="single" w:sz="4" w:space="0" w:color="auto"/>
            </w:tcBorders>
          </w:tcPr>
          <w:p w14:paraId="1AD686BF">
            <w:pPr>
              <w:pStyle w:val="TableText"/>
            </w:pPr>
            <w:r>
              <w:t xml:space="preserve">Carries PublisherId plus requested WriterGroupIds, DataSetWriterIds and ActionTargetIds.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D804617">
            <w:pPr>
              <w:pStyle w:val="TableText"/>
            </w:pPr>
            <w:r>
              <w:t xml:space="preserve">Publisher endpoints announcement</w:t>
            </w:r>
          </w:p>
        </w:tc>
        <w:tc>
          <w:tcPr>
            <w:tcW w:w="2975" w:type="dxa"/>
            <w:tcBorders>
              <w:top w:val="single" w:sz="4" w:space="0" w:color="auto"/>
              <w:left w:val="single" w:sz="4" w:space="0" w:color="auto"/>
              <w:bottom w:val="single" w:sz="4" w:space="0" w:color="auto"/>
              <w:right w:val="single" w:sz="4" w:space="0" w:color="auto"/>
            </w:tcBorders>
          </w:tcPr>
          <w:p w14:paraId="09D2BB89">
            <w:pPr>
              <w:pStyle w:val="TableText"/>
            </w:pPr>
            <w:r>
              <w:rPr>
                <w:rStyle w:val="VARIABLE"/>
              </w:rPr>
              <w:t xml:space="preserve">AvroPublisherEndpointsAnnouncement.avsc</w:t>
            </w:r>
          </w:p>
        </w:tc>
        <w:tc>
          <w:tcPr>
            <w:tcW w:w="2976" w:type="dxa"/>
            <w:tcBorders>
              <w:top w:val="single" w:sz="4" w:space="0" w:color="auto"/>
              <w:left w:val="single" w:sz="4" w:space="0" w:color="auto"/>
              <w:bottom w:val="single" w:sz="4" w:space="0" w:color="auto"/>
              <w:right w:val="single" w:sz="4" w:space="0" w:color="auto"/>
            </w:tcBorders>
          </w:tcPr>
          <w:p w14:paraId="6FADACCA">
            <w:pPr>
              <w:pStyle w:val="TableText"/>
            </w:pPr>
            <w:r>
              <w:t xml:space="preserve">EndpointDescription[] reduced to EndpointUrl, SecurityMode, SecurityPolicyUri and TransportProfileUri; Server and UserIdentityTokens use ExtensionObject fallbacks.</w:t>
            </w:r>
          </w:p>
        </w:tc>
      </w:tr>
    </w:tbl>
    <w:p w14:paraId="1667EA40">
      <w:pPr>
        <w:pStyle w:val="spacer"/>
      </w:pPr>
    </w:p>
    <w:p w14:paraId="02071E14">
      <w:pPr>
        <w:pStyle w:val="PARAGRAPH"/>
      </w:pPr>
      <w:r>
        <w:t xml:space="preserve">This gives a natural SchemaId announcement path. The DataSetMetaData or configuration announcement is the message that rides first and carries </w:t>
      </w:r>
      <w:r>
        <w:rPr>
          <w:rStyle w:val="VARIABLE"/>
        </w:rPr>
        <w:t xml:space="preserve">{ SchemaId, SchemaJson }</w:t>
      </w:r>
      <w:r>
        <w:t xml:space="preserve">; the dedicated </w:t>
      </w:r>
      <w:r>
        <w:rPr>
          <w:rStyle w:val="VARIABLE"/>
        </w:rPr>
        <w:t xml:space="preserve">AvroSchemaAnnouncement</w:t>
      </w:r>
      <w:r>
        <w:t xml:space="preserve"> record carries the same cache entry when a Publisher re-announces active schemas, answers a schema request, or announces a schema that is not otherwise tied to a configuration announcement. Later data or Action messages can then refer only to the SchemaId until the schema changes or a receiver requests it again.</w:t>
      </w:r>
    </w:p>
    <w:p w14:paraId="171AED75">
      <w:pPr>
        <w:pStyle w:val="Heading3"/>
      </w:pPr>
      <w:bookmarkStart w:id="511" w:name="_Clause_c6_8_4"/>
      <w:r>
        <w:t xml:space="preserve">SchemaId handshake</w:t>
      </w:r>
      <w:bookmarkEnd w:id="511"/>
    </w:p>
    <w:p w14:paraId="51621E8A">
      <w:pPr>
        <w:pStyle w:val="Heading4"/>
      </w:pPr>
      <w:bookmarkStart w:id="512" w:name="_Clause_c6_8_4_1"/>
      <w:r>
        <w:t xml:space="preserve">Framing</w:t>
      </w:r>
      <w:bookmarkEnd w:id="512"/>
    </w:p>
    <w:p w14:paraId="5036BECA">
      <w:pPr>
        <w:pStyle w:val="PARAGRAPH"/>
      </w:pPr>
      <w:r>
        <w:t xml:space="preserve">Single OPC UA values encoded with Avro should use Avro single-object encoding: the two magic bytes </w:t>
      </w:r>
      <w:r>
        <w:rPr>
          <w:rStyle w:val="VARIABLE"/>
        </w:rPr>
        <w:t xml:space="preserve">0xC3 0x01</w:t>
      </w:r>
      <w:r>
        <w:t xml:space="preserve">, followed by the 8-byte little-endian Rabin fingerprint, followed by the Avro binary body. The fingerprint bytes are the SchemaId. PubSub DataSetMessages or NetworkMessages that do not use single-object encoding shall carry the same SchemaId in the DataSetMessage header, NetworkMessage header, or transport metadata agreed for the mapping.</w:t>
      </w:r>
    </w:p>
    <w:p w14:paraId="0792C6CD">
      <w:pPr>
        <w:pStyle w:val="PARAGRAPH"/>
      </w:pPr>
      <w:r>
        <w:t xml:space="preserve">The SchemaId identifies the schema of a </w:t>
      </w:r>
      <w:r>
        <w:rPr>
          <w:b/>
        </w:rPr>
        <w:t xml:space="preserve">single DataSet</w:t>
      </w:r>
      <w:r>
        <w:t xml:space="preserve"> — the schema of one DataSetMessage payload. The NetworkMessage </w:t>
      </w:r>
      <w:r>
        <w:rPr>
          <w:b/>
        </w:rPr>
        <w:t xml:space="preserve">envelope</w:t>
      </w:r>
      <w:r>
        <w:t xml:space="preserve"> has its own fixed, specification-defined schema (</w:t>
      </w:r>
      <w:r>
        <w:fldChar w:fldCharType="begin"/>
      </w:r>
      <w:r>
        <w:instrText xml:space="preserve"> REF _Clause_c6_8_1 \r \h </w:instrText>
      </w:r>
      <w:r>
        <w:fldChar w:fldCharType="separate"/>
      </w:r>
      <w:r>
        <w:rPr>
          <w:noProof/>
        </w:rPr>
        <w:t xml:space="preserve">6.8.1</w:t>
      </w:r>
      <w:r>
        <w:fldChar w:fldCharType="end"/>
      </w:r>
      <w:r>
        <w:t xml:space="preserve">) that never changes, so the envelope is not the unit of schema evolution; each DataSetMessage the envelope carries is opaque and is identified and decoded by </w:t>
      </w:r>
      <w:r>
        <w:rPr>
          <w:b/>
        </w:rPr>
        <w:t xml:space="preserve">its own</w:t>
      </w:r>
      <w:r>
        <w:t xml:space="preserve"> per-DataSet SchemaId, carried in the payload entry (</w:t>
      </w:r>
      <w:r>
        <w:fldChar w:fldCharType="begin"/>
      </w:r>
      <w:r>
        <w:instrText xml:space="preserve"> REF _Clause_c6_8_1 \r \h </w:instrText>
      </w:r>
      <w:r>
        <w:fldChar w:fldCharType="separate"/>
      </w:r>
      <w:r>
        <w:rPr>
          <w:noProof/>
        </w:rPr>
        <w:t xml:space="preserve">6.8.1</w:t>
      </w:r>
      <w:r>
        <w:fldChar w:fldCharType="end"/>
      </w:r>
      <w:r>
        <w:t xml:space="preserve">). A producer accordingly computes and tracks the SchemaId, and advances the </w:t>
      </w:r>
      <w:r>
        <w:rPr>
          <w:rStyle w:val="VARIABLE"/>
        </w:rPr>
        <w:t xml:space="preserve">ConfigurationVersion</w:t>
      </w:r>
      <w:r>
        <w:t xml:space="preserve"> (</w:t>
      </w:r>
      <w:r>
        <w:fldChar w:fldCharType="begin"/>
      </w:r>
      <w:r>
        <w:instrText xml:space="preserve"> REF _Clause_c6_8_4_8 \r \h </w:instrText>
      </w:r>
      <w:r>
        <w:fldChar w:fldCharType="separate"/>
      </w:r>
      <w:r>
        <w:rPr>
          <w:noProof/>
        </w:rPr>
        <w:t xml:space="preserve">6.8.4.8</w:t>
      </w:r>
      <w:r>
        <w:fldChar w:fldCharType="end"/>
      </w:r>
      <w:r>
        <w:t xml:space="preserve">), </w:t>
      </w:r>
      <w:r>
        <w:rPr>
          <w:b/>
        </w:rPr>
        <w:t xml:space="preserve">per DataSet</w:t>
      </w:r>
      <w:r>
        <w:t xml:space="preserve">, not per NetworkMessage.</w:t>
      </w:r>
    </w:p>
    <w:p w14:paraId="748A6672">
      <w:pPr>
        <w:pStyle w:val="Heading4"/>
      </w:pPr>
      <w:bookmarkStart w:id="513" w:name="_Clause_c6_8_4_2"/>
      <w:r>
        <w:t xml:space="preserve">SchemaId carrier placement</w:t>
      </w:r>
      <w:bookmarkEnd w:id="513"/>
    </w:p>
    <w:p w14:paraId="57193B6A">
      <w:pPr>
        <w:pStyle w:val="PARAGRAPH"/>
      </w:pPr>
      <w:r>
        <w:t xml:space="preserve">The following carrier placement rules are normative. When more than one carrier is present for the same Avro payload, all present carriers shall contain the same SchemaId value; a receiver shall treat disagreement as a decoding error.</w:t>
      </w:r>
    </w:p>
    <w:p w14:paraId="0C6BB9A6">
      <w:pPr>
        <w:pStyle w:val="TABLE-title"/>
        <w:keepNext/>
      </w:pPr>
      <w:bookmarkStart w:id="514" w:name="_Tab_schemaid_carrier_placement_tab1"/>
      <w:r>
        <w:t xml:space="preserve">Table </w:t>
      </w:r>
      <w:r>
        <w:fldChar w:fldCharType="begin"/>
      </w:r>
      <w:r>
        <w:instrText xml:space="preserve"> SEQ Table \* ARABIC </w:instrText>
      </w:r>
      <w:r>
        <w:fldChar w:fldCharType="separate"/>
      </w:r>
      <w:r>
        <w:rPr>
          <w:noProof/>
        </w:rPr>
        <w:t xml:space="preserve">4</w:t>
      </w:r>
      <w:r>
        <w:fldChar w:fldCharType="end"/>
      </w:r>
      <w:r>
        <w:t xml:space="preserve"> – SchemaId carrier placement</w:t>
      </w:r>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DC2E115">
            <w:pPr>
              <w:pStyle w:val="TableText"/>
            </w:pPr>
            <w:r>
              <w:t xml:space="preserve">Scope</w:t>
            </w:r>
          </w:p>
        </w:tc>
        <w:tc>
          <w:tcPr>
            <w:tcW w:w="2975" w:type="dxa"/>
            <w:tcBorders>
              <w:top w:val="single" w:sz="4" w:space="0" w:color="auto"/>
              <w:left w:val="single" w:sz="4" w:space="0" w:color="auto"/>
              <w:bottom w:val="double" w:sz="4" w:space="0" w:color="auto"/>
              <w:right w:val="single" w:sz="4" w:space="0" w:color="auto"/>
            </w:tcBorders>
          </w:tcPr>
          <w:p w14:paraId="2828B7BE">
            <w:pPr>
              <w:pStyle w:val="TableText"/>
            </w:pPr>
            <w:r>
              <w:t xml:space="preserve">Carrier field</w:t>
            </w:r>
          </w:p>
        </w:tc>
        <w:tc>
          <w:tcPr>
            <w:tcW w:w="2976" w:type="dxa"/>
            <w:tcBorders>
              <w:top w:val="single" w:sz="4" w:space="0" w:color="auto"/>
              <w:left w:val="single" w:sz="4" w:space="0" w:color="auto"/>
              <w:bottom w:val="double" w:sz="4" w:space="0" w:color="auto"/>
              <w:right w:val="single" w:sz="4" w:space="0" w:color="auto"/>
            </w:tcBorders>
          </w:tcPr>
          <w:p w14:paraId="2156D7E6">
            <w:pPr>
              <w:pStyle w:val="TableText"/>
            </w:pPr>
            <w:r>
              <w:t xml:space="preserve">When used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A241A5E">
            <w:pPr>
              <w:pStyle w:val="TableText"/>
            </w:pPr>
            <w:r>
              <w:t xml:space="preserve">Single OPC UA value</w:t>
            </w:r>
          </w:p>
        </w:tc>
        <w:tc>
          <w:tcPr>
            <w:tcW w:w="2975" w:type="dxa"/>
            <w:tcBorders>
              <w:top w:val="single" w:sz="4" w:space="0" w:color="auto"/>
              <w:left w:val="single" w:sz="4" w:space="0" w:color="auto"/>
              <w:bottom w:val="single" w:sz="4" w:space="0" w:color="auto"/>
              <w:right w:val="single" w:sz="4" w:space="0" w:color="auto"/>
            </w:tcBorders>
          </w:tcPr>
          <w:p w14:paraId="5D594E6E">
            <w:pPr>
              <w:pStyle w:val="TableText"/>
            </w:pPr>
            <w:r>
              <w:t xml:space="preserve">Avro single-object framing: </w:t>
            </w:r>
            <w:r>
              <w:rPr>
                <w:rStyle w:val="VARIABLE"/>
              </w:rPr>
              <w:t xml:space="preserve">0xC3 0x01</w:t>
            </w:r>
            <w:r>
              <w:t xml:space="preserve"> plus the 8-byte little-endian Rabin fingerprint</w:t>
            </w:r>
          </w:p>
        </w:tc>
        <w:tc>
          <w:tcPr>
            <w:tcW w:w="2976" w:type="dxa"/>
            <w:tcBorders>
              <w:top w:val="single" w:sz="4" w:space="0" w:color="auto"/>
              <w:left w:val="single" w:sz="4" w:space="0" w:color="auto"/>
              <w:bottom w:val="single" w:sz="4" w:space="0" w:color="auto"/>
              <w:right w:val="single" w:sz="4" w:space="0" w:color="auto"/>
            </w:tcBorders>
          </w:tcPr>
          <w:p w14:paraId="6CDAAB77">
            <w:pPr>
              <w:pStyle w:val="TableText"/>
            </w:pPr>
            <w:r>
              <w:t xml:space="preserve">Used when an individual value is encoded as a standalone Avro value; the 8-byte fingerprint is the SchemaId.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EE1DBCB">
            <w:pPr>
              <w:pStyle w:val="TableText"/>
            </w:pPr>
            <w:r>
              <w:t xml:space="preserve">DataSet payload entry</w:t>
            </w:r>
          </w:p>
        </w:tc>
        <w:tc>
          <w:tcPr>
            <w:tcW w:w="2975" w:type="dxa"/>
            <w:tcBorders>
              <w:top w:val="single" w:sz="4" w:space="0" w:color="auto"/>
              <w:left w:val="single" w:sz="4" w:space="0" w:color="auto"/>
              <w:bottom w:val="single" w:sz="4" w:space="0" w:color="auto"/>
              <w:right w:val="single" w:sz="4" w:space="0" w:color="auto"/>
            </w:tcBorders>
          </w:tcPr>
          <w:p w14:paraId="159E7C7A">
            <w:pPr>
              <w:pStyle w:val="TableText"/>
            </w:pPr>
            <w:r>
              <w:t xml:space="preserve">The </w:t>
            </w:r>
            <w:r>
              <w:rPr>
                <w:rStyle w:val="VARIABLE"/>
              </w:rPr>
              <w:t xml:space="preserve">schemaId</w:t>
            </w:r>
            <w:r>
              <w:t xml:space="preserve"> of each </w:t>
            </w:r>
            <w:r>
              <w:rPr>
                <w:rStyle w:val="VARIABLE"/>
              </w:rPr>
              <w:t xml:space="preserve">{ schemaId, dataSetMessage }</w:t>
            </w:r>
            <w:r>
              <w:t xml:space="preserve"> envelope payload entry (</w:t>
            </w:r>
            <w:r>
              <w:fldChar w:fldCharType="begin"/>
            </w:r>
            <w:r>
              <w:instrText xml:space="preserve"> REF _Clause_c6_8_1 \r \h </w:instrText>
            </w:r>
            <w:r>
              <w:fldChar w:fldCharType="separate"/>
            </w:r>
            <w:r>
              <w:rPr>
                <w:noProof/>
              </w:rPr>
              <w:t xml:space="preserve">6.8.1</w:t>
            </w:r>
            <w:r>
              <w:fldChar w:fldCharType="end"/>
            </w:r>
            <w:r>
              <w:t xml:space="preserve">)</w:t>
            </w:r>
          </w:p>
        </w:tc>
        <w:tc>
          <w:tcPr>
            <w:tcW w:w="2976" w:type="dxa"/>
            <w:tcBorders>
              <w:top w:val="single" w:sz="4" w:space="0" w:color="auto"/>
              <w:left w:val="single" w:sz="4" w:space="0" w:color="auto"/>
              <w:bottom w:val="single" w:sz="4" w:space="0" w:color="auto"/>
              <w:right w:val="single" w:sz="4" w:space="0" w:color="auto"/>
            </w:tcBorders>
          </w:tcPr>
          <w:p w14:paraId="6ABF4827">
            <w:pPr>
              <w:pStyle w:val="TableText"/>
            </w:pPr>
            <w:r>
              <w:t xml:space="preserve">Each opaque DataSetMessage in a NetworkMessage carries its own DataSet SchemaId; the fixed envelope schema itself is specification-defined and needs no per-message SchemaId.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07DB91E">
            <w:pPr>
              <w:pStyle w:val="TableText"/>
            </w:pPr>
            <w:r>
              <w:t xml:space="preserve">Un-enveloped DataSetMessage</w:t>
            </w:r>
          </w:p>
        </w:tc>
        <w:tc>
          <w:tcPr>
            <w:tcW w:w="2975" w:type="dxa"/>
            <w:tcBorders>
              <w:top w:val="single" w:sz="4" w:space="0" w:color="auto"/>
              <w:left w:val="single" w:sz="4" w:space="0" w:color="auto"/>
              <w:bottom w:val="single" w:sz="4" w:space="0" w:color="auto"/>
              <w:right w:val="single" w:sz="4" w:space="0" w:color="auto"/>
            </w:tcBorders>
          </w:tcPr>
          <w:p w14:paraId="5181EE3E">
            <w:pPr>
              <w:pStyle w:val="TableText"/>
            </w:pPr>
            <w:r>
              <w:t xml:space="preserve">The DataSet </w:t>
            </w:r>
            <w:r>
              <w:rPr>
                <w:rStyle w:val="VARIABLE"/>
              </w:rPr>
              <w:t xml:space="preserve">SchemaId</w:t>
            </w:r>
            <w:r>
              <w:t xml:space="preserve"> in the DataSetMessage header, transport metadata, or single-object framing</w:t>
            </w:r>
          </w:p>
        </w:tc>
        <w:tc>
          <w:tcPr>
            <w:tcW w:w="2976" w:type="dxa"/>
            <w:tcBorders>
              <w:top w:val="single" w:sz="4" w:space="0" w:color="auto"/>
              <w:left w:val="single" w:sz="4" w:space="0" w:color="auto"/>
              <w:bottom w:val="single" w:sz="4" w:space="0" w:color="auto"/>
              <w:right w:val="single" w:sz="4" w:space="0" w:color="auto"/>
            </w:tcBorders>
          </w:tcPr>
          <w:p w14:paraId="699205D6">
            <w:pPr>
              <w:pStyle w:val="TableText"/>
            </w:pPr>
            <w:r>
              <w:t xml:space="preserve">Used when a single DataSetMessage, or an un-enveloped batch of </w:t>
            </w:r>
            <w:r>
              <w:rPr>
                <w:rStyle w:val="VARIABLE"/>
              </w:rPr>
              <w:t xml:space="preserve">{ schemaId, dataSetMessage }</w:t>
            </w:r>
            <w:r>
              <w:t xml:space="preserve"> entries, is transported without a NetworkMessage wrapper.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3330ED8">
            <w:pPr>
              <w:pStyle w:val="TableText"/>
            </w:pPr>
            <w:r>
              <w:t xml:space="preserve">Transport metadata</w:t>
            </w:r>
          </w:p>
        </w:tc>
        <w:tc>
          <w:tcPr>
            <w:tcW w:w="2975" w:type="dxa"/>
            <w:tcBorders>
              <w:top w:val="single" w:sz="4" w:space="0" w:color="auto"/>
              <w:left w:val="single" w:sz="4" w:space="0" w:color="auto"/>
              <w:bottom w:val="single" w:sz="4" w:space="0" w:color="auto"/>
              <w:right w:val="single" w:sz="4" w:space="0" w:color="auto"/>
            </w:tcBorders>
          </w:tcPr>
          <w:p w14:paraId="1325E2D8">
            <w:pPr>
              <w:pStyle w:val="TableText"/>
            </w:pPr>
            <w:r>
              <w:t xml:space="preserve">MQTT 5 </w:t>
            </w:r>
            <w:r>
              <w:rPr>
                <w:rStyle w:val="VARIABLE"/>
              </w:rPr>
              <w:t xml:space="preserve">ContentType</w:t>
            </w:r>
            <w:r>
              <w:t xml:space="preserve"> </w:t>
            </w:r>
            <w:r>
              <w:rPr>
                <w:rStyle w:val="VARIABLE"/>
              </w:rPr>
              <w:t xml:space="preserve">schemaid</w:t>
            </w:r>
            <w:r>
              <w:t xml:space="preserve"> parameter, AMQP </w:t>
            </w:r>
            <w:r>
              <w:rPr>
                <w:rStyle w:val="VARIABLE"/>
              </w:rPr>
              <w:t xml:space="preserve">content-type</w:t>
            </w:r>
            <w:r>
              <w:t xml:space="preserve"> </w:t>
            </w:r>
            <w:r>
              <w:rPr>
                <w:rStyle w:val="VARIABLE"/>
              </w:rPr>
              <w:t xml:space="preserve">schemaid</w:t>
            </w:r>
            <w:r>
              <w:t xml:space="preserve"> parameter, or Kafka header </w:t>
            </w:r>
            <w:r>
              <w:rPr>
                <w:rStyle w:val="VARIABLE"/>
              </w:rPr>
              <w:t xml:space="preserve">opcua-avro-schema-id</w:t>
            </w:r>
          </w:p>
        </w:tc>
        <w:tc>
          <w:tcPr>
            <w:tcW w:w="2976" w:type="dxa"/>
            <w:tcBorders>
              <w:top w:val="single" w:sz="4" w:space="0" w:color="auto"/>
              <w:left w:val="single" w:sz="4" w:space="0" w:color="auto"/>
              <w:bottom w:val="single" w:sz="4" w:space="0" w:color="auto"/>
              <w:right w:val="single" w:sz="4" w:space="0" w:color="auto"/>
            </w:tcBorders>
          </w:tcPr>
          <w:p w14:paraId="744B5438">
            <w:pPr>
              <w:pStyle w:val="TableText"/>
            </w:pPr>
            <w:r>
              <w:t xml:space="preserve">Used by a transport profile or deployment convention to make the SchemaId available before payload decoding; the binary payload still uses the canonical Avro schema identified by the same SchemaId.</w:t>
            </w:r>
          </w:p>
        </w:tc>
      </w:tr>
    </w:tbl>
    <w:p w14:paraId="3BA1F2B6">
      <w:pPr>
        <w:pStyle w:val="spacer"/>
      </w:pPr>
    </w:p>
    <w:p w14:paraId="6ED6557C">
      <w:pPr>
        <w:pStyle w:val="Heading4"/>
      </w:pPr>
      <w:bookmarkStart w:id="515" w:name="_Clause_c6_8_4_3"/>
      <w:r>
        <w:t xml:space="preserve">Schema announcement message</w:t>
      </w:r>
      <w:bookmarkEnd w:id="515"/>
    </w:p>
    <w:p w14:paraId="5263E5BB">
      <w:pPr>
        <w:pStyle w:val="PARAGRAPH"/>
      </w:pPr>
      <w:r>
        <w:t xml:space="preserve">A schema announcement frame shall contain the SchemaId bytes and the canonical Avro schema JSON, where the schema JSON is the self-contained Avro Parsing Canonical Form or a self-contained schema document that has exactly that Parsing Canonical Form. The announcement shall define every named type needed to parse the payload without external named-schema state. An encoder shall send the announcement once per SchemaId and destination, at stream start, on first use, after a schema change, or in response to a decoder request. The announcement is lightweight and independent of data frames.</w:t>
      </w:r>
    </w:p>
    <w:p w14:paraId="4F1FCCCD">
      <w:pPr>
        <w:pStyle w:val="PARAGRAPH"/>
      </w:pPr>
      <w:r>
        <w:t xml:space="preserve">The published schema announcement schema is </w:t>
      </w:r>
      <w:r>
        <w:rPr>
          <w:rStyle w:val="VARIABLE"/>
        </w:rPr>
        <w:t xml:space="preserve">../extras/avro-encoding/schemas/AvroSchemaAnnouncement.avsc</w:t>
      </w:r>
      <w:r>
        <w:t xml:space="preserve">:</w:t>
      </w:r>
    </w:p>
    <w:p w14:paraId="676867F8">
      <w:pPr>
        <w:pStyle w:val="CODE"/>
      </w:pPr>
      <w:r>
        <w:t xml:space="preserve">{</w:t>
      </w:r>
    </w:p>
    <w:p w14:paraId="028D7354">
      <w:pPr>
        <w:pStyle w:val="CODE"/>
      </w:pPr>
      <w:r>
        <w:t xml:space="preserve">  "fields": [</w:t>
      </w:r>
    </w:p>
    <w:p w14:paraId="44877AAC">
      <w:pPr>
        <w:pStyle w:val="CODE"/>
      </w:pPr>
      <w:r>
        <w:t xml:space="preserve">    {</w:t>
      </w:r>
    </w:p>
    <w:p w14:paraId="2AF3BCF9">
      <w:pPr>
        <w:pStyle w:val="CODE"/>
      </w:pPr>
      <w:r>
        <w:t xml:space="preserve">      "name": "SchemaId",</w:t>
      </w:r>
    </w:p>
    <w:p w14:paraId="49F186D3">
      <w:pPr>
        <w:pStyle w:val="CODE"/>
      </w:pPr>
      <w:r>
        <w:t xml:space="preserve">      "type": "bytes"</w:t>
      </w:r>
    </w:p>
    <w:p w14:paraId="6A7E8A24">
      <w:pPr>
        <w:pStyle w:val="CODE"/>
      </w:pPr>
      <w:r>
        <w:t xml:space="preserve">    },</w:t>
      </w:r>
    </w:p>
    <w:p w14:paraId="6AE7A3E7">
      <w:pPr>
        <w:pStyle w:val="CODE"/>
      </w:pPr>
      <w:r>
        <w:t xml:space="preserve">    {</w:t>
      </w:r>
    </w:p>
    <w:p w14:paraId="617B8720">
      <w:pPr>
        <w:pStyle w:val="CODE"/>
      </w:pPr>
      <w:r>
        <w:t xml:space="preserve">      "name": "SchemaJson",</w:t>
      </w:r>
    </w:p>
    <w:p w14:paraId="71F2CE53">
      <w:pPr>
        <w:pStyle w:val="CODE"/>
      </w:pPr>
      <w:r>
        <w:t xml:space="preserve">      "type": "string"</w:t>
      </w:r>
    </w:p>
    <w:p w14:paraId="7B7812CC">
      <w:pPr>
        <w:pStyle w:val="CODE"/>
      </w:pPr>
      <w:r>
        <w:t xml:space="preserve">    },</w:t>
      </w:r>
    </w:p>
    <w:p w14:paraId="34ED573E">
      <w:pPr>
        <w:pStyle w:val="CODE"/>
      </w:pPr>
      <w:r>
        <w:t xml:space="preserve">    {</w:t>
      </w:r>
    </w:p>
    <w:p w14:paraId="5505C058">
      <w:pPr>
        <w:pStyle w:val="CODE"/>
      </w:pPr>
      <w:r>
        <w:t xml:space="preserve">      "name": "SchemaEpoch",</w:t>
      </w:r>
    </w:p>
    <w:p w14:paraId="04541B6D">
      <w:pPr>
        <w:pStyle w:val="CODE"/>
      </w:pPr>
      <w:r>
        <w:t xml:space="preserve">      "type": [</w:t>
      </w:r>
    </w:p>
    <w:p w14:paraId="61D29BAA">
      <w:pPr>
        <w:pStyle w:val="CODE"/>
      </w:pPr>
      <w:r>
        <w:t xml:space="preserve">        "null",</w:t>
      </w:r>
    </w:p>
    <w:p w14:paraId="14AB7F9F">
      <w:pPr>
        <w:pStyle w:val="CODE"/>
      </w:pPr>
      <w:r>
        <w:t xml:space="preserve">        "long"</w:t>
      </w:r>
    </w:p>
    <w:p w14:paraId="0CBDA0EE">
      <w:pPr>
        <w:pStyle w:val="CODE"/>
      </w:pPr>
      <w:r>
        <w:t xml:space="preserve">      ]</w:t>
      </w:r>
    </w:p>
    <w:p w14:paraId="63C03177">
      <w:pPr>
        <w:pStyle w:val="CODE"/>
      </w:pPr>
      <w:r>
        <w:t xml:space="preserve">    }</w:t>
      </w:r>
    </w:p>
    <w:p w14:paraId="68AADEDC">
      <w:pPr>
        <w:pStyle w:val="CODE"/>
      </w:pPr>
      <w:r>
        <w:t xml:space="preserve">  ],</w:t>
      </w:r>
    </w:p>
    <w:p w14:paraId="65B9F4E3">
      <w:pPr>
        <w:pStyle w:val="CODE"/>
      </w:pPr>
      <w:r>
        <w:t xml:space="preserve">  "name": "AvroSchemaAnnouncement",</w:t>
      </w:r>
    </w:p>
    <w:p w14:paraId="2C7065FD">
      <w:pPr>
        <w:pStyle w:val="CODE"/>
      </w:pPr>
      <w:r>
        <w:t xml:space="preserve">  "namespace": "org.opcfoundation.ua.avro",</w:t>
      </w:r>
    </w:p>
    <w:p w14:paraId="74C16425">
      <w:pPr>
        <w:pStyle w:val="CODE"/>
      </w:pPr>
      <w:r>
        <w:t xml:space="preserve">  "type": "record"</w:t>
      </w:r>
    </w:p>
    <w:p w14:paraId="0DEA15CB">
      <w:pPr>
        <w:pStyle w:val="CODE"/>
      </w:pPr>
      <w:r>
        <w:t xml:space="preserve">}</w:t>
      </w:r>
    </w:p>
    <w:p w14:paraId="50E066DA">
      <w:pPr>
        <w:pStyle w:val="PARAGRAPH"/>
      </w:pPr>
      <w:r>
        <w:rPr>
          <w:rStyle w:val="VARIABLE"/>
        </w:rPr>
        <w:t xml:space="preserve">AvroSchemaAnnouncement</w:t>
      </w:r>
      <w:r>
        <w:t xml:space="preserve"> rides as a Discovery announcement using the Discovery publisher-to-subscriber announcement path defined in </w:t>
      </w:r>
      <w:r>
        <w:fldChar w:fldCharType="begin"/>
      </w:r>
      <w:r>
        <w:instrText xml:space="preserve"> REF _Clause_c6_8_3_2 \r \h </w:instrText>
      </w:r>
      <w:r>
        <w:fldChar w:fldCharType="separate"/>
      </w:r>
      <w:r>
        <w:rPr>
          <w:noProof/>
        </w:rPr>
        <w:t xml:space="preserve">6.8.3.2</w:t>
      </w:r>
      <w:r>
        <w:fldChar w:fldCharType="end"/>
      </w:r>
      <w:r>
        <w:t xml:space="preserve">. For MQTT, it shall be published on the configured Discovery announcement topic for the Publisher or WriterGroup with MQTT 5 </w:t>
      </w:r>
      <w:r>
        <w:rPr>
          <w:rStyle w:val="VARIABLE"/>
        </w:rPr>
        <w:t xml:space="preserve">ContentType</w:t>
      </w:r>
      <w:r>
        <w:t xml:space="preserve"> set to </w:t>
      </w:r>
      <w:r>
        <w:rPr>
          <w:rStyle w:val="VARIABLE"/>
        </w:rPr>
        <w:t xml:space="preserve">application/vnd.apache.avro; opcua=pubsub; encoding=binary; message=schema-announcement</w:t>
      </w:r>
      <w:r>
        <w:t xml:space="preserve">; MQTT 3.1.1 deployments should document the same content type in topic metadata. For AMQP and Kafka, the same content type string shall be carried as described in </w:t>
      </w:r>
      <w:r>
        <w:fldChar w:fldCharType="begin"/>
      </w:r>
      <w:r>
        <w:instrText xml:space="preserve"> REF _Clause_c6_8_6 \r \h </w:instrText>
      </w:r>
      <w:r>
        <w:fldChar w:fldCharType="separate"/>
      </w:r>
      <w:r>
        <w:rPr>
          <w:noProof/>
        </w:rPr>
        <w:t xml:space="preserve">6.8.6</w:t>
      </w:r>
      <w:r>
        <w:fldChar w:fldCharType="end"/>
      </w:r>
      <w:r>
        <w:t xml:space="preserve">. Reception of an </w:t>
      </w:r>
      <w:r>
        <w:rPr>
          <w:rStyle w:val="VARIABLE"/>
        </w:rPr>
        <w:t xml:space="preserve">AvroSchemaAnnouncement</w:t>
      </w:r>
      <w:r>
        <w:t xml:space="preserve"> whose SchemaId matches the CRC-64-AVRO fingerprint of </w:t>
      </w:r>
      <w:r>
        <w:rPr>
          <w:rStyle w:val="VARIABLE"/>
        </w:rPr>
        <w:t xml:space="preserve">SchemaJson</w:t>
      </w:r>
      <w:r>
        <w:t xml:space="preserve"> shall insert the parsed schema into the decoder cache keyed by SchemaId; a receiver shall reject the announcement if the recomputed SchemaId differs.</w:t>
      </w:r>
    </w:p>
    <w:p w14:paraId="592ED821">
      <w:pPr>
        <w:pStyle w:val="Heading4"/>
      </w:pPr>
      <w:bookmarkStart w:id="516" w:name="_Clause_c6_8_4_4"/>
      <w:r>
        <w:t xml:space="preserve">Schema request message</w:t>
      </w:r>
      <w:bookmarkEnd w:id="516"/>
    </w:p>
    <w:p w14:paraId="0E7A671F">
      <w:pPr>
        <w:pStyle w:val="PARAGRAPH"/>
      </w:pPr>
      <w:r>
        <w:t xml:space="preserve">A decoder that joins late or encounters a cache miss may publish a schema request that names one or more SchemaIds. A Publisher that receives the request shall answer with one </w:t>
      </w:r>
      <w:r>
        <w:rPr>
          <w:rStyle w:val="VARIABLE"/>
        </w:rPr>
        <w:t xml:space="preserve">AvroSchemaAnnouncement</w:t>
      </w:r>
      <w:r>
        <w:t xml:space="preserve"> for each requested SchemaId that it knows; unknown SchemaIds may be ignored or reported by deployment-specific diagnostics, but shall not cause the Publisher to answer with a different schema.</w:t>
      </w:r>
    </w:p>
    <w:p w14:paraId="1EF4BBE0">
      <w:pPr>
        <w:pStyle w:val="PARAGRAPH"/>
      </w:pPr>
      <w:r>
        <w:t xml:space="preserve">The published schema request schema is </w:t>
      </w:r>
      <w:r>
        <w:rPr>
          <w:rStyle w:val="VARIABLE"/>
        </w:rPr>
        <w:t xml:space="preserve">../extras/avro-encoding/schemas/AvroSchemaRequest.avsc</w:t>
      </w:r>
      <w:r>
        <w:t xml:space="preserve">:</w:t>
      </w:r>
    </w:p>
    <w:p w14:paraId="5209C22E">
      <w:pPr>
        <w:pStyle w:val="CODE"/>
      </w:pPr>
      <w:r>
        <w:t xml:space="preserve">{</w:t>
      </w:r>
    </w:p>
    <w:p w14:paraId="438BB74A">
      <w:pPr>
        <w:pStyle w:val="CODE"/>
      </w:pPr>
      <w:r>
        <w:t xml:space="preserve">  "fields": [</w:t>
      </w:r>
    </w:p>
    <w:p w14:paraId="6516EA75">
      <w:pPr>
        <w:pStyle w:val="CODE"/>
      </w:pPr>
      <w:r>
        <w:t xml:space="preserve">    {</w:t>
      </w:r>
    </w:p>
    <w:p w14:paraId="4E77702E">
      <w:pPr>
        <w:pStyle w:val="CODE"/>
      </w:pPr>
      <w:r>
        <w:t xml:space="preserve">      "name": "RequesterId",</w:t>
      </w:r>
    </w:p>
    <w:p w14:paraId="39461FEF">
      <w:pPr>
        <w:pStyle w:val="CODE"/>
      </w:pPr>
      <w:r>
        <w:t xml:space="preserve">      "type": [</w:t>
      </w:r>
    </w:p>
    <w:p w14:paraId="74060561">
      <w:pPr>
        <w:pStyle w:val="CODE"/>
      </w:pPr>
      <w:r>
        <w:t xml:space="preserve">        "null",</w:t>
      </w:r>
    </w:p>
    <w:p w14:paraId="46191510">
      <w:pPr>
        <w:pStyle w:val="CODE"/>
      </w:pPr>
      <w:r>
        <w:t xml:space="preserve">        "string"</w:t>
      </w:r>
    </w:p>
    <w:p w14:paraId="4C62A304">
      <w:pPr>
        <w:pStyle w:val="CODE"/>
      </w:pPr>
      <w:r>
        <w:t xml:space="preserve">      ]</w:t>
      </w:r>
    </w:p>
    <w:p w14:paraId="55EB0258">
      <w:pPr>
        <w:pStyle w:val="CODE"/>
      </w:pPr>
      <w:r>
        <w:t xml:space="preserve">    },</w:t>
      </w:r>
    </w:p>
    <w:p w14:paraId="6B651A22">
      <w:pPr>
        <w:pStyle w:val="CODE"/>
      </w:pPr>
      <w:r>
        <w:t xml:space="preserve">    {</w:t>
      </w:r>
    </w:p>
    <w:p w14:paraId="02789B0C">
      <w:pPr>
        <w:pStyle w:val="CODE"/>
      </w:pPr>
      <w:r>
        <w:t xml:space="preserve">      "name": "SchemaIds",</w:t>
      </w:r>
    </w:p>
    <w:p w14:paraId="20643A77">
      <w:pPr>
        <w:pStyle w:val="CODE"/>
      </w:pPr>
      <w:r>
        <w:t xml:space="preserve">      "type": {</w:t>
      </w:r>
    </w:p>
    <w:p w14:paraId="2618BCC8">
      <w:pPr>
        <w:pStyle w:val="CODE"/>
      </w:pPr>
      <w:r>
        <w:t xml:space="preserve">        "items": "bytes",</w:t>
      </w:r>
    </w:p>
    <w:p w14:paraId="626B72AE">
      <w:pPr>
        <w:pStyle w:val="CODE"/>
      </w:pPr>
      <w:r>
        <w:t xml:space="preserve">        "type": "array"</w:t>
      </w:r>
    </w:p>
    <w:p w14:paraId="7B276168">
      <w:pPr>
        <w:pStyle w:val="CODE"/>
      </w:pPr>
      <w:r>
        <w:t xml:space="preserve">      }</w:t>
      </w:r>
    </w:p>
    <w:p w14:paraId="08696E4E">
      <w:pPr>
        <w:pStyle w:val="CODE"/>
      </w:pPr>
      <w:r>
        <w:t xml:space="preserve">    }</w:t>
      </w:r>
    </w:p>
    <w:p w14:paraId="242208D7">
      <w:pPr>
        <w:pStyle w:val="CODE"/>
      </w:pPr>
      <w:r>
        <w:t xml:space="preserve">  ],</w:t>
      </w:r>
    </w:p>
    <w:p w14:paraId="4305974A">
      <w:pPr>
        <w:pStyle w:val="CODE"/>
      </w:pPr>
      <w:r>
        <w:t xml:space="preserve">  "name": "AvroSchemaRequest",</w:t>
      </w:r>
    </w:p>
    <w:p w14:paraId="2D61EF5A">
      <w:pPr>
        <w:pStyle w:val="CODE"/>
      </w:pPr>
      <w:r>
        <w:t xml:space="preserve">  "namespace": "org.opcfoundation.ua.avro",</w:t>
      </w:r>
    </w:p>
    <w:p w14:paraId="0211A8FF">
      <w:pPr>
        <w:pStyle w:val="CODE"/>
      </w:pPr>
      <w:r>
        <w:t xml:space="preserve">  "type": "record"</w:t>
      </w:r>
    </w:p>
    <w:p w14:paraId="75497C5A">
      <w:pPr>
        <w:pStyle w:val="CODE"/>
      </w:pPr>
      <w:r>
        <w:t xml:space="preserve">}</w:t>
      </w:r>
    </w:p>
    <w:p w14:paraId="23CBADC0">
      <w:pPr>
        <w:pStyle w:val="PARAGRAPH"/>
      </w:pPr>
      <w:r>
        <w:rPr>
          <w:rStyle w:val="VARIABLE"/>
        </w:rPr>
        <w:t xml:space="preserve">AvroSchemaRequest</w:t>
      </w:r>
      <w:r>
        <w:t xml:space="preserve"> rides on the configured Discovery request channel for the PubSub transport, using MQTT 5 </w:t>
      </w:r>
      <w:r>
        <w:rPr>
          <w:rStyle w:val="VARIABLE"/>
        </w:rPr>
        <w:t xml:space="preserve">ContentType</w:t>
      </w:r>
      <w:r>
        <w:t xml:space="preserve"> </w:t>
      </w:r>
      <w:r>
        <w:rPr>
          <w:rStyle w:val="VARIABLE"/>
        </w:rPr>
        <w:t xml:space="preserve">application/vnd.apache.avro; opcua=pubsub; encoding=binary; message=schema-request</w:t>
      </w:r>
      <w:r>
        <w:t xml:space="preserve"> or the equivalent AMQP/Kafka content-type metadata described in </w:t>
      </w:r>
      <w:r>
        <w:fldChar w:fldCharType="begin"/>
      </w:r>
      <w:r>
        <w:instrText xml:space="preserve"> REF _Clause_c6_8_6 \r \h </w:instrText>
      </w:r>
      <w:r>
        <w:fldChar w:fldCharType="separate"/>
      </w:r>
      <w:r>
        <w:rPr>
          <w:noProof/>
        </w:rPr>
        <w:t xml:space="preserve">6.8.6</w:t>
      </w:r>
      <w:r>
        <w:fldChar w:fldCharType="end"/>
      </w:r>
      <w:r>
        <w:t xml:space="preserve">. </w:t>
      </w:r>
      <w:r>
        <w:rPr>
          <w:rStyle w:val="VARIABLE"/>
        </w:rPr>
        <w:t xml:space="preserve">RequesterId</w:t>
      </w:r>
      <w:r>
        <w:t xml:space="preserve"> may identify the Subscriber, session, client application, or be null when no stable identity is available. </w:t>
      </w:r>
      <w:r>
        <w:rPr>
          <w:rStyle w:val="VARIABLE"/>
        </w:rPr>
        <w:t xml:space="preserve">SchemaIds</w:t>
      </w:r>
      <w:r>
        <w:t xml:space="preserve"> shall contain the raw 8-byte SchemaId values, not hexadecimal strings.</w:t>
      </w:r>
    </w:p>
    <w:p w14:paraId="3EE66060">
      <w:pPr>
        <w:pStyle w:val="Heading4"/>
      </w:pPr>
      <w:bookmarkStart w:id="517" w:name="_Clause_c6_8_4_5"/>
      <w:r>
        <w:t xml:space="preserve">Encoder change tracking</w:t>
      </w:r>
      <w:bookmarkEnd w:id="517"/>
    </w:p>
    <w:p w14:paraId="4565154D">
      <w:pPr>
        <w:pStyle w:val="PARAGRAPH"/>
      </w:pPr>
      <w:r>
        <w:t xml:space="preserve">An encoder shall maintain </w:t>
      </w:r>
      <w:r>
        <w:rPr>
          <w:rStyle w:val="VARIABLE"/>
        </w:rPr>
        <w:t xml:space="preserve">announced: set[SchemaId]</w:t>
      </w:r>
      <w:r>
        <w:t xml:space="preserve"> per destination. Before sending each value or message, it shall recompute the SchemaId from the generated self-contained Avro schema. If the SchemaId is not in the destination's announced set, the encoder shall </w:t>
      </w:r>
      <w:r>
        <w:rPr>
          <w:b/>
        </w:rPr>
        <w:t xml:space="preserve">publish the schema — register it in the Schema Registry (</w:t>
      </w:r>
      <w:r>
        <w:rPr>
          <w:b/>
          <w:i/>
        </w:rPr>
        <w:t xml:space="preserve">OPC UA — Schema Registry</w:t>
      </w:r>
      <w:r>
        <w:rPr>
          <w:b/>
        </w:rPr>
        <w:t xml:space="preserve"> </w:t>
      </w:r>
      <w:r>
        <w:rPr>
          <w:b/>
        </w:rPr>
        <w:t xml:space="preserve">§5.2</w:t>
      </w:r>
      <w:r>
        <w:rPr>
          <w:b/>
        </w:rPr>
        <w:t xml:space="preserve">) and emit the schema announcement</w:t>
      </w:r>
      <w:r>
        <w:t xml:space="preserve"> — before the first value using that SchemaId, and then add it to the set. A changed DataType, referenced DataType, DataSet field list, field order, optional-field shape, Variant body type or RawData schema produces a different SchemaId and therefore automatically triggers a new publish and announcement. An optional monotonic </w:t>
      </w:r>
      <w:r>
        <w:rPr>
          <w:rStyle w:val="VARIABLE"/>
        </w:rPr>
        <w:t xml:space="preserve">SchemaEpoch</w:t>
      </w:r>
      <w:r>
        <w:t xml:space="preserve"> may be sent for operator correlation, but receivers shall not use it as the decoding key.</w:t>
      </w:r>
    </w:p>
    <w:p w14:paraId="7031FD41">
      <w:pPr>
        <w:pStyle w:val="Heading4"/>
      </w:pPr>
      <w:bookmarkStart w:id="518" w:name="_Clause_c6_8_4_6"/>
      <w:r>
        <w:t xml:space="preserve">Decoder behavior</w:t>
      </w:r>
      <w:bookmarkEnd w:id="518"/>
    </w:p>
    <w:p w14:paraId="2BC8CF50">
      <w:pPr>
        <w:pStyle w:val="PARAGRAPH"/>
      </w:pPr>
      <w:r>
        <w:t xml:space="preserve">A decoder shall maintain </w:t>
      </w:r>
      <w:r>
        <w:rPr>
          <w:rStyle w:val="VARIABLE"/>
        </w:rPr>
        <w:t xml:space="preserve">cache: SchemaId -&gt; parsed Avro schema</w:t>
      </w:r>
      <w:r>
        <w:t xml:space="preserve">. When a value or message references an unknown SchemaId, the decoder shall resolve the cache miss in this order until a schema is obtained and verified:</w:t>
      </w:r>
    </w:p>
    <w:p w14:paraId="5A857AB2">
      <w:pPr>
        <w:pStyle w:val="ListNumber"/>
        <w:numPr>
          <w:ilvl w:val="0"/>
          <w:numId w:val="21"/>
        </w:numPr>
      </w:pPr>
      <w:r>
        <w:t xml:space="preserve">Await an </w:t>
      </w:r>
      <w:r>
        <w:rPr>
          <w:rStyle w:val="VARIABLE"/>
        </w:rPr>
        <w:t xml:space="preserve">AvroSchemaAnnouncement</w:t>
      </w:r>
      <w:r>
        <w:t xml:space="preserve"> on the relevant Discovery announcement channel.</w:t>
      </w:r>
    </w:p>
    <w:p w14:paraId="594EF3A0">
      <w:pPr>
        <w:pStyle w:val="ListNumber"/>
        <w:numPr>
          <w:ilvl w:val="0"/>
          <w:numId w:val="21"/>
        </w:numPr>
      </w:pPr>
      <w:r>
        <w:t xml:space="preserve">Send an </w:t>
      </w:r>
      <w:r>
        <w:rPr>
          <w:rStyle w:val="VARIABLE"/>
        </w:rPr>
        <w:t xml:space="preserve">AvroSchemaRequest</w:t>
      </w:r>
      <w:r>
        <w:t xml:space="preserve"> on the relevant Discovery request channel containing the unknown SchemaId and await one </w:t>
      </w:r>
      <w:r>
        <w:rPr>
          <w:rStyle w:val="VARIABLE"/>
        </w:rPr>
        <w:t xml:space="preserve">AvroSchemaAnnouncement</w:t>
      </w:r>
      <w:r>
        <w:t xml:space="preserve"> per known requested SchemaId.</w:t>
      </w:r>
    </w:p>
    <w:p w14:paraId="20AA2D4A">
      <w:pPr>
        <w:pStyle w:val="ListNumber"/>
        <w:numPr>
          <w:ilvl w:val="0"/>
          <w:numId w:val="21"/>
        </w:numPr>
      </w:pPr>
      <w:r>
        <w:t xml:space="preserve">Resolve the schema from an external (federated) xRegistry that the local registry references, per </w:t>
      </w:r>
      <w:r>
        <w:rPr>
          <w:i/>
        </w:rPr>
        <w:t xml:space="preserve">OPC UA — Schema Registry</w:t>
      </w:r>
      <w:r>
        <w:t xml:space="preserve"> (</w:t>
      </w:r>
      <w:r>
        <w:rPr>
          <w:rStyle w:val="VARIABLE"/>
        </w:rPr>
        <w:t xml:space="preserve">cloud-specs/schema-registry/OPC-UA-Schema-Registry.md</w:t>
      </w:r>
      <w:r>
        <w:t xml:space="preserve">) </w:t>
      </w:r>
      <w:r>
        <w:t xml:space="preserve">§8</w:t>
      </w:r>
      <w:r>
        <w:t xml:space="preserve">.</w:t>
      </w:r>
    </w:p>
    <w:p w14:paraId="641634CC">
      <w:pPr>
        <w:pStyle w:val="ListNumber"/>
        <w:numPr>
          <w:ilvl w:val="0"/>
          <w:numId w:val="21"/>
        </w:numPr>
      </w:pPr>
      <w:r>
        <w:t xml:space="preserve">Read the in-server AddressSpace Schema Registry by a SchemaId-NodeId. A companion NodeSet in </w:t>
      </w:r>
      <w:r>
        <w:rPr>
          <w:rStyle w:val="VARIABLE"/>
        </w:rPr>
        <w:t xml:space="preserve">cloud-specs/schema-registry/</w:t>
      </w:r>
      <w:r>
        <w:t xml:space="preserve">, namespace </w:t>
      </w:r>
      <w:r>
        <w:rPr>
          <w:rStyle w:val="VARIABLE"/>
        </w:rPr>
        <w:t xml:space="preserve">http://opcfoundation.org/UA/SchemaRegistry/</w:t>
      </w:r>
      <w:r>
        <w:t xml:space="preserve">, exposes each schema at an Opaque NodeId whose Identifier is the raw SchemaId bytes, so a single Read returns the schema with no browse or recomputation. The same registry also exposes a </w:t>
      </w:r>
      <w:r>
        <w:rPr>
          <w:rStyle w:val="VARIABLE"/>
        </w:rPr>
        <w:t xml:space="preserve">GetSchema(SchemaId)</w:t>
      </w:r>
      <w:r>
        <w:t xml:space="preserve"> Method for clients that prefer a Method call.</w:t>
      </w:r>
    </w:p>
    <w:p w14:paraId="25A59E44">
      <w:pPr>
        <w:pStyle w:val="ListNumber"/>
        <w:numPr>
          <w:ilvl w:val="0"/>
          <w:numId w:val="21"/>
        </w:numPr>
      </w:pPr>
      <w:r>
        <w:t xml:space="preserve">Re-derive the schema from the AddressSpace DataType and verify that the recomputed SchemaId is equal to the referenced SchemaId.</w:t>
      </w:r>
    </w:p>
    <w:p w14:paraId="2A09681F">
      <w:pPr>
        <w:pStyle w:val="PARAGRAPH"/>
      </w:pPr>
      <w:r>
        <w:t xml:space="preserve">The decoder cache shall be keyed by SchemaId. SchemaId is content-derived and independent of PubSub ConfigurationVersion, writer group version numbers, sequence numbers and transport session state. Encoders should periodically re-announce active schemas on lossy transports or when late joiners are expected.</w:t>
      </w:r>
    </w:p>
    <w:p w14:paraId="4E457DD0">
      <w:pPr>
        <w:pStyle w:val="Heading4"/>
      </w:pPr>
      <w:bookmarkStart w:id="519" w:name="_Clause_c6_8_4_7"/>
      <w:r>
        <w:t xml:space="preserve">Sequence diagrams</w:t>
      </w:r>
      <w:bookmarkEnd w:id="519"/>
    </w:p>
    <w:p w14:paraId="54973052">
      <w:pPr>
        <w:pStyle w:val="PARAGRAPH"/>
      </w:pPr>
      <w:r>
        <w:t xml:space="preserve">The announce-then-data happy path is:</w:t>
      </w:r>
    </w:p>
    <w:p w14:paraId="3F98DCD1">
      <w:pPr>
        <w:pStyle w:val="FIGURE"/>
      </w:pPr>
      <w:r>
        <w:object w:dxaOrig="6990" w:dyaOrig="4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9.50pt;height:222.00pt" o:ole="">
            <v:imagedata r:id="rId130" o:title=""/>
          </v:shape>
          <o:OLEObject Type="Embed" ProgID="PowerPoint.Show.12" ShapeID="_x0000_i1025" DrawAspect="Content" ObjectID="_1900000001" r:id="rId131"/>
        </w:object>
      </w:r>
    </w:p>
    <w:p w14:paraId="65448A27">
      <w:pPr>
        <w:pStyle w:val="FIGURE-title"/>
      </w:pPr>
      <w:bookmarkStart w:id="520" w:name="_Fig_fig_avro_1"/>
      <w:r>
        <w:t xml:space="preserve">Figure </w:t>
      </w:r>
      <w:r>
        <w:fldChar w:fldCharType="begin"/>
      </w:r>
      <w:r>
        <w:instrText xml:space="preserve"> SEQ Figure \* ARABIC </w:instrText>
      </w:r>
      <w:r>
        <w:fldChar w:fldCharType="separate"/>
      </w:r>
      <w:r>
        <w:rPr>
          <w:noProof/>
        </w:rPr>
        <w:t xml:space="preserve">1</w:t>
      </w:r>
      <w:r>
        <w:fldChar w:fldCharType="end"/>
      </w:r>
      <w:r>
        <w:t xml:space="preserve"> – Where the Avro encoding fits</w:t>
      </w:r>
      <w:bookmarkEnd w:id="520"/>
    </w:p>
    <w:p w14:paraId="3283A371">
      <w:pPr>
        <w:pStyle w:val="PARAGRAPH"/>
      </w:pPr>
      <w:r>
        <w:t xml:space="preserve">The late-joiner cache-miss path is:</w:t>
      </w:r>
    </w:p>
    <w:p w14:paraId="35B26E0F">
      <w:pPr>
        <w:pStyle w:val="FIGURE"/>
      </w:pPr>
      <w:r>
        <w:object w:dxaOrig="6990" w:dyaOrig="5640">
          <v:shape id="_x0000_i1026" type="#_x0000_t75" style="width:349.50pt;height:282.00pt" o:ole="">
            <v:imagedata r:id="rId132" o:title=""/>
          </v:shape>
          <o:OLEObject Type="Embed" ProgID="PowerPoint.Show.12" ShapeID="_x0000_i1026" DrawAspect="Content" ObjectID="_1900000002" r:id="rId133"/>
        </w:object>
      </w:r>
    </w:p>
    <w:p w14:paraId="1729943B">
      <w:pPr>
        <w:pStyle w:val="FIGURE-title"/>
      </w:pPr>
      <w:bookmarkStart w:id="521" w:name="_Fig_fig_avro_2"/>
      <w:r>
        <w:t xml:space="preserve">Figure </w:t>
      </w:r>
      <w:r>
        <w:fldChar w:fldCharType="begin"/>
      </w:r>
      <w:r>
        <w:instrText xml:space="preserve"> SEQ Figure \* ARABIC </w:instrText>
      </w:r>
      <w:r>
        <w:fldChar w:fldCharType="separate"/>
      </w:r>
      <w:r>
        <w:rPr>
          <w:noProof/>
        </w:rPr>
        <w:t xml:space="preserve">2</w:t>
      </w:r>
      <w:r>
        <w:fldChar w:fldCharType="end"/>
      </w:r>
      <w:r>
        <w:t xml:space="preserve"> – Deterministic schema generation</w:t>
      </w:r>
      <w:bookmarkEnd w:id="521"/>
    </w:p>
    <w:p w14:paraId="51D06747">
      <w:pPr>
        <w:pStyle w:val="PARAGRAPH"/>
      </w:pPr>
      <w:r>
        <w:t xml:space="preserve">The schema-change path is:</w:t>
      </w:r>
    </w:p>
    <w:p w14:paraId="5C203FE3">
      <w:pPr>
        <w:pStyle w:val="FIGURE"/>
      </w:pPr>
      <w:r>
        <w:object w:dxaOrig="6990" w:dyaOrig="5040">
          <v:shape id="_x0000_i1027" type="#_x0000_t75" style="width:349.50pt;height:252.00pt" o:ole="">
            <v:imagedata r:id="rId134" o:title=""/>
          </v:shape>
          <o:OLEObject Type="Embed" ProgID="PowerPoint.Show.12" ShapeID="_x0000_i1027" DrawAspect="Content" ObjectID="_1900000003" r:id="rId135"/>
        </w:object>
      </w:r>
    </w:p>
    <w:p w14:paraId="6527ABD2">
      <w:pPr>
        <w:pStyle w:val="FIGURE-title"/>
      </w:pPr>
      <w:bookmarkStart w:id="522" w:name="_Fig_fig_avro_3"/>
      <w:r>
        <w:t xml:space="preserve">Figure </w:t>
      </w:r>
      <w:r>
        <w:fldChar w:fldCharType="begin"/>
      </w:r>
      <w:r>
        <w:instrText xml:space="preserve"> SEQ Figure \* ARABIC </w:instrText>
      </w:r>
      <w:r>
        <w:fldChar w:fldCharType="separate"/>
      </w:r>
      <w:r>
        <w:rPr>
          <w:noProof/>
        </w:rPr>
        <w:t xml:space="preserve">3</w:t>
      </w:r>
      <w:r>
        <w:fldChar w:fldCharType="end"/>
      </w:r>
      <w:r>
        <w:t xml:space="preserve"> – Decoder schema resolution</w:t>
      </w:r>
      <w:bookmarkEnd w:id="522"/>
    </w:p>
    <w:p w14:paraId="5E6AAAC7">
      <w:pPr>
        <w:pStyle w:val="Heading4"/>
      </w:pPr>
      <w:bookmarkStart w:id="523" w:name="_Clause_c6_8_4_8"/>
      <w:r>
        <w:t xml:space="preserve">Relationship to ConfigurationVersion</w:t>
      </w:r>
      <w:bookmarkEnd w:id="523"/>
    </w:p>
    <w:p w14:paraId="2DBC1CB5">
      <w:pPr>
        <w:pStyle w:val="PARAGRAPH"/>
      </w:pPr>
      <w:r>
        <w:t xml:space="preserve">SchemaId derives only from the Avro schema. It does not depend on PubSub ConfigurationVersion, writer group version numbers, sequence numbers or transport session state. A ConfigurationVersion change that does not alter the Avro schema keeps the same SchemaId. Conversely, a schema change produces a new SchemaId, and a </w:t>
      </w:r>
      <w:r>
        <w:rPr>
          <w:b/>
        </w:rPr>
        <w:t xml:space="preserve">publisher shall advance the DataSet </w:t>
      </w:r>
      <w:r>
        <w:rPr>
          <w:rStyle w:val="VARIABLE"/>
        </w:rPr>
        <w:t xml:space="preserve">ConfigurationVersion</w:t>
      </w:r>
      <w:r>
        <w:rPr>
          <w:b/>
        </w:rPr>
        <w:t xml:space="preserve"> whenever the produced schema changes — MinorVersion for an append-only growth, MajorVersion for a reset</w:t>
      </w:r>
      <w:r>
        <w:t xml:space="preserve">. Decoders do not rely on ConfigurationVersion for decoding — they shall select the Avro decoder by SchemaId — and may use ConfigurationVersion for the existing PubSub metadata checks; a decoder shall still decode correctly by SchemaId even if a misbehaving publisher fails to advance ConfigurationVersion.</w:t>
      </w:r>
    </w:p>
    <w:p w14:paraId="42E15A42">
      <w:pPr>
        <w:pStyle w:val="PARAGRAPH"/>
      </w:pPr>
      <w:r>
        <w:t xml:space="preserve">Although SchemaId is not computed from ConfigurationVersion, the </w:t>
      </w:r>
      <w:r>
        <w:rPr>
          <w:rStyle w:val="VARIABLE"/>
        </w:rPr>
        <w:t xml:space="preserve">{MajorVersion, MinorVersion}</w:t>
      </w:r>
      <w:r>
        <w:t xml:space="preserve"> lineage carries a compatibility relationship between successive schemas per </w:t>
      </w:r>
      <w:r>
        <w:rPr>
          <w:i/>
        </w:rPr>
        <w:t xml:space="preserve">OPC UA — Schema Registry</w:t>
      </w:r>
      <w:r>
        <w:t xml:space="preserve"> </w:t>
      </w:r>
      <w:r>
        <w:t xml:space="preserve">§5.6</w:t>
      </w:r>
      <w:r>
        <w:t xml:space="preserve">. A MinorVersion increment is an append-only-compatible superset of the same lineage, so a subscriber holding the latest minor of a lineage decodes every message produced under any earlier minor of that lineage — the appended Avro union branches are simply unused for older values. Where data-driven growth is used, a lineage is a single publisher's chain of SchemaIds (</w:t>
      </w:r>
      <w:r>
        <w:fldChar w:fldCharType="begin"/>
      </w:r>
      <w:r>
        <w:instrText xml:space="preserve"> REF _Clause_c6_5_6 \r \h </w:instrText>
      </w:r>
      <w:r>
        <w:fldChar w:fldCharType="separate"/>
      </w:r>
      <w:r>
        <w:rPr>
          <w:noProof/>
        </w:rPr>
        <w:t xml:space="preserve">6.5.6</w:t>
      </w:r>
      <w:r>
        <w:fldChar w:fldCharType="end"/>
      </w:r>
      <w:r>
        <w:t xml:space="preserve">), so a consumer keys on SchemaId rather than on </w:t>
      </w:r>
      <w:r>
        <w:rPr>
          <w:rStyle w:val="VARIABLE"/>
        </w:rPr>
        <w:t xml:space="preserve">major.minor</w:t>
      </w:r>
      <w:r>
        <w:t xml:space="preserve"> alone. A MajorVersion increment is a reset with no such guarantee. A publisher shall advance MinorVersion when it aggregates a new Variant body form or ExtensionObject concrete type into the schema, and register and re-announce the resulting SchemaId. The per-encoding procedure for narrowing and append-only growing these unions is in </w:t>
      </w:r>
      <w:r>
        <w:t xml:space="preserve">§6.4</w:t>
      </w:r>
      <w:r>
        <w:t xml:space="preserve">.</w:t>
      </w:r>
    </w:p>
    <w:p w14:paraId="2B0711EA">
      <w:pPr>
        <w:pStyle w:val="Heading3"/>
      </w:pPr>
      <w:bookmarkStart w:id="524" w:name="_Clause_c6_8_5"/>
      <w:r>
        <w:t xml:space="preserve">Configuration parameters</w:t>
      </w:r>
      <w:bookmarkEnd w:id="524"/>
    </w:p>
    <w:p w14:paraId="7A93F685">
      <w:pPr>
        <w:pStyle w:val="PARAGRAPH"/>
      </w:pPr>
      <w:r>
        <w:t xml:space="preserve">The Avro mapping adds the following configuration parameters to the JSON mapping style configuration model in Part 14. </w:t>
      </w:r>
      <w:r>
        <w:fldChar w:fldCharType="begin"/>
      </w:r>
      <w:r>
        <w:instrText xml:space="preserve"> REF _Clause_c6_9 \r \h </w:instrText>
      </w:r>
      <w:r>
        <w:fldChar w:fldCharType="separate"/>
      </w:r>
      <w:r>
        <w:rPr>
          <w:noProof/>
        </w:rPr>
        <w:t xml:space="preserve">6.9</w:t>
      </w:r>
      <w:r>
        <w:fldChar w:fldCharType="end"/>
      </w:r>
      <w:r>
        <w:t xml:space="preserve"> defines how they are carried as fields of the Part 14 </w:t>
      </w:r>
      <w:r>
        <w:rPr>
          <w:rStyle w:val="VARIABLE"/>
        </w:rPr>
        <w:t xml:space="preserve">MessageSettings</w:t>
      </w:r>
      <w:r>
        <w:t xml:space="preserve"> DataTypes, together with the content masks and the Information Model extension.</w:t>
      </w:r>
    </w:p>
    <w:p w14:paraId="55265D17">
      <w:pPr>
        <w:pStyle w:val="TABLE-title"/>
        <w:keepNext/>
      </w:pPr>
      <w:bookmarkStart w:id="525" w:name="_Tab_configuration_parameters_tab1"/>
      <w:r>
        <w:t xml:space="preserve">Table </w:t>
      </w:r>
      <w:r>
        <w:fldChar w:fldCharType="begin"/>
      </w:r>
      <w:r>
        <w:instrText xml:space="preserve"> SEQ Table \* ARABIC </w:instrText>
      </w:r>
      <w:r>
        <w:fldChar w:fldCharType="separate"/>
      </w:r>
      <w:r>
        <w:rPr>
          <w:noProof/>
        </w:rPr>
        <w:t xml:space="preserve">5</w:t>
      </w:r>
      <w:r>
        <w:fldChar w:fldCharType="end"/>
      </w:r>
      <w:r>
        <w:t xml:space="preserve"> – Configuration parameters</w:t>
      </w:r>
      <w:bookmarkEnd w:id="5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1816A6B5">
            <w:pPr>
              <w:pStyle w:val="TableText"/>
            </w:pPr>
            <w:r>
              <w:t xml:space="preserve">Parameter</w:t>
            </w:r>
          </w:p>
        </w:tc>
        <w:tc>
          <w:tcPr>
            <w:tcW w:w="2975" w:type="dxa"/>
            <w:tcBorders>
              <w:top w:val="single" w:sz="4" w:space="0" w:color="auto"/>
              <w:left w:val="single" w:sz="4" w:space="0" w:color="auto"/>
              <w:bottom w:val="double" w:sz="4" w:space="0" w:color="auto"/>
              <w:right w:val="single" w:sz="4" w:space="0" w:color="auto"/>
            </w:tcBorders>
          </w:tcPr>
          <w:p w14:paraId="530BCE85">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38BF4585">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142C2C4">
            <w:pPr>
              <w:pStyle w:val="TableText"/>
            </w:pPr>
            <w:r>
              <w:rPr>
                <w:rStyle w:val="VARIABLE"/>
              </w:rPr>
              <w:t xml:space="preserve">AvroSchemaId</w:t>
            </w:r>
          </w:p>
        </w:tc>
        <w:tc>
          <w:tcPr>
            <w:tcW w:w="2975" w:type="dxa"/>
            <w:tcBorders>
              <w:top w:val="single" w:sz="4" w:space="0" w:color="auto"/>
              <w:left w:val="single" w:sz="4" w:space="0" w:color="auto"/>
              <w:bottom w:val="single" w:sz="4" w:space="0" w:color="auto"/>
              <w:right w:val="single" w:sz="4" w:space="0" w:color="auto"/>
            </w:tcBorders>
          </w:tcPr>
          <w:p w14:paraId="5F0D0925">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14:paraId="675B97E1">
            <w:pPr>
              <w:pStyle w:val="TableText"/>
            </w:pPr>
            <w:r>
              <w:t xml:space="preserve">Stable identifier of the Avro schema bundle for the WriterGroup or DataSetWriter.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0B5B73D">
            <w:pPr>
              <w:pStyle w:val="TableText"/>
            </w:pPr>
            <w:r>
              <w:rPr>
                <w:rStyle w:val="VARIABLE"/>
              </w:rPr>
              <w:t xml:space="preserve">AvroSchemaUri</w:t>
            </w:r>
          </w:p>
        </w:tc>
        <w:tc>
          <w:tcPr>
            <w:tcW w:w="2975" w:type="dxa"/>
            <w:tcBorders>
              <w:top w:val="single" w:sz="4" w:space="0" w:color="auto"/>
              <w:left w:val="single" w:sz="4" w:space="0" w:color="auto"/>
              <w:bottom w:val="single" w:sz="4" w:space="0" w:color="auto"/>
              <w:right w:val="single" w:sz="4" w:space="0" w:color="auto"/>
            </w:tcBorders>
          </w:tcPr>
          <w:p w14:paraId="27412C64">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14:paraId="090FBF05">
            <w:pPr>
              <w:pStyle w:val="TableText"/>
            </w:pPr>
            <w:r>
              <w:t xml:space="preserve">Optional URI from which the schema bundle can be retrieved.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828B103">
            <w:pPr>
              <w:pStyle w:val="TableText"/>
            </w:pPr>
            <w:r>
              <w:rPr>
                <w:rStyle w:val="VARIABLE"/>
              </w:rPr>
              <w:t xml:space="preserve">AvroUseObjectContainerFile</w:t>
            </w:r>
          </w:p>
        </w:tc>
        <w:tc>
          <w:tcPr>
            <w:tcW w:w="2975" w:type="dxa"/>
            <w:tcBorders>
              <w:top w:val="single" w:sz="4" w:space="0" w:color="auto"/>
              <w:left w:val="single" w:sz="4" w:space="0" w:color="auto"/>
              <w:bottom w:val="single" w:sz="4" w:space="0" w:color="auto"/>
              <w:right w:val="single" w:sz="4" w:space="0" w:color="auto"/>
            </w:tcBorders>
          </w:tcPr>
          <w:p w14:paraId="60E14A69">
            <w:pPr>
              <w:pStyle w:val="TableText"/>
            </w:pPr>
            <w:r>
              <w:t xml:space="preserve">Boolean</w:t>
            </w:r>
          </w:p>
        </w:tc>
        <w:tc>
          <w:tcPr>
            <w:tcW w:w="2976" w:type="dxa"/>
            <w:tcBorders>
              <w:top w:val="single" w:sz="4" w:space="0" w:color="auto"/>
              <w:left w:val="single" w:sz="4" w:space="0" w:color="auto"/>
              <w:bottom w:val="single" w:sz="4" w:space="0" w:color="auto"/>
              <w:right w:val="single" w:sz="4" w:space="0" w:color="auto"/>
            </w:tcBorders>
          </w:tcPr>
          <w:p w14:paraId="3263B1CF">
            <w:pPr>
              <w:pStyle w:val="TableText"/>
            </w:pPr>
            <w:r>
              <w:t xml:space="preserve">False for PubSub network payloads by default; true only for transports that explicitly carry Avro object container files.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3BEAF62">
            <w:pPr>
              <w:pStyle w:val="TableText"/>
            </w:pPr>
            <w:r>
              <w:rPr>
                <w:rStyle w:val="VARIABLE"/>
              </w:rPr>
              <w:t xml:space="preserve">AvroRawDataAllowed</w:t>
            </w:r>
          </w:p>
        </w:tc>
        <w:tc>
          <w:tcPr>
            <w:tcW w:w="2975" w:type="dxa"/>
            <w:tcBorders>
              <w:top w:val="single" w:sz="4" w:space="0" w:color="auto"/>
              <w:left w:val="single" w:sz="4" w:space="0" w:color="auto"/>
              <w:bottom w:val="single" w:sz="4" w:space="0" w:color="auto"/>
              <w:right w:val="single" w:sz="4" w:space="0" w:color="auto"/>
            </w:tcBorders>
          </w:tcPr>
          <w:p w14:paraId="26D792CA">
            <w:pPr>
              <w:pStyle w:val="TableText"/>
            </w:pPr>
            <w:r>
              <w:t xml:space="preserve">Boolean</w:t>
            </w:r>
          </w:p>
        </w:tc>
        <w:tc>
          <w:tcPr>
            <w:tcW w:w="2976" w:type="dxa"/>
            <w:tcBorders>
              <w:top w:val="single" w:sz="4" w:space="0" w:color="auto"/>
              <w:left w:val="single" w:sz="4" w:space="0" w:color="auto"/>
              <w:bottom w:val="single" w:sz="4" w:space="0" w:color="auto"/>
              <w:right w:val="single" w:sz="4" w:space="0" w:color="auto"/>
            </w:tcBorders>
          </w:tcPr>
          <w:p w14:paraId="4488A761">
            <w:pPr>
              <w:pStyle w:val="TableText"/>
            </w:pPr>
            <w:r>
              <w:t xml:space="preserve">Whether RawData fields may be emitted for this writer.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FD28882">
            <w:pPr>
              <w:pStyle w:val="TableText"/>
            </w:pPr>
            <w:r>
              <w:rPr>
                <w:rStyle w:val="VARIABLE"/>
              </w:rPr>
              <w:t xml:space="preserve">AvroSchemaHash</w:t>
            </w:r>
          </w:p>
        </w:tc>
        <w:tc>
          <w:tcPr>
            <w:tcW w:w="2975" w:type="dxa"/>
            <w:tcBorders>
              <w:top w:val="single" w:sz="4" w:space="0" w:color="auto"/>
              <w:left w:val="single" w:sz="4" w:space="0" w:color="auto"/>
              <w:bottom w:val="single" w:sz="4" w:space="0" w:color="auto"/>
              <w:right w:val="single" w:sz="4" w:space="0" w:color="auto"/>
            </w:tcBorders>
          </w:tcPr>
          <w:p w14:paraId="24226CF9">
            <w:pPr>
              <w:pStyle w:val="TableText"/>
            </w:pPr>
            <w:r>
              <w:t xml:space="preserve">ByteString</w:t>
            </w:r>
          </w:p>
        </w:tc>
        <w:tc>
          <w:tcPr>
            <w:tcW w:w="2976" w:type="dxa"/>
            <w:tcBorders>
              <w:top w:val="single" w:sz="4" w:space="0" w:color="auto"/>
              <w:left w:val="single" w:sz="4" w:space="0" w:color="auto"/>
              <w:bottom w:val="single" w:sz="4" w:space="0" w:color="auto"/>
              <w:right w:val="single" w:sz="4" w:space="0" w:color="auto"/>
            </w:tcBorders>
          </w:tcPr>
          <w:p w14:paraId="5CEA860C">
            <w:pPr>
              <w:pStyle w:val="TableText"/>
            </w:pPr>
            <w:r>
              <w:t xml:space="preserve">Optional copy of the little-endian CRC-64-AVRO SchemaId bytes for mismatch detection.</w:t>
            </w:r>
          </w:p>
        </w:tc>
      </w:tr>
    </w:tbl>
    <w:p w14:paraId="0DE20CAE">
      <w:pPr>
        <w:pStyle w:val="spacer"/>
      </w:pPr>
    </w:p>
    <w:p w14:paraId="59089896">
      <w:pPr>
        <w:pStyle w:val="Heading3"/>
      </w:pPr>
      <w:bookmarkStart w:id="526" w:name="_Clause_c6_8_6"/>
      <w:r>
        <w:t xml:space="preserve">Transport content types</w:t>
      </w:r>
      <w:bookmarkEnd w:id="526"/>
    </w:p>
    <w:p w14:paraId="4B402FF1">
      <w:pPr>
        <w:pStyle w:val="PARAGRAPH"/>
      </w:pPr>
      <w:r>
        <w:t xml:space="preserve">For MQTT, the MQTT 5 </w:t>
      </w:r>
      <w:r>
        <w:rPr>
          <w:rStyle w:val="VARIABLE"/>
        </w:rPr>
        <w:t xml:space="preserve">ContentType</w:t>
      </w:r>
      <w:r>
        <w:t xml:space="preserve"> property shall be </w:t>
      </w:r>
      <w:r>
        <w:rPr>
          <w:rStyle w:val="VARIABLE"/>
        </w:rPr>
        <w:t xml:space="preserve">application/vnd.apache.avro; opcua=pubsub; encoding=binary</w:t>
      </w:r>
      <w:r>
        <w:t xml:space="preserve">. For MQTT 3.1.1, the same string should be carried in configured metadata or topic documentation because the protocol has no ContentType property.</w:t>
      </w:r>
    </w:p>
    <w:p w14:paraId="15EFA6B1">
      <w:pPr>
        <w:pStyle w:val="PARAGRAPH"/>
      </w:pPr>
      <w:r>
        <w:t xml:space="preserve">For AMQP, the message </w:t>
      </w:r>
      <w:r>
        <w:rPr>
          <w:rStyle w:val="VARIABLE"/>
        </w:rPr>
        <w:t xml:space="preserve">content-type</w:t>
      </w:r>
      <w:r>
        <w:t xml:space="preserve"> property shall carry the same content type and may include a </w:t>
      </w:r>
      <w:r>
        <w:rPr>
          <w:rStyle w:val="VARIABLE"/>
        </w:rPr>
        <w:t xml:space="preserve">schemaid</w:t>
      </w:r>
      <w:r>
        <w:t xml:space="preserve"> parameter when the transport profile elects to carry SchemaId in metadata.</w:t>
      </w:r>
    </w:p>
    <w:p w14:paraId="0C1D8DD5">
      <w:pPr>
        <w:pStyle w:val="PARAGRAPH"/>
      </w:pPr>
      <w:r>
        <w:t xml:space="preserve">For Kafka, following the Kafka message mapping of </w:t>
      </w:r>
      <w:r>
        <w:rPr>
          <w:i/>
        </w:rPr>
        <w:t xml:space="preserve">OPC 10000-14</w:t>
      </w:r>
      <w:r>
        <w:t xml:space="preserve"> Annex B.2 — which sets an optional Kafka message header with the </w:t>
      </w:r>
      <w:r>
        <w:rPr>
          <w:rStyle w:val="VARIABLE"/>
        </w:rPr>
        <w:t xml:space="preserve">ContentType</w:t>
      </w:r>
      <w:r>
        <w:t xml:space="preserve"> key (for example </w:t>
      </w:r>
      <w:r>
        <w:rPr>
          <w:rStyle w:val="VARIABLE"/>
        </w:rPr>
        <w:t xml:space="preserve">application/json</w:t>
      </w:r>
      <w:r>
        <w:t xml:space="preserve"> for JSON or </w:t>
      </w:r>
      <w:r>
        <w:rPr>
          <w:rStyle w:val="VARIABLE"/>
        </w:rPr>
        <w:t xml:space="preserve">application/opcua+uadp</w:t>
      </w:r>
      <w:r>
        <w:t xml:space="preserve"> for UADP) — the optional Kafka header with the </w:t>
      </w:r>
      <w:r>
        <w:rPr>
          <w:rStyle w:val="VARIABLE"/>
        </w:rPr>
        <w:t xml:space="preserve">ContentType</w:t>
      </w:r>
      <w:r>
        <w:t xml:space="preserve"> key shall be set to </w:t>
      </w:r>
      <w:r>
        <w:rPr>
          <w:rStyle w:val="VARIABLE"/>
        </w:rPr>
        <w:t xml:space="preserve">application/vnd.apache.avro; opcua=pubsub; encoding=binary</w:t>
      </w:r>
      <w:r>
        <w:t xml:space="preserve">. Kafka deployments that carry SchemaId in metadata shall use the Kafka header </w:t>
      </w:r>
      <w:r>
        <w:rPr>
          <w:rStyle w:val="VARIABLE"/>
        </w:rPr>
        <w:t xml:space="preserve">opcua-avro-schema-id</w:t>
      </w:r>
      <w:r>
        <w:t xml:space="preserve"> with the raw 8-byte SchemaId value or its deployment-specified hexadecimal representation.</w:t>
      </w:r>
    </w:p>
    <w:p w14:paraId="69950BAD">
      <w:pPr>
        <w:pStyle w:val="PARAGRAPH"/>
      </w:pPr>
      <w:r>
        <w:t xml:space="preserve">Kafka and AMQP deployments that use a schema registry should also carry </w:t>
      </w:r>
      <w:r>
        <w:rPr>
          <w:rStyle w:val="VARIABLE"/>
        </w:rPr>
        <w:t xml:space="preserve">opcua-avro-schema-id</w:t>
      </w:r>
      <w:r>
        <w:t xml:space="preserve"> with the configured SchemaId.</w:t>
      </w:r>
    </w:p>
    <w:p w14:paraId="02F56CD6">
      <w:pPr>
        <w:pStyle w:val="Heading2"/>
      </w:pPr>
      <w:bookmarkStart w:id="527" w:name="_Clause_c6_9"/>
      <w:r>
        <w:t xml:space="preserve">Part 14 configuration model mapping and Information Model additions</w:t>
      </w:r>
      <w:bookmarkEnd w:id="527"/>
    </w:p>
    <w:p w14:paraId="6688F1A0">
      <w:pPr>
        <w:pStyle w:val="PARAGRAPH"/>
      </w:pPr>
      <w:r>
        <w:t xml:space="preserve">This clause defines how the Avro message mapping is represented in the OPC 10000-14 PubSub configuration model, and the Information Model extension that carries it. It fixes the names used so that two implementations configure the mapping identically. NodeIds are assigned by the OPC Foundation; this document defines the BrowseNames, the type hierarchy and the field sets.</w:t>
      </w:r>
    </w:p>
    <w:p w14:paraId="58A9DF4A">
      <w:pPr>
        <w:pStyle w:val="Heading3"/>
      </w:pPr>
      <w:bookmarkStart w:id="528" w:name="_Clause_c6_9_1"/>
      <w:r>
        <w:t xml:space="preserve">Where the mapping plugs in</w:t>
      </w:r>
      <w:bookmarkEnd w:id="528"/>
    </w:p>
    <w:p w14:paraId="1AA44932">
      <w:pPr>
        <w:pStyle w:val="PARAGRAPH"/>
      </w:pPr>
      <w:r>
        <w:t xml:space="preserve">OPC 10000-14 selects a message mapping through the </w:t>
      </w:r>
      <w:r>
        <w:rPr>
          <w:rStyle w:val="VARIABLE"/>
        </w:rPr>
        <w:t xml:space="preserve">MessageSettings</w:t>
      </w:r>
      <w:r>
        <w:t xml:space="preserve"> of each configuration object, which is an ExtensionObject whose concrete DataType identifies the mapping. UADP uses the </w:t>
      </w:r>
      <w:r>
        <w:rPr>
          <w:rStyle w:val="VARIABLE"/>
        </w:rPr>
        <w:t xml:space="preserve">Uadp*</w:t>
      </w:r>
      <w:r>
        <w:t xml:space="preserve"> DataTypes and JSON the </w:t>
      </w:r>
      <w:r>
        <w:rPr>
          <w:rStyle w:val="VARIABLE"/>
        </w:rPr>
        <w:t xml:space="preserve">Json*</w:t>
      </w:r>
      <w:r>
        <w:t xml:space="preserve"> DataTypes. The Avro mapping adds a parallel </w:t>
      </w:r>
      <w:r>
        <w:rPr>
          <w:rStyle w:val="VARIABLE"/>
        </w:rPr>
        <w:t xml:space="preserve">Avro*</w:t>
      </w:r>
      <w:r>
        <w:t xml:space="preserve"> set.</w:t>
      </w:r>
    </w:p>
    <w:p w14:paraId="5429107F">
      <w:pPr>
        <w:pStyle w:val="TABLE-title"/>
        <w:keepNext/>
      </w:pPr>
      <w:bookmarkStart w:id="529" w:name="_Tab_where_the_mapping_plugs_in_tab1"/>
      <w:r>
        <w:t xml:space="preserve">Table </w:t>
      </w:r>
      <w:r>
        <w:fldChar w:fldCharType="begin"/>
      </w:r>
      <w:r>
        <w:instrText xml:space="preserve"> SEQ Table \* ARABIC </w:instrText>
      </w:r>
      <w:r>
        <w:fldChar w:fldCharType="separate"/>
      </w:r>
      <w:r>
        <w:rPr>
          <w:noProof/>
        </w:rPr>
        <w:t xml:space="preserve">6</w:t>
      </w:r>
      <w:r>
        <w:fldChar w:fldCharType="end"/>
      </w:r>
      <w:r>
        <w:t xml:space="preserve"> – Where the mapping plugs in</w:t>
      </w:r>
      <w:bookmarkEnd w:id="5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30CD86E4">
            <w:pPr>
              <w:pStyle w:val="TableText"/>
            </w:pPr>
            <w:r>
              <w:t xml:space="preserve">Configuration object</w:t>
            </w:r>
          </w:p>
        </w:tc>
        <w:tc>
          <w:tcPr>
            <w:tcW w:w="2231" w:type="dxa"/>
            <w:tcBorders>
              <w:top w:val="single" w:sz="4" w:space="0" w:color="auto"/>
              <w:left w:val="single" w:sz="4" w:space="0" w:color="auto"/>
              <w:bottom w:val="double" w:sz="4" w:space="0" w:color="auto"/>
              <w:right w:val="single" w:sz="4" w:space="0" w:color="auto"/>
            </w:tcBorders>
          </w:tcPr>
          <w:p w14:paraId="347D4016">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3B3D7800">
            <w:pPr>
              <w:pStyle w:val="TableText"/>
            </w:pPr>
            <w:r>
              <w:t xml:space="preserve">Base DataType (OPC 10000-14)</w:t>
            </w:r>
          </w:p>
        </w:tc>
        <w:tc>
          <w:tcPr>
            <w:tcW w:w="2233" w:type="dxa"/>
            <w:tcBorders>
              <w:top w:val="single" w:sz="4" w:space="0" w:color="auto"/>
              <w:left w:val="single" w:sz="4" w:space="0" w:color="auto"/>
              <w:bottom w:val="double" w:sz="4" w:space="0" w:color="auto"/>
              <w:right w:val="single" w:sz="4" w:space="0" w:color="auto"/>
            </w:tcBorders>
          </w:tcPr>
          <w:p w14:paraId="3CBBBD25">
            <w:pPr>
              <w:pStyle w:val="TableText"/>
            </w:pPr>
            <w:r>
              <w:t xml:space="preserve">Avro DataType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AADBF5F">
            <w:pPr>
              <w:pStyle w:val="TableText"/>
            </w:pPr>
            <w:r>
              <w:rPr>
                <w:rStyle w:val="VARIABLE"/>
              </w:rPr>
              <w:t xml:space="preserve">WriterGroupDataType</w:t>
            </w:r>
          </w:p>
        </w:tc>
        <w:tc>
          <w:tcPr>
            <w:tcW w:w="2231" w:type="dxa"/>
            <w:tcBorders>
              <w:top w:val="single" w:sz="4" w:space="0" w:color="auto"/>
              <w:left w:val="single" w:sz="4" w:space="0" w:color="auto"/>
              <w:bottom w:val="single" w:sz="4" w:space="0" w:color="auto"/>
              <w:right w:val="single" w:sz="4" w:space="0" w:color="auto"/>
            </w:tcBorders>
          </w:tcPr>
          <w:p w14:paraId="3ECD7B39">
            <w:pPr>
              <w:pStyle w:val="TableText"/>
            </w:pPr>
            <w:r>
              <w:rPr>
                <w:rStyle w:val="VARIABLE"/>
              </w:rPr>
              <w:t xml:space="preserve">MessageSettings</w:t>
            </w:r>
          </w:p>
        </w:tc>
        <w:tc>
          <w:tcPr>
            <w:tcW w:w="2231" w:type="dxa"/>
            <w:tcBorders>
              <w:top w:val="single" w:sz="4" w:space="0" w:color="auto"/>
              <w:left w:val="single" w:sz="4" w:space="0" w:color="auto"/>
              <w:bottom w:val="single" w:sz="4" w:space="0" w:color="auto"/>
              <w:right w:val="single" w:sz="4" w:space="0" w:color="auto"/>
            </w:tcBorders>
          </w:tcPr>
          <w:p w14:paraId="4623FB6F">
            <w:pPr>
              <w:pStyle w:val="TableText"/>
            </w:pPr>
            <w:r>
              <w:rPr>
                <w:rStyle w:val="VARIABLE"/>
              </w:rPr>
              <w:t xml:space="preserve">WriterGroupMessageDataType</w:t>
            </w:r>
          </w:p>
        </w:tc>
        <w:tc>
          <w:tcPr>
            <w:tcW w:w="2233" w:type="dxa"/>
            <w:tcBorders>
              <w:top w:val="single" w:sz="4" w:space="0" w:color="auto"/>
              <w:left w:val="single" w:sz="4" w:space="0" w:color="auto"/>
              <w:bottom w:val="single" w:sz="4" w:space="0" w:color="auto"/>
              <w:right w:val="single" w:sz="4" w:space="0" w:color="auto"/>
            </w:tcBorders>
          </w:tcPr>
          <w:p w14:paraId="71707C26">
            <w:pPr>
              <w:pStyle w:val="TableText"/>
            </w:pPr>
            <w:r>
              <w:rPr>
                <w:rStyle w:val="VARIABLE"/>
              </w:rPr>
              <w:t xml:space="preserve">AvroWriterGroupMessageDataType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B8BCCB4">
            <w:pPr>
              <w:pStyle w:val="TableText"/>
            </w:pPr>
            <w:r>
              <w:rPr>
                <w:rStyle w:val="VARIABLE"/>
              </w:rPr>
              <w:t xml:space="preserve">DataSetWriterDataType</w:t>
            </w:r>
          </w:p>
        </w:tc>
        <w:tc>
          <w:tcPr>
            <w:tcW w:w="2231" w:type="dxa"/>
            <w:tcBorders>
              <w:top w:val="single" w:sz="4" w:space="0" w:color="auto"/>
              <w:left w:val="single" w:sz="4" w:space="0" w:color="auto"/>
              <w:bottom w:val="single" w:sz="4" w:space="0" w:color="auto"/>
              <w:right w:val="single" w:sz="4" w:space="0" w:color="auto"/>
            </w:tcBorders>
          </w:tcPr>
          <w:p w14:paraId="72D799FE">
            <w:pPr>
              <w:pStyle w:val="TableText"/>
            </w:pPr>
            <w:r>
              <w:rPr>
                <w:rStyle w:val="VARIABLE"/>
              </w:rPr>
              <w:t xml:space="preserve">MessageSettings</w:t>
            </w:r>
          </w:p>
        </w:tc>
        <w:tc>
          <w:tcPr>
            <w:tcW w:w="2231" w:type="dxa"/>
            <w:tcBorders>
              <w:top w:val="single" w:sz="4" w:space="0" w:color="auto"/>
              <w:left w:val="single" w:sz="4" w:space="0" w:color="auto"/>
              <w:bottom w:val="single" w:sz="4" w:space="0" w:color="auto"/>
              <w:right w:val="single" w:sz="4" w:space="0" w:color="auto"/>
            </w:tcBorders>
          </w:tcPr>
          <w:p w14:paraId="528392FA">
            <w:pPr>
              <w:pStyle w:val="TableText"/>
            </w:pPr>
            <w:r>
              <w:rPr>
                <w:rStyle w:val="VARIABLE"/>
              </w:rPr>
              <w:t xml:space="preserve">DataSetWriterMessageDataType</w:t>
            </w:r>
          </w:p>
        </w:tc>
        <w:tc>
          <w:tcPr>
            <w:tcW w:w="2233" w:type="dxa"/>
            <w:tcBorders>
              <w:top w:val="single" w:sz="4" w:space="0" w:color="auto"/>
              <w:left w:val="single" w:sz="4" w:space="0" w:color="auto"/>
              <w:bottom w:val="single" w:sz="4" w:space="0" w:color="auto"/>
              <w:right w:val="single" w:sz="4" w:space="0" w:color="auto"/>
            </w:tcBorders>
          </w:tcPr>
          <w:p w14:paraId="551FAFEB">
            <w:pPr>
              <w:pStyle w:val="TableText"/>
            </w:pPr>
            <w:r>
              <w:rPr>
                <w:rStyle w:val="VARIABLE"/>
              </w:rPr>
              <w:t xml:space="preserve">AvroDataSetWriterMessageDataType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DEAA675">
            <w:pPr>
              <w:pStyle w:val="TableText"/>
            </w:pPr>
            <w:r>
              <w:rPr>
                <w:rStyle w:val="VARIABLE"/>
              </w:rPr>
              <w:t xml:space="preserve">DataSetReaderDataType</w:t>
            </w:r>
          </w:p>
        </w:tc>
        <w:tc>
          <w:tcPr>
            <w:tcW w:w="2231" w:type="dxa"/>
            <w:tcBorders>
              <w:top w:val="single" w:sz="4" w:space="0" w:color="auto"/>
              <w:left w:val="single" w:sz="4" w:space="0" w:color="auto"/>
              <w:bottom w:val="single" w:sz="4" w:space="0" w:color="auto"/>
              <w:right w:val="single" w:sz="4" w:space="0" w:color="auto"/>
            </w:tcBorders>
          </w:tcPr>
          <w:p w14:paraId="0E3B97BB">
            <w:pPr>
              <w:pStyle w:val="TableText"/>
            </w:pPr>
            <w:r>
              <w:rPr>
                <w:rStyle w:val="VARIABLE"/>
              </w:rPr>
              <w:t xml:space="preserve">MessageSettings</w:t>
            </w:r>
          </w:p>
        </w:tc>
        <w:tc>
          <w:tcPr>
            <w:tcW w:w="2231" w:type="dxa"/>
            <w:tcBorders>
              <w:top w:val="single" w:sz="4" w:space="0" w:color="auto"/>
              <w:left w:val="single" w:sz="4" w:space="0" w:color="auto"/>
              <w:bottom w:val="single" w:sz="4" w:space="0" w:color="auto"/>
              <w:right w:val="single" w:sz="4" w:space="0" w:color="auto"/>
            </w:tcBorders>
          </w:tcPr>
          <w:p w14:paraId="55CAE91C">
            <w:pPr>
              <w:pStyle w:val="TableText"/>
            </w:pPr>
            <w:r>
              <w:rPr>
                <w:rStyle w:val="VARIABLE"/>
              </w:rPr>
              <w:t xml:space="preserve">DataSetReaderMessageDataType</w:t>
            </w:r>
          </w:p>
        </w:tc>
        <w:tc>
          <w:tcPr>
            <w:tcW w:w="2233" w:type="dxa"/>
            <w:tcBorders>
              <w:top w:val="single" w:sz="4" w:space="0" w:color="auto"/>
              <w:left w:val="single" w:sz="4" w:space="0" w:color="auto"/>
              <w:bottom w:val="single" w:sz="4" w:space="0" w:color="auto"/>
              <w:right w:val="single" w:sz="4" w:space="0" w:color="auto"/>
            </w:tcBorders>
          </w:tcPr>
          <w:p w14:paraId="43118773">
            <w:pPr>
              <w:pStyle w:val="TableText"/>
            </w:pPr>
            <w:r>
              <w:rPr>
                <w:rStyle w:val="VARIABLE"/>
              </w:rPr>
              <w:t xml:space="preserve">AvroDataSetReaderMessageDataType</w:t>
            </w:r>
          </w:p>
        </w:tc>
      </w:tr>
    </w:tbl>
    <w:p w14:paraId="7468BA43">
      <w:pPr>
        <w:pStyle w:val="spacer"/>
      </w:pPr>
    </w:p>
    <w:p w14:paraId="6475B225">
      <w:pPr>
        <w:pStyle w:val="PARAGRAPH"/>
      </w:pPr>
      <w:r>
        <w:t xml:space="preserve">A WriterGroup uses the Avro message mapping if and only if its </w:t>
      </w:r>
      <w:r>
        <w:rPr>
          <w:rStyle w:val="VARIABLE"/>
        </w:rPr>
        <w:t xml:space="preserve">MessageSettings</w:t>
      </w:r>
      <w:r>
        <w:t xml:space="preserve"> is an </w:t>
      </w:r>
      <w:r>
        <w:rPr>
          <w:rStyle w:val="VARIABLE"/>
        </w:rPr>
        <w:t xml:space="preserve">AvroWriterGroupMessageDataType</w:t>
      </w:r>
      <w:r>
        <w:t xml:space="preserve">. </w:t>
      </w:r>
      <w:r>
        <w:rPr>
          <w:rStyle w:val="VARIABLE"/>
        </w:rPr>
        <w:t xml:space="preserve">TransportSettings</w:t>
      </w:r>
      <w:r>
        <w:t xml:space="preserve"> are unchanged; the Avro mapping is transport-independent and is identified on the wire by the content types of </w:t>
      </w:r>
      <w:r>
        <w:fldChar w:fldCharType="begin"/>
      </w:r>
      <w:r>
        <w:instrText xml:space="preserve"> REF _Clause_c6_8_6 \r \h </w:instrText>
      </w:r>
      <w:r>
        <w:fldChar w:fldCharType="separate"/>
      </w:r>
      <w:r>
        <w:rPr>
          <w:noProof/>
        </w:rPr>
        <w:t xml:space="preserve">6.8.6</w:t>
      </w:r>
      <w:r>
        <w:fldChar w:fldCharType="end"/>
      </w:r>
      <w:r>
        <w:t xml:space="preserve">.</w:t>
      </w:r>
    </w:p>
    <w:p w14:paraId="12CA5FFB">
      <w:pPr>
        <w:pStyle w:val="Heading3"/>
      </w:pPr>
      <w:bookmarkStart w:id="530" w:name="_Clause_c6_9_2"/>
      <w:r>
        <w:t xml:space="preserve">Content mask DataTypes</w:t>
      </w:r>
      <w:bookmarkEnd w:id="530"/>
    </w:p>
    <w:p w14:paraId="0D0B9AFF">
      <w:pPr>
        <w:pStyle w:val="PARAGRAPH"/>
      </w:pPr>
      <w:r>
        <w:t xml:space="preserve">Two OptionSet DataTypes subtype </w:t>
      </w:r>
      <w:r>
        <w:rPr>
          <w:rStyle w:val="VARIABLE"/>
        </w:rPr>
        <w:t xml:space="preserve">UInt32</w:t>
      </w:r>
      <w:r>
        <w:t xml:space="preserve">, mirroring </w:t>
      </w:r>
      <w:r>
        <w:rPr>
          <w:rStyle w:val="VARIABLE"/>
        </w:rPr>
        <w:t xml:space="preserve">JsonNetworkMessageContentMask</w:t>
      </w:r>
      <w:r>
        <w:t xml:space="preserve"> and </w:t>
      </w:r>
      <w:r>
        <w:rPr>
          <w:rStyle w:val="VARIABLE"/>
        </w:rPr>
        <w:t xml:space="preserve">JsonDataSetMessageContentMask</w:t>
      </w:r>
      <w:r>
        <w:t xml:space="preserve">. They select which fields of the fixed envelope (</w:t>
      </w:r>
      <w:r>
        <w:fldChar w:fldCharType="begin"/>
      </w:r>
      <w:r>
        <w:instrText xml:space="preserve"> REF _Clause_c6_8_1 \r \h </w:instrText>
      </w:r>
      <w:r>
        <w:fldChar w:fldCharType="separate"/>
      </w:r>
      <w:r>
        <w:rPr>
          <w:noProof/>
        </w:rPr>
        <w:t xml:space="preserve">6.8.1</w:t>
      </w:r>
      <w:r>
        <w:fldChar w:fldCharType="end"/>
      </w:r>
      <w:r>
        <w:t xml:space="preserve">) and of the DataSetMessage header (</w:t>
      </w:r>
      <w:r>
        <w:fldChar w:fldCharType="begin"/>
      </w:r>
      <w:r>
        <w:instrText xml:space="preserve"> REF _Clause_c6_8_2 \r \h </w:instrText>
      </w:r>
      <w:r>
        <w:fldChar w:fldCharType="separate"/>
      </w:r>
      <w:r>
        <w:rPr>
          <w:noProof/>
        </w:rPr>
        <w:t xml:space="preserve">6.8.2</w:t>
      </w:r>
      <w:r>
        <w:fldChar w:fldCharType="end"/>
      </w:r>
      <w:r>
        <w:t xml:space="preserve">) are non-null. Fields not selected are present in the schema and null on the wire, so the envelope schema is stable.</w:t>
      </w:r>
    </w:p>
    <w:p w14:paraId="2072DFF1">
      <w:pPr>
        <w:pStyle w:val="PARAGRAPH"/>
      </w:pPr>
      <w:r>
        <w:rPr>
          <w:rStyle w:val="VARIABLE"/>
        </w:rPr>
        <w:t xml:space="preserve">AvroNetworkMessageContentMask</w:t>
      </w:r>
    </w:p>
    <w:p w14:paraId="29470AA4">
      <w:pPr>
        <w:pStyle w:val="TABLE-title"/>
        <w:keepNext/>
      </w:pPr>
      <w:bookmarkStart w:id="531" w:name="_Tab_content_mask_datatypes_tab1"/>
      <w:r>
        <w:t xml:space="preserve">Table </w:t>
      </w:r>
      <w:r>
        <w:fldChar w:fldCharType="begin"/>
      </w:r>
      <w:r>
        <w:instrText xml:space="preserve"> SEQ Table \* ARABIC </w:instrText>
      </w:r>
      <w:r>
        <w:fldChar w:fldCharType="separate"/>
      </w:r>
      <w:r>
        <w:rPr>
          <w:noProof/>
        </w:rPr>
        <w:t xml:space="preserve">7</w:t>
      </w:r>
      <w:r>
        <w:fldChar w:fldCharType="end"/>
      </w:r>
      <w:r>
        <w:t xml:space="preserve"> – Content mask DataTypes</w:t>
      </w:r>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27B09F8">
            <w:pPr>
              <w:pStyle w:val="TableText"/>
            </w:pPr>
            <w:r>
              <w:t xml:space="preserve">Bit</w:t>
            </w:r>
          </w:p>
        </w:tc>
        <w:tc>
          <w:tcPr>
            <w:tcW w:w="2975" w:type="dxa"/>
            <w:tcBorders>
              <w:top w:val="single" w:sz="4" w:space="0" w:color="auto"/>
              <w:left w:val="single" w:sz="4" w:space="0" w:color="auto"/>
              <w:bottom w:val="double" w:sz="4" w:space="0" w:color="auto"/>
              <w:right w:val="single" w:sz="4" w:space="0" w:color="auto"/>
            </w:tcBorders>
          </w:tcPr>
          <w:p w14:paraId="2DAC3C6A">
            <w:pPr>
              <w:pStyle w:val="TableText"/>
            </w:pPr>
            <w:r>
              <w:t xml:space="preserve">Name</w:t>
            </w:r>
          </w:p>
        </w:tc>
        <w:tc>
          <w:tcPr>
            <w:tcW w:w="2976" w:type="dxa"/>
            <w:tcBorders>
              <w:top w:val="single" w:sz="4" w:space="0" w:color="auto"/>
              <w:left w:val="single" w:sz="4" w:space="0" w:color="auto"/>
              <w:bottom w:val="double" w:sz="4" w:space="0" w:color="auto"/>
              <w:right w:val="single" w:sz="4" w:space="0" w:color="auto"/>
            </w:tcBorders>
          </w:tcPr>
          <w:p w14:paraId="1EF87DBB">
            <w:pPr>
              <w:pStyle w:val="TableText"/>
            </w:pPr>
            <w:r>
              <w:t xml:space="preserve">Selects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F0A748A">
            <w:pPr>
              <w:pStyle w:val="TableText"/>
            </w:pPr>
            <w:r>
              <w:t xml:space="preserve">0</w:t>
            </w:r>
          </w:p>
        </w:tc>
        <w:tc>
          <w:tcPr>
            <w:tcW w:w="2975" w:type="dxa"/>
            <w:tcBorders>
              <w:top w:val="single" w:sz="4" w:space="0" w:color="auto"/>
              <w:left w:val="single" w:sz="4" w:space="0" w:color="auto"/>
              <w:bottom w:val="single" w:sz="4" w:space="0" w:color="auto"/>
              <w:right w:val="single" w:sz="4" w:space="0" w:color="auto"/>
            </w:tcBorders>
          </w:tcPr>
          <w:p w14:paraId="7DDBF34B">
            <w:pPr>
              <w:pStyle w:val="TableText"/>
            </w:pPr>
            <w:r>
              <w:rPr>
                <w:rStyle w:val="VARIABLE"/>
              </w:rPr>
              <w:t xml:space="preserve">NetworkMessageHeader</w:t>
            </w:r>
          </w:p>
        </w:tc>
        <w:tc>
          <w:tcPr>
            <w:tcW w:w="2976" w:type="dxa"/>
            <w:tcBorders>
              <w:top w:val="single" w:sz="4" w:space="0" w:color="auto"/>
              <w:left w:val="single" w:sz="4" w:space="0" w:color="auto"/>
              <w:bottom w:val="single" w:sz="4" w:space="0" w:color="auto"/>
              <w:right w:val="single" w:sz="4" w:space="0" w:color="auto"/>
            </w:tcBorders>
          </w:tcPr>
          <w:p w14:paraId="799F1CF9">
            <w:pPr>
              <w:pStyle w:val="TableText"/>
            </w:pPr>
            <w:r>
              <w:t xml:space="preserve">The envelope header fields are populated.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7B6E6F3">
            <w:pPr>
              <w:pStyle w:val="TableText"/>
            </w:pPr>
            <w:r>
              <w:t xml:space="preserve">1</w:t>
            </w:r>
          </w:p>
        </w:tc>
        <w:tc>
          <w:tcPr>
            <w:tcW w:w="2975" w:type="dxa"/>
            <w:tcBorders>
              <w:top w:val="single" w:sz="4" w:space="0" w:color="auto"/>
              <w:left w:val="single" w:sz="4" w:space="0" w:color="auto"/>
              <w:bottom w:val="single" w:sz="4" w:space="0" w:color="auto"/>
              <w:right w:val="single" w:sz="4" w:space="0" w:color="auto"/>
            </w:tcBorders>
          </w:tcPr>
          <w:p w14:paraId="56AD043E">
            <w:pPr>
              <w:pStyle w:val="TableText"/>
            </w:pPr>
            <w:r>
              <w:rPr>
                <w:rStyle w:val="VARIABLE"/>
              </w:rPr>
              <w:t xml:space="preserve">DataSetMessageHeader</w:t>
            </w:r>
          </w:p>
        </w:tc>
        <w:tc>
          <w:tcPr>
            <w:tcW w:w="2976" w:type="dxa"/>
            <w:tcBorders>
              <w:top w:val="single" w:sz="4" w:space="0" w:color="auto"/>
              <w:left w:val="single" w:sz="4" w:space="0" w:color="auto"/>
              <w:bottom w:val="single" w:sz="4" w:space="0" w:color="auto"/>
              <w:right w:val="single" w:sz="4" w:space="0" w:color="auto"/>
            </w:tcBorders>
          </w:tcPr>
          <w:p w14:paraId="0EF6F387">
            <w:pPr>
              <w:pStyle w:val="TableText"/>
            </w:pPr>
            <w:r>
              <w:t xml:space="preserve">Each payload entry carries its DataSetMessage header.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AB50721">
            <w:pPr>
              <w:pStyle w:val="TableText"/>
            </w:pPr>
            <w:r>
              <w:t xml:space="preserve">2</w:t>
            </w:r>
          </w:p>
        </w:tc>
        <w:tc>
          <w:tcPr>
            <w:tcW w:w="2975" w:type="dxa"/>
            <w:tcBorders>
              <w:top w:val="single" w:sz="4" w:space="0" w:color="auto"/>
              <w:left w:val="single" w:sz="4" w:space="0" w:color="auto"/>
              <w:bottom w:val="single" w:sz="4" w:space="0" w:color="auto"/>
              <w:right w:val="single" w:sz="4" w:space="0" w:color="auto"/>
            </w:tcBorders>
          </w:tcPr>
          <w:p w14:paraId="6EEF55D4">
            <w:pPr>
              <w:pStyle w:val="TableText"/>
            </w:pPr>
            <w:r>
              <w:rPr>
                <w:rStyle w:val="VARIABLE"/>
              </w:rPr>
              <w:t xml:space="preserve">SingleDataSetMessage</w:t>
            </w:r>
          </w:p>
        </w:tc>
        <w:tc>
          <w:tcPr>
            <w:tcW w:w="2976" w:type="dxa"/>
            <w:tcBorders>
              <w:top w:val="single" w:sz="4" w:space="0" w:color="auto"/>
              <w:left w:val="single" w:sz="4" w:space="0" w:color="auto"/>
              <w:bottom w:val="single" w:sz="4" w:space="0" w:color="auto"/>
              <w:right w:val="single" w:sz="4" w:space="0" w:color="auto"/>
            </w:tcBorders>
          </w:tcPr>
          <w:p w14:paraId="07CD02D2">
            <w:pPr>
              <w:pStyle w:val="TableText"/>
            </w:pPr>
            <w:r>
              <w:t xml:space="preserve">The payload carries exactly one DataSetMessage.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5C1792E">
            <w:pPr>
              <w:pStyle w:val="TableText"/>
            </w:pPr>
            <w:r>
              <w:t xml:space="preserve">3</w:t>
            </w:r>
          </w:p>
        </w:tc>
        <w:tc>
          <w:tcPr>
            <w:tcW w:w="2975" w:type="dxa"/>
            <w:tcBorders>
              <w:top w:val="single" w:sz="4" w:space="0" w:color="auto"/>
              <w:left w:val="single" w:sz="4" w:space="0" w:color="auto"/>
              <w:bottom w:val="single" w:sz="4" w:space="0" w:color="auto"/>
              <w:right w:val="single" w:sz="4" w:space="0" w:color="auto"/>
            </w:tcBorders>
          </w:tcPr>
          <w:p w14:paraId="2ED6A924">
            <w:pPr>
              <w:pStyle w:val="TableText"/>
            </w:pPr>
            <w:r>
              <w:rPr>
                <w:rStyle w:val="VARIABLE"/>
              </w:rPr>
              <w:t xml:space="preserve">PublisherId</w:t>
            </w:r>
          </w:p>
        </w:tc>
        <w:tc>
          <w:tcPr>
            <w:tcW w:w="2976" w:type="dxa"/>
            <w:tcBorders>
              <w:top w:val="single" w:sz="4" w:space="0" w:color="auto"/>
              <w:left w:val="single" w:sz="4" w:space="0" w:color="auto"/>
              <w:bottom w:val="single" w:sz="4" w:space="0" w:color="auto"/>
              <w:right w:val="single" w:sz="4" w:space="0" w:color="auto"/>
            </w:tcBorders>
          </w:tcPr>
          <w:p w14:paraId="2764D6F6">
            <w:pPr>
              <w:pStyle w:val="TableText"/>
            </w:pPr>
            <w:r>
              <w:rPr>
                <w:rStyle w:val="VARIABLE"/>
              </w:rPr>
              <w:t xml:space="preserve">PublisherId</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E0ED31D">
            <w:pPr>
              <w:pStyle w:val="TableText"/>
            </w:pPr>
            <w:r>
              <w:t xml:space="preserve">4</w:t>
            </w:r>
          </w:p>
        </w:tc>
        <w:tc>
          <w:tcPr>
            <w:tcW w:w="2975" w:type="dxa"/>
            <w:tcBorders>
              <w:top w:val="single" w:sz="4" w:space="0" w:color="auto"/>
              <w:left w:val="single" w:sz="4" w:space="0" w:color="auto"/>
              <w:bottom w:val="single" w:sz="4" w:space="0" w:color="auto"/>
              <w:right w:val="single" w:sz="4" w:space="0" w:color="auto"/>
            </w:tcBorders>
          </w:tcPr>
          <w:p w14:paraId="218575C1">
            <w:pPr>
              <w:pStyle w:val="TableText"/>
            </w:pPr>
            <w:r>
              <w:rPr>
                <w:rStyle w:val="VARIABLE"/>
              </w:rPr>
              <w:t xml:space="preserve">DataSetClassId</w:t>
            </w:r>
          </w:p>
        </w:tc>
        <w:tc>
          <w:tcPr>
            <w:tcW w:w="2976" w:type="dxa"/>
            <w:tcBorders>
              <w:top w:val="single" w:sz="4" w:space="0" w:color="auto"/>
              <w:left w:val="single" w:sz="4" w:space="0" w:color="auto"/>
              <w:bottom w:val="single" w:sz="4" w:space="0" w:color="auto"/>
              <w:right w:val="single" w:sz="4" w:space="0" w:color="auto"/>
            </w:tcBorders>
          </w:tcPr>
          <w:p w14:paraId="7971ABA0">
            <w:pPr>
              <w:pStyle w:val="TableText"/>
            </w:pPr>
            <w:r>
              <w:rPr>
                <w:rStyle w:val="VARIABLE"/>
              </w:rPr>
              <w:t xml:space="preserve">DataSetClassId</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FBCCD13">
            <w:pPr>
              <w:pStyle w:val="TableText"/>
            </w:pPr>
            <w:r>
              <w:t xml:space="preserve">5</w:t>
            </w:r>
          </w:p>
        </w:tc>
        <w:tc>
          <w:tcPr>
            <w:tcW w:w="2975" w:type="dxa"/>
            <w:tcBorders>
              <w:top w:val="single" w:sz="4" w:space="0" w:color="auto"/>
              <w:left w:val="single" w:sz="4" w:space="0" w:color="auto"/>
              <w:bottom w:val="single" w:sz="4" w:space="0" w:color="auto"/>
              <w:right w:val="single" w:sz="4" w:space="0" w:color="auto"/>
            </w:tcBorders>
          </w:tcPr>
          <w:p w14:paraId="08DFCFEF">
            <w:pPr>
              <w:pStyle w:val="TableText"/>
            </w:pPr>
            <w:r>
              <w:rPr>
                <w:rStyle w:val="VARIABLE"/>
              </w:rPr>
              <w:t xml:space="preserve">GroupHeader</w:t>
            </w:r>
          </w:p>
        </w:tc>
        <w:tc>
          <w:tcPr>
            <w:tcW w:w="2976" w:type="dxa"/>
            <w:tcBorders>
              <w:top w:val="single" w:sz="4" w:space="0" w:color="auto"/>
              <w:left w:val="single" w:sz="4" w:space="0" w:color="auto"/>
              <w:bottom w:val="single" w:sz="4" w:space="0" w:color="auto"/>
              <w:right w:val="single" w:sz="4" w:space="0" w:color="auto"/>
            </w:tcBorders>
          </w:tcPr>
          <w:p w14:paraId="532596D9">
            <w:pPr>
              <w:pStyle w:val="TableText"/>
            </w:pPr>
            <w:r>
              <w:t xml:space="preserve">The GroupHeader group of fields.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F702179">
            <w:pPr>
              <w:pStyle w:val="TableText"/>
            </w:pPr>
            <w:r>
              <w:t xml:space="preserve">6</w:t>
            </w:r>
          </w:p>
        </w:tc>
        <w:tc>
          <w:tcPr>
            <w:tcW w:w="2975" w:type="dxa"/>
            <w:tcBorders>
              <w:top w:val="single" w:sz="4" w:space="0" w:color="auto"/>
              <w:left w:val="single" w:sz="4" w:space="0" w:color="auto"/>
              <w:bottom w:val="single" w:sz="4" w:space="0" w:color="auto"/>
              <w:right w:val="single" w:sz="4" w:space="0" w:color="auto"/>
            </w:tcBorders>
          </w:tcPr>
          <w:p w14:paraId="3CA63491">
            <w:pPr>
              <w:pStyle w:val="TableText"/>
            </w:pPr>
            <w:r>
              <w:rPr>
                <w:rStyle w:val="VARIABLE"/>
              </w:rPr>
              <w:t xml:space="preserve">WriterGroupId</w:t>
            </w:r>
          </w:p>
        </w:tc>
        <w:tc>
          <w:tcPr>
            <w:tcW w:w="2976" w:type="dxa"/>
            <w:tcBorders>
              <w:top w:val="single" w:sz="4" w:space="0" w:color="auto"/>
              <w:left w:val="single" w:sz="4" w:space="0" w:color="auto"/>
              <w:bottom w:val="single" w:sz="4" w:space="0" w:color="auto"/>
              <w:right w:val="single" w:sz="4" w:space="0" w:color="auto"/>
            </w:tcBorders>
          </w:tcPr>
          <w:p w14:paraId="6C5CBF37">
            <w:pPr>
              <w:pStyle w:val="TableText"/>
            </w:pPr>
            <w:r>
              <w:rPr>
                <w:rStyle w:val="VARIABLE"/>
              </w:rPr>
              <w:t xml:space="preserve">WriterGroupId</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07E2E30">
            <w:pPr>
              <w:pStyle w:val="TableText"/>
            </w:pPr>
            <w:r>
              <w:t xml:space="preserve">7</w:t>
            </w:r>
          </w:p>
        </w:tc>
        <w:tc>
          <w:tcPr>
            <w:tcW w:w="2975" w:type="dxa"/>
            <w:tcBorders>
              <w:top w:val="single" w:sz="4" w:space="0" w:color="auto"/>
              <w:left w:val="single" w:sz="4" w:space="0" w:color="auto"/>
              <w:bottom w:val="single" w:sz="4" w:space="0" w:color="auto"/>
              <w:right w:val="single" w:sz="4" w:space="0" w:color="auto"/>
            </w:tcBorders>
          </w:tcPr>
          <w:p w14:paraId="2FE19E1B">
            <w:pPr>
              <w:pStyle w:val="TableText"/>
            </w:pPr>
            <w:r>
              <w:rPr>
                <w:rStyle w:val="VARIABLE"/>
              </w:rPr>
              <w:t xml:space="preserve">GroupVersion</w:t>
            </w:r>
          </w:p>
        </w:tc>
        <w:tc>
          <w:tcPr>
            <w:tcW w:w="2976" w:type="dxa"/>
            <w:tcBorders>
              <w:top w:val="single" w:sz="4" w:space="0" w:color="auto"/>
              <w:left w:val="single" w:sz="4" w:space="0" w:color="auto"/>
              <w:bottom w:val="single" w:sz="4" w:space="0" w:color="auto"/>
              <w:right w:val="single" w:sz="4" w:space="0" w:color="auto"/>
            </w:tcBorders>
          </w:tcPr>
          <w:p w14:paraId="082E6806">
            <w:pPr>
              <w:pStyle w:val="TableText"/>
            </w:pPr>
            <w:r>
              <w:rPr>
                <w:rStyle w:val="VARIABLE"/>
              </w:rPr>
              <w:t xml:space="preserve">GroupVersion</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E0F1A2E">
            <w:pPr>
              <w:pStyle w:val="TableText"/>
            </w:pPr>
            <w:r>
              <w:t xml:space="preserve">8</w:t>
            </w:r>
          </w:p>
        </w:tc>
        <w:tc>
          <w:tcPr>
            <w:tcW w:w="2975" w:type="dxa"/>
            <w:tcBorders>
              <w:top w:val="single" w:sz="4" w:space="0" w:color="auto"/>
              <w:left w:val="single" w:sz="4" w:space="0" w:color="auto"/>
              <w:bottom w:val="single" w:sz="4" w:space="0" w:color="auto"/>
              <w:right w:val="single" w:sz="4" w:space="0" w:color="auto"/>
            </w:tcBorders>
          </w:tcPr>
          <w:p w14:paraId="19C4BF45">
            <w:pPr>
              <w:pStyle w:val="TableText"/>
            </w:pPr>
            <w:r>
              <w:rPr>
                <w:rStyle w:val="VARIABLE"/>
              </w:rPr>
              <w:t xml:space="preserve">NetworkMessageNumber</w:t>
            </w:r>
          </w:p>
        </w:tc>
        <w:tc>
          <w:tcPr>
            <w:tcW w:w="2976" w:type="dxa"/>
            <w:tcBorders>
              <w:top w:val="single" w:sz="4" w:space="0" w:color="auto"/>
              <w:left w:val="single" w:sz="4" w:space="0" w:color="auto"/>
              <w:bottom w:val="single" w:sz="4" w:space="0" w:color="auto"/>
              <w:right w:val="single" w:sz="4" w:space="0" w:color="auto"/>
            </w:tcBorders>
          </w:tcPr>
          <w:p w14:paraId="32BD07E9">
            <w:pPr>
              <w:pStyle w:val="TableText"/>
            </w:pPr>
            <w:r>
              <w:rPr>
                <w:rStyle w:val="VARIABLE"/>
              </w:rPr>
              <w:t xml:space="preserve">NetworkMessageNumber</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D294088">
            <w:pPr>
              <w:pStyle w:val="TableText"/>
            </w:pPr>
            <w:r>
              <w:t xml:space="preserve">9</w:t>
            </w:r>
          </w:p>
        </w:tc>
        <w:tc>
          <w:tcPr>
            <w:tcW w:w="2975" w:type="dxa"/>
            <w:tcBorders>
              <w:top w:val="single" w:sz="4" w:space="0" w:color="auto"/>
              <w:left w:val="single" w:sz="4" w:space="0" w:color="auto"/>
              <w:bottom w:val="single" w:sz="4" w:space="0" w:color="auto"/>
              <w:right w:val="single" w:sz="4" w:space="0" w:color="auto"/>
            </w:tcBorders>
          </w:tcPr>
          <w:p w14:paraId="3487A79F">
            <w:pPr>
              <w:pStyle w:val="TableText"/>
            </w:pPr>
            <w:r>
              <w:rPr>
                <w:rStyle w:val="VARIABLE"/>
              </w:rPr>
              <w:t xml:space="preserve">SequenceNumber</w:t>
            </w:r>
          </w:p>
        </w:tc>
        <w:tc>
          <w:tcPr>
            <w:tcW w:w="2976" w:type="dxa"/>
            <w:tcBorders>
              <w:top w:val="single" w:sz="4" w:space="0" w:color="auto"/>
              <w:left w:val="single" w:sz="4" w:space="0" w:color="auto"/>
              <w:bottom w:val="single" w:sz="4" w:space="0" w:color="auto"/>
              <w:right w:val="single" w:sz="4" w:space="0" w:color="auto"/>
            </w:tcBorders>
          </w:tcPr>
          <w:p w14:paraId="0F112E2A">
            <w:pPr>
              <w:pStyle w:val="TableText"/>
            </w:pPr>
            <w:r>
              <w:rPr>
                <w:rStyle w:val="VARIABLE"/>
              </w:rPr>
              <w:t xml:space="preserve">SequenceNumber</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CDAA7D7">
            <w:pPr>
              <w:pStyle w:val="TableText"/>
            </w:pPr>
            <w:r>
              <w:t xml:space="preserve">10</w:t>
            </w:r>
          </w:p>
        </w:tc>
        <w:tc>
          <w:tcPr>
            <w:tcW w:w="2975" w:type="dxa"/>
            <w:tcBorders>
              <w:top w:val="single" w:sz="4" w:space="0" w:color="auto"/>
              <w:left w:val="single" w:sz="4" w:space="0" w:color="auto"/>
              <w:bottom w:val="single" w:sz="4" w:space="0" w:color="auto"/>
              <w:right w:val="single" w:sz="4" w:space="0" w:color="auto"/>
            </w:tcBorders>
          </w:tcPr>
          <w:p w14:paraId="2B65DAEB">
            <w:pPr>
              <w:pStyle w:val="TableText"/>
            </w:pPr>
            <w:r>
              <w:rPr>
                <w:rStyle w:val="VARIABLE"/>
              </w:rPr>
              <w:t xml:space="preserve">Timestamp</w:t>
            </w:r>
          </w:p>
        </w:tc>
        <w:tc>
          <w:tcPr>
            <w:tcW w:w="2976" w:type="dxa"/>
            <w:tcBorders>
              <w:top w:val="single" w:sz="4" w:space="0" w:color="auto"/>
              <w:left w:val="single" w:sz="4" w:space="0" w:color="auto"/>
              <w:bottom w:val="single" w:sz="4" w:space="0" w:color="auto"/>
              <w:right w:val="single" w:sz="4" w:space="0" w:color="auto"/>
            </w:tcBorders>
          </w:tcPr>
          <w:p w14:paraId="257D351E">
            <w:pPr>
              <w:pStyle w:val="TableText"/>
            </w:pPr>
            <w:r>
              <w:rPr>
                <w:rStyle w:val="VARIABLE"/>
              </w:rPr>
              <w:t xml:space="preserve">Timestamp</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9AD3585">
            <w:pPr>
              <w:pStyle w:val="TableText"/>
            </w:pPr>
            <w:r>
              <w:t xml:space="preserve">11</w:t>
            </w:r>
          </w:p>
        </w:tc>
        <w:tc>
          <w:tcPr>
            <w:tcW w:w="2975" w:type="dxa"/>
            <w:tcBorders>
              <w:top w:val="single" w:sz="4" w:space="0" w:color="auto"/>
              <w:left w:val="single" w:sz="4" w:space="0" w:color="auto"/>
              <w:bottom w:val="single" w:sz="4" w:space="0" w:color="auto"/>
              <w:right w:val="single" w:sz="4" w:space="0" w:color="auto"/>
            </w:tcBorders>
          </w:tcPr>
          <w:p w14:paraId="0BCCC0BE">
            <w:pPr>
              <w:pStyle w:val="TableText"/>
            </w:pPr>
            <w:r>
              <w:rPr>
                <w:rStyle w:val="VARIABLE"/>
              </w:rPr>
              <w:t xml:space="preserve">PicoSeconds</w:t>
            </w:r>
          </w:p>
        </w:tc>
        <w:tc>
          <w:tcPr>
            <w:tcW w:w="2976" w:type="dxa"/>
            <w:tcBorders>
              <w:top w:val="single" w:sz="4" w:space="0" w:color="auto"/>
              <w:left w:val="single" w:sz="4" w:space="0" w:color="auto"/>
              <w:bottom w:val="single" w:sz="4" w:space="0" w:color="auto"/>
              <w:right w:val="single" w:sz="4" w:space="0" w:color="auto"/>
            </w:tcBorders>
          </w:tcPr>
          <w:p w14:paraId="308A8244">
            <w:pPr>
              <w:pStyle w:val="TableText"/>
            </w:pPr>
            <w:r>
              <w:rPr>
                <w:rStyle w:val="VARIABLE"/>
              </w:rPr>
              <w:t xml:space="preserve">PicoSeconds</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9EFC2D5">
            <w:pPr>
              <w:pStyle w:val="TableText"/>
            </w:pPr>
            <w:r>
              <w:t xml:space="preserve">12</w:t>
            </w:r>
          </w:p>
        </w:tc>
        <w:tc>
          <w:tcPr>
            <w:tcW w:w="2975" w:type="dxa"/>
            <w:tcBorders>
              <w:top w:val="single" w:sz="4" w:space="0" w:color="auto"/>
              <w:left w:val="single" w:sz="4" w:space="0" w:color="auto"/>
              <w:bottom w:val="single" w:sz="4" w:space="0" w:color="auto"/>
              <w:right w:val="single" w:sz="4" w:space="0" w:color="auto"/>
            </w:tcBorders>
          </w:tcPr>
          <w:p w14:paraId="0E720A70">
            <w:pPr>
              <w:pStyle w:val="TableText"/>
            </w:pPr>
            <w:r>
              <w:rPr>
                <w:rStyle w:val="VARIABLE"/>
              </w:rPr>
              <w:t xml:space="preserve">PromotedFields</w:t>
            </w:r>
          </w:p>
        </w:tc>
        <w:tc>
          <w:tcPr>
            <w:tcW w:w="2976" w:type="dxa"/>
            <w:tcBorders>
              <w:top w:val="single" w:sz="4" w:space="0" w:color="auto"/>
              <w:left w:val="single" w:sz="4" w:space="0" w:color="auto"/>
              <w:bottom w:val="single" w:sz="4" w:space="0" w:color="auto"/>
              <w:right w:val="single" w:sz="4" w:space="0" w:color="auto"/>
            </w:tcBorders>
          </w:tcPr>
          <w:p w14:paraId="4250905F">
            <w:pPr>
              <w:pStyle w:val="TableText"/>
            </w:pPr>
            <w:r>
              <w:rPr>
                <w:rStyle w:val="VARIABLE"/>
              </w:rPr>
              <w:t xml:space="preserve">PromotedFields</w:t>
            </w:r>
            <w:r>
              <w:t xml:space="preserve"> (</w:t>
            </w:r>
            <w:r>
              <w:fldChar w:fldCharType="begin"/>
            </w:r>
            <w:r>
              <w:instrText xml:space="preserve"> REF _Clause_c6_8_1 \r \h </w:instrText>
            </w:r>
            <w:r>
              <w:fldChar w:fldCharType="separate"/>
            </w:r>
            <w:r>
              <w:rPr>
                <w:noProof/>
              </w:rPr>
              <w:t xml:space="preserve">6.8.1</w:t>
            </w:r>
            <w:r>
              <w:fldChar w:fldCharType="end"/>
            </w:r>
            <w:r>
              <w:t xml:space="preserve">).</w:t>
            </w:r>
          </w:p>
        </w:tc>
      </w:tr>
    </w:tbl>
    <w:p w14:paraId="7EE0A14F">
      <w:pPr>
        <w:pStyle w:val="spacer"/>
      </w:pPr>
    </w:p>
    <w:p w14:paraId="2972E502">
      <w:pPr>
        <w:pStyle w:val="PARAGRAPH"/>
      </w:pPr>
      <w:r>
        <w:rPr>
          <w:rStyle w:val="VARIABLE"/>
        </w:rPr>
        <w:t xml:space="preserve">AvroDataSetMessageContentMask</w:t>
      </w:r>
    </w:p>
    <w:p w14:paraId="5F7E38BB">
      <w:pPr>
        <w:pStyle w:val="TABLE-title"/>
        <w:keepNext/>
      </w:pPr>
      <w:bookmarkStart w:id="532" w:name="_Tab_content_mask_datatypes_tab2"/>
      <w:r>
        <w:t xml:space="preserve">Table </w:t>
      </w:r>
      <w:r>
        <w:fldChar w:fldCharType="begin"/>
      </w:r>
      <w:r>
        <w:instrText xml:space="preserve"> SEQ Table \* ARABIC </w:instrText>
      </w:r>
      <w:r>
        <w:fldChar w:fldCharType="separate"/>
      </w:r>
      <w:r>
        <w:rPr>
          <w:noProof/>
        </w:rPr>
        <w:t xml:space="preserve">8</w:t>
      </w:r>
      <w:r>
        <w:fldChar w:fldCharType="end"/>
      </w:r>
      <w:r>
        <w:t xml:space="preserve"> – Content mask DataTypes (2)</w:t>
      </w:r>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17FF86CF">
            <w:pPr>
              <w:pStyle w:val="TableText"/>
            </w:pPr>
            <w:r>
              <w:t xml:space="preserve">Bit</w:t>
            </w:r>
          </w:p>
        </w:tc>
        <w:tc>
          <w:tcPr>
            <w:tcW w:w="2975" w:type="dxa"/>
            <w:tcBorders>
              <w:top w:val="single" w:sz="4" w:space="0" w:color="auto"/>
              <w:left w:val="single" w:sz="4" w:space="0" w:color="auto"/>
              <w:bottom w:val="double" w:sz="4" w:space="0" w:color="auto"/>
              <w:right w:val="single" w:sz="4" w:space="0" w:color="auto"/>
            </w:tcBorders>
          </w:tcPr>
          <w:p w14:paraId="17632235">
            <w:pPr>
              <w:pStyle w:val="TableText"/>
            </w:pPr>
            <w:r>
              <w:t xml:space="preserve">Name</w:t>
            </w:r>
          </w:p>
        </w:tc>
        <w:tc>
          <w:tcPr>
            <w:tcW w:w="2976" w:type="dxa"/>
            <w:tcBorders>
              <w:top w:val="single" w:sz="4" w:space="0" w:color="auto"/>
              <w:left w:val="single" w:sz="4" w:space="0" w:color="auto"/>
              <w:bottom w:val="double" w:sz="4" w:space="0" w:color="auto"/>
              <w:right w:val="single" w:sz="4" w:space="0" w:color="auto"/>
            </w:tcBorders>
          </w:tcPr>
          <w:p w14:paraId="28A74D9E">
            <w:pPr>
              <w:pStyle w:val="TableText"/>
            </w:pPr>
            <w:r>
              <w:t xml:space="preserve">Selects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C6603C2">
            <w:pPr>
              <w:pStyle w:val="TableText"/>
            </w:pPr>
            <w:r>
              <w:t xml:space="preserve">0</w:t>
            </w:r>
          </w:p>
        </w:tc>
        <w:tc>
          <w:tcPr>
            <w:tcW w:w="2975" w:type="dxa"/>
            <w:tcBorders>
              <w:top w:val="single" w:sz="4" w:space="0" w:color="auto"/>
              <w:left w:val="single" w:sz="4" w:space="0" w:color="auto"/>
              <w:bottom w:val="single" w:sz="4" w:space="0" w:color="auto"/>
              <w:right w:val="single" w:sz="4" w:space="0" w:color="auto"/>
            </w:tcBorders>
          </w:tcPr>
          <w:p w14:paraId="0DC70E19">
            <w:pPr>
              <w:pStyle w:val="TableText"/>
            </w:pPr>
            <w:r>
              <w:rPr>
                <w:rStyle w:val="VARIABLE"/>
              </w:rPr>
              <w:t xml:space="preserve">DataSetWriterId</w:t>
            </w:r>
          </w:p>
        </w:tc>
        <w:tc>
          <w:tcPr>
            <w:tcW w:w="2976" w:type="dxa"/>
            <w:tcBorders>
              <w:top w:val="single" w:sz="4" w:space="0" w:color="auto"/>
              <w:left w:val="single" w:sz="4" w:space="0" w:color="auto"/>
              <w:bottom w:val="single" w:sz="4" w:space="0" w:color="auto"/>
              <w:right w:val="single" w:sz="4" w:space="0" w:color="auto"/>
            </w:tcBorders>
          </w:tcPr>
          <w:p w14:paraId="453DE7E0">
            <w:pPr>
              <w:pStyle w:val="TableText"/>
            </w:pPr>
            <w:r>
              <w:rPr>
                <w:rStyle w:val="VARIABLE"/>
              </w:rPr>
              <w:t xml:space="preserve">DataSetWriterId</w:t>
            </w:r>
            <w:r>
              <w:t xml:space="preserve">. Always required (</w:t>
            </w:r>
            <w:r>
              <w:fldChar w:fldCharType="begin"/>
            </w:r>
            <w:r>
              <w:instrText xml:space="preserve"> REF _Clause_c6_8_2 \r \h </w:instrText>
            </w:r>
            <w:r>
              <w:fldChar w:fldCharType="separate"/>
            </w:r>
            <w:r>
              <w:rPr>
                <w:noProof/>
              </w:rPr>
              <w:t xml:space="preserve">6.8.2</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F509C42">
            <w:pPr>
              <w:pStyle w:val="TableText"/>
            </w:pPr>
            <w:r>
              <w:t xml:space="preserve">1</w:t>
            </w:r>
          </w:p>
        </w:tc>
        <w:tc>
          <w:tcPr>
            <w:tcW w:w="2975" w:type="dxa"/>
            <w:tcBorders>
              <w:top w:val="single" w:sz="4" w:space="0" w:color="auto"/>
              <w:left w:val="single" w:sz="4" w:space="0" w:color="auto"/>
              <w:bottom w:val="single" w:sz="4" w:space="0" w:color="auto"/>
              <w:right w:val="single" w:sz="4" w:space="0" w:color="auto"/>
            </w:tcBorders>
          </w:tcPr>
          <w:p w14:paraId="5EC7AEF2">
            <w:pPr>
              <w:pStyle w:val="TableText"/>
            </w:pPr>
            <w:r>
              <w:rPr>
                <w:rStyle w:val="VARIABLE"/>
              </w:rPr>
              <w:t xml:space="preserve">MessageType</w:t>
            </w:r>
          </w:p>
        </w:tc>
        <w:tc>
          <w:tcPr>
            <w:tcW w:w="2976" w:type="dxa"/>
            <w:tcBorders>
              <w:top w:val="single" w:sz="4" w:space="0" w:color="auto"/>
              <w:left w:val="single" w:sz="4" w:space="0" w:color="auto"/>
              <w:bottom w:val="single" w:sz="4" w:space="0" w:color="auto"/>
              <w:right w:val="single" w:sz="4" w:space="0" w:color="auto"/>
            </w:tcBorders>
          </w:tcPr>
          <w:p w14:paraId="3779FC5D">
            <w:pPr>
              <w:pStyle w:val="TableText"/>
            </w:pPr>
            <w:r>
              <w:t xml:space="preserve">The DataSetMessage type. Always required (</w:t>
            </w:r>
            <w:r>
              <w:fldChar w:fldCharType="begin"/>
            </w:r>
            <w:r>
              <w:instrText xml:space="preserve"> REF _Clause_c6_8_2 \r \h </w:instrText>
            </w:r>
            <w:r>
              <w:fldChar w:fldCharType="separate"/>
            </w:r>
            <w:r>
              <w:rPr>
                <w:noProof/>
              </w:rPr>
              <w:t xml:space="preserve">6.8.2</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D5F3910">
            <w:pPr>
              <w:pStyle w:val="TableText"/>
            </w:pPr>
            <w:r>
              <w:t xml:space="preserve">2</w:t>
            </w:r>
          </w:p>
        </w:tc>
        <w:tc>
          <w:tcPr>
            <w:tcW w:w="2975" w:type="dxa"/>
            <w:tcBorders>
              <w:top w:val="single" w:sz="4" w:space="0" w:color="auto"/>
              <w:left w:val="single" w:sz="4" w:space="0" w:color="auto"/>
              <w:bottom w:val="single" w:sz="4" w:space="0" w:color="auto"/>
              <w:right w:val="single" w:sz="4" w:space="0" w:color="auto"/>
            </w:tcBorders>
          </w:tcPr>
          <w:p w14:paraId="3A9585E5">
            <w:pPr>
              <w:pStyle w:val="TableText"/>
            </w:pPr>
            <w:r>
              <w:rPr>
                <w:rStyle w:val="VARIABLE"/>
              </w:rPr>
              <w:t xml:space="preserve">MajorVersion</w:t>
            </w:r>
          </w:p>
        </w:tc>
        <w:tc>
          <w:tcPr>
            <w:tcW w:w="2976" w:type="dxa"/>
            <w:tcBorders>
              <w:top w:val="single" w:sz="4" w:space="0" w:color="auto"/>
              <w:left w:val="single" w:sz="4" w:space="0" w:color="auto"/>
              <w:bottom w:val="single" w:sz="4" w:space="0" w:color="auto"/>
              <w:right w:val="single" w:sz="4" w:space="0" w:color="auto"/>
            </w:tcBorders>
          </w:tcPr>
          <w:p w14:paraId="10C9FE08">
            <w:pPr>
              <w:pStyle w:val="TableText"/>
            </w:pPr>
            <w:r>
              <w:t xml:space="preserve">ConfigurationVersion major part.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5832FF3">
            <w:pPr>
              <w:pStyle w:val="TableText"/>
            </w:pPr>
            <w:r>
              <w:t xml:space="preserve">3</w:t>
            </w:r>
          </w:p>
        </w:tc>
        <w:tc>
          <w:tcPr>
            <w:tcW w:w="2975" w:type="dxa"/>
            <w:tcBorders>
              <w:top w:val="single" w:sz="4" w:space="0" w:color="auto"/>
              <w:left w:val="single" w:sz="4" w:space="0" w:color="auto"/>
              <w:bottom w:val="single" w:sz="4" w:space="0" w:color="auto"/>
              <w:right w:val="single" w:sz="4" w:space="0" w:color="auto"/>
            </w:tcBorders>
          </w:tcPr>
          <w:p w14:paraId="0C983C55">
            <w:pPr>
              <w:pStyle w:val="TableText"/>
            </w:pPr>
            <w:r>
              <w:rPr>
                <w:rStyle w:val="VARIABLE"/>
              </w:rPr>
              <w:t xml:space="preserve">MinorVersion</w:t>
            </w:r>
          </w:p>
        </w:tc>
        <w:tc>
          <w:tcPr>
            <w:tcW w:w="2976" w:type="dxa"/>
            <w:tcBorders>
              <w:top w:val="single" w:sz="4" w:space="0" w:color="auto"/>
              <w:left w:val="single" w:sz="4" w:space="0" w:color="auto"/>
              <w:bottom w:val="single" w:sz="4" w:space="0" w:color="auto"/>
              <w:right w:val="single" w:sz="4" w:space="0" w:color="auto"/>
            </w:tcBorders>
          </w:tcPr>
          <w:p w14:paraId="08196D7B">
            <w:pPr>
              <w:pStyle w:val="TableText"/>
            </w:pPr>
            <w:r>
              <w:t xml:space="preserve">ConfigurationVersion minor part.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82182D0">
            <w:pPr>
              <w:pStyle w:val="TableText"/>
            </w:pPr>
            <w:r>
              <w:t xml:space="preserve">4</w:t>
            </w:r>
          </w:p>
        </w:tc>
        <w:tc>
          <w:tcPr>
            <w:tcW w:w="2975" w:type="dxa"/>
            <w:tcBorders>
              <w:top w:val="single" w:sz="4" w:space="0" w:color="auto"/>
              <w:left w:val="single" w:sz="4" w:space="0" w:color="auto"/>
              <w:bottom w:val="single" w:sz="4" w:space="0" w:color="auto"/>
              <w:right w:val="single" w:sz="4" w:space="0" w:color="auto"/>
            </w:tcBorders>
          </w:tcPr>
          <w:p w14:paraId="3AA549A1">
            <w:pPr>
              <w:pStyle w:val="TableText"/>
            </w:pPr>
            <w:r>
              <w:rPr>
                <w:rStyle w:val="VARIABLE"/>
              </w:rPr>
              <w:t xml:space="preserve">SequenceNumber</w:t>
            </w:r>
          </w:p>
        </w:tc>
        <w:tc>
          <w:tcPr>
            <w:tcW w:w="2976" w:type="dxa"/>
            <w:tcBorders>
              <w:top w:val="single" w:sz="4" w:space="0" w:color="auto"/>
              <w:left w:val="single" w:sz="4" w:space="0" w:color="auto"/>
              <w:bottom w:val="single" w:sz="4" w:space="0" w:color="auto"/>
              <w:right w:val="single" w:sz="4" w:space="0" w:color="auto"/>
            </w:tcBorders>
          </w:tcPr>
          <w:p w14:paraId="2D090E8F">
            <w:pPr>
              <w:pStyle w:val="TableText"/>
            </w:pPr>
            <w:r>
              <w:rPr>
                <w:rStyle w:val="VARIABLE"/>
              </w:rPr>
              <w:t xml:space="preserve">SequenceNumber</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00CD9A5">
            <w:pPr>
              <w:pStyle w:val="TableText"/>
            </w:pPr>
            <w:r>
              <w:t xml:space="preserve">5</w:t>
            </w:r>
          </w:p>
        </w:tc>
        <w:tc>
          <w:tcPr>
            <w:tcW w:w="2975" w:type="dxa"/>
            <w:tcBorders>
              <w:top w:val="single" w:sz="4" w:space="0" w:color="auto"/>
              <w:left w:val="single" w:sz="4" w:space="0" w:color="auto"/>
              <w:bottom w:val="single" w:sz="4" w:space="0" w:color="auto"/>
              <w:right w:val="single" w:sz="4" w:space="0" w:color="auto"/>
            </w:tcBorders>
          </w:tcPr>
          <w:p w14:paraId="1043421A">
            <w:pPr>
              <w:pStyle w:val="TableText"/>
            </w:pPr>
            <w:r>
              <w:rPr>
                <w:rStyle w:val="VARIABLE"/>
              </w:rPr>
              <w:t xml:space="preserve">Timestamp</w:t>
            </w:r>
          </w:p>
        </w:tc>
        <w:tc>
          <w:tcPr>
            <w:tcW w:w="2976" w:type="dxa"/>
            <w:tcBorders>
              <w:top w:val="single" w:sz="4" w:space="0" w:color="auto"/>
              <w:left w:val="single" w:sz="4" w:space="0" w:color="auto"/>
              <w:bottom w:val="single" w:sz="4" w:space="0" w:color="auto"/>
              <w:right w:val="single" w:sz="4" w:space="0" w:color="auto"/>
            </w:tcBorders>
          </w:tcPr>
          <w:p w14:paraId="783FC81D">
            <w:pPr>
              <w:pStyle w:val="TableText"/>
            </w:pPr>
            <w:r>
              <w:rPr>
                <w:rStyle w:val="VARIABLE"/>
              </w:rPr>
              <w:t xml:space="preserve">Timestamp</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ADF4AA1">
            <w:pPr>
              <w:pStyle w:val="TableText"/>
            </w:pPr>
            <w:r>
              <w:t xml:space="preserve">6</w:t>
            </w:r>
          </w:p>
        </w:tc>
        <w:tc>
          <w:tcPr>
            <w:tcW w:w="2975" w:type="dxa"/>
            <w:tcBorders>
              <w:top w:val="single" w:sz="4" w:space="0" w:color="auto"/>
              <w:left w:val="single" w:sz="4" w:space="0" w:color="auto"/>
              <w:bottom w:val="single" w:sz="4" w:space="0" w:color="auto"/>
              <w:right w:val="single" w:sz="4" w:space="0" w:color="auto"/>
            </w:tcBorders>
          </w:tcPr>
          <w:p w14:paraId="6C5B4179">
            <w:pPr>
              <w:pStyle w:val="TableText"/>
            </w:pPr>
            <w:r>
              <w:rPr>
                <w:rStyle w:val="VARIABLE"/>
              </w:rPr>
              <w:t xml:space="preserve">PicoSeconds</w:t>
            </w:r>
          </w:p>
        </w:tc>
        <w:tc>
          <w:tcPr>
            <w:tcW w:w="2976" w:type="dxa"/>
            <w:tcBorders>
              <w:top w:val="single" w:sz="4" w:space="0" w:color="auto"/>
              <w:left w:val="single" w:sz="4" w:space="0" w:color="auto"/>
              <w:bottom w:val="single" w:sz="4" w:space="0" w:color="auto"/>
              <w:right w:val="single" w:sz="4" w:space="0" w:color="auto"/>
            </w:tcBorders>
          </w:tcPr>
          <w:p w14:paraId="5420FE22">
            <w:pPr>
              <w:pStyle w:val="TableText"/>
            </w:pPr>
            <w:r>
              <w:rPr>
                <w:rStyle w:val="VARIABLE"/>
              </w:rPr>
              <w:t xml:space="preserve">PicoSeconds</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7DB93FE">
            <w:pPr>
              <w:pStyle w:val="TableText"/>
            </w:pPr>
            <w:r>
              <w:t xml:space="preserve">7</w:t>
            </w:r>
          </w:p>
        </w:tc>
        <w:tc>
          <w:tcPr>
            <w:tcW w:w="2975" w:type="dxa"/>
            <w:tcBorders>
              <w:top w:val="single" w:sz="4" w:space="0" w:color="auto"/>
              <w:left w:val="single" w:sz="4" w:space="0" w:color="auto"/>
              <w:bottom w:val="single" w:sz="4" w:space="0" w:color="auto"/>
              <w:right w:val="single" w:sz="4" w:space="0" w:color="auto"/>
            </w:tcBorders>
          </w:tcPr>
          <w:p w14:paraId="29E992C9">
            <w:pPr>
              <w:pStyle w:val="TableText"/>
            </w:pPr>
            <w:r>
              <w:rPr>
                <w:rStyle w:val="VARIABLE"/>
              </w:rPr>
              <w:t xml:space="preserve">Status</w:t>
            </w:r>
          </w:p>
        </w:tc>
        <w:tc>
          <w:tcPr>
            <w:tcW w:w="2976" w:type="dxa"/>
            <w:tcBorders>
              <w:top w:val="single" w:sz="4" w:space="0" w:color="auto"/>
              <w:left w:val="single" w:sz="4" w:space="0" w:color="auto"/>
              <w:bottom w:val="single" w:sz="4" w:space="0" w:color="auto"/>
              <w:right w:val="single" w:sz="4" w:space="0" w:color="auto"/>
            </w:tcBorders>
          </w:tcPr>
          <w:p w14:paraId="6E8A02D7">
            <w:pPr>
              <w:pStyle w:val="TableText"/>
            </w:pPr>
            <w:r>
              <w:rPr>
                <w:rStyle w:val="VARIABLE"/>
              </w:rPr>
              <w:t xml:space="preserve">Status</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F6415B1">
            <w:pPr>
              <w:pStyle w:val="TableText"/>
            </w:pPr>
            <w:r>
              <w:t xml:space="preserve">8</w:t>
            </w:r>
          </w:p>
        </w:tc>
        <w:tc>
          <w:tcPr>
            <w:tcW w:w="2975" w:type="dxa"/>
            <w:tcBorders>
              <w:top w:val="single" w:sz="4" w:space="0" w:color="auto"/>
              <w:left w:val="single" w:sz="4" w:space="0" w:color="auto"/>
              <w:bottom w:val="single" w:sz="4" w:space="0" w:color="auto"/>
              <w:right w:val="single" w:sz="4" w:space="0" w:color="auto"/>
            </w:tcBorders>
          </w:tcPr>
          <w:p w14:paraId="0F6D5975">
            <w:pPr>
              <w:pStyle w:val="TableText"/>
            </w:pPr>
            <w:r>
              <w:rPr>
                <w:rStyle w:val="VARIABLE"/>
              </w:rPr>
              <w:t xml:space="preserve">SchemaId</w:t>
            </w:r>
          </w:p>
        </w:tc>
        <w:tc>
          <w:tcPr>
            <w:tcW w:w="2976" w:type="dxa"/>
            <w:tcBorders>
              <w:top w:val="single" w:sz="4" w:space="0" w:color="auto"/>
              <w:left w:val="single" w:sz="4" w:space="0" w:color="auto"/>
              <w:bottom w:val="single" w:sz="4" w:space="0" w:color="auto"/>
              <w:right w:val="single" w:sz="4" w:space="0" w:color="auto"/>
            </w:tcBorders>
          </w:tcPr>
          <w:p w14:paraId="120E9FA0">
            <w:pPr>
              <w:pStyle w:val="TableText"/>
            </w:pPr>
            <w:r>
              <w:t xml:space="preserve">The DataSet SchemaId in the DataSetMessage header (</w:t>
            </w:r>
            <w:r>
              <w:fldChar w:fldCharType="begin"/>
            </w:r>
            <w:r>
              <w:instrText xml:space="preserve"> REF _Clause_c6_8_4 \r \h </w:instrText>
            </w:r>
            <w:r>
              <w:fldChar w:fldCharType="separate"/>
            </w:r>
            <w:r>
              <w:rPr>
                <w:noProof/>
              </w:rPr>
              <w:t xml:space="preserve">6.8.4</w:t>
            </w:r>
            <w:r>
              <w:fldChar w:fldCharType="end"/>
            </w:r>
            <w:r>
              <w:t xml:space="preserve">).</w:t>
            </w:r>
          </w:p>
        </w:tc>
      </w:tr>
    </w:tbl>
    <w:p w14:paraId="66097B2D">
      <w:pPr>
        <w:pStyle w:val="spacer"/>
      </w:pPr>
    </w:p>
    <w:p w14:paraId="3567F41F">
      <w:pPr>
        <w:pStyle w:val="Heading3"/>
      </w:pPr>
      <w:bookmarkStart w:id="533" w:name="_Clause_c6_9_3"/>
      <w:r>
        <w:t xml:space="preserve">MessageSettings DataTypes</w:t>
      </w:r>
      <w:bookmarkEnd w:id="533"/>
    </w:p>
    <w:p w14:paraId="1CB3196B">
      <w:pPr>
        <w:pStyle w:val="PARAGRAPH"/>
      </w:pPr>
      <w:r>
        <w:t xml:space="preserve">The parameters of </w:t>
      </w:r>
      <w:r>
        <w:fldChar w:fldCharType="begin"/>
      </w:r>
      <w:r>
        <w:instrText xml:space="preserve"> REF _Clause_c6_8_5 \r \h </w:instrText>
      </w:r>
      <w:r>
        <w:fldChar w:fldCharType="separate"/>
      </w:r>
      <w:r>
        <w:rPr>
          <w:noProof/>
        </w:rPr>
        <w:t xml:space="preserve">6.8.5</w:t>
      </w:r>
      <w:r>
        <w:fldChar w:fldCharType="end"/>
      </w:r>
      <w:r>
        <w:t xml:space="preserve"> are carried as fields of these DataTypes.</w:t>
      </w:r>
    </w:p>
    <w:p w14:paraId="6D80D201">
      <w:pPr>
        <w:pStyle w:val="PARAGRAPH"/>
      </w:pPr>
      <w:r>
        <w:rPr>
          <w:rStyle w:val="VARIABLE"/>
        </w:rPr>
        <w:t xml:space="preserve">AvroWriterGroupMessageDataType</w:t>
      </w:r>
      <w:r>
        <w:t xml:space="preserve"> — subtype of </w:t>
      </w:r>
      <w:r>
        <w:rPr>
          <w:rStyle w:val="VARIABLE"/>
        </w:rPr>
        <w:t xml:space="preserve">WriterGroupMessageDataType</w:t>
      </w:r>
    </w:p>
    <w:p w14:paraId="0F27F7A7">
      <w:pPr>
        <w:pStyle w:val="TABLE-title"/>
        <w:keepNext/>
      </w:pPr>
      <w:bookmarkStart w:id="534" w:name="_Tab_messagesettings_datatypes_tab1"/>
      <w:r>
        <w:t xml:space="preserve">Table </w:t>
      </w:r>
      <w:r>
        <w:fldChar w:fldCharType="begin"/>
      </w:r>
      <w:r>
        <w:instrText xml:space="preserve"> SEQ Table \* ARABIC </w:instrText>
      </w:r>
      <w:r>
        <w:fldChar w:fldCharType="separate"/>
      </w:r>
      <w:r>
        <w:rPr>
          <w:noProof/>
        </w:rPr>
        <w:t xml:space="preserve">9</w:t>
      </w:r>
      <w:r>
        <w:fldChar w:fldCharType="end"/>
      </w:r>
      <w:r>
        <w:t xml:space="preserve"> – MessageSettings DataTypes</w:t>
      </w:r>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7B55D393">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70AAB1FF">
            <w:pPr>
              <w:pStyle w:val="TableText"/>
            </w:pPr>
            <w:r>
              <w:t xml:space="preserve">DataType</w:t>
            </w:r>
          </w:p>
        </w:tc>
        <w:tc>
          <w:tcPr>
            <w:tcW w:w="2976" w:type="dxa"/>
            <w:tcBorders>
              <w:top w:val="single" w:sz="4" w:space="0" w:color="auto"/>
              <w:left w:val="single" w:sz="4" w:space="0" w:color="auto"/>
              <w:bottom w:val="double" w:sz="4" w:space="0" w:color="auto"/>
              <w:right w:val="single" w:sz="4" w:space="0" w:color="auto"/>
            </w:tcBorders>
          </w:tcPr>
          <w:p w14:paraId="32068D88">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175ECB7">
            <w:pPr>
              <w:pStyle w:val="TableText"/>
            </w:pPr>
            <w:r>
              <w:rPr>
                <w:rStyle w:val="VARIABLE"/>
              </w:rPr>
              <w:t xml:space="preserve">NetworkMessageContentMask</w:t>
            </w:r>
          </w:p>
        </w:tc>
        <w:tc>
          <w:tcPr>
            <w:tcW w:w="2975" w:type="dxa"/>
            <w:tcBorders>
              <w:top w:val="single" w:sz="4" w:space="0" w:color="auto"/>
              <w:left w:val="single" w:sz="4" w:space="0" w:color="auto"/>
              <w:bottom w:val="single" w:sz="4" w:space="0" w:color="auto"/>
              <w:right w:val="single" w:sz="4" w:space="0" w:color="auto"/>
            </w:tcBorders>
          </w:tcPr>
          <w:p w14:paraId="6A6944EA">
            <w:pPr>
              <w:pStyle w:val="TableText"/>
            </w:pPr>
            <w:r>
              <w:rPr>
                <w:rStyle w:val="VARIABLE"/>
              </w:rPr>
              <w:t xml:space="preserve">AvroNetworkMessageContentMask</w:t>
            </w:r>
          </w:p>
        </w:tc>
        <w:tc>
          <w:tcPr>
            <w:tcW w:w="2976" w:type="dxa"/>
            <w:tcBorders>
              <w:top w:val="single" w:sz="4" w:space="0" w:color="auto"/>
              <w:left w:val="single" w:sz="4" w:space="0" w:color="auto"/>
              <w:bottom w:val="single" w:sz="4" w:space="0" w:color="auto"/>
              <w:right w:val="single" w:sz="4" w:space="0" w:color="auto"/>
            </w:tcBorders>
          </w:tcPr>
          <w:p w14:paraId="242EC6FA">
            <w:pPr>
              <w:pStyle w:val="TableText"/>
            </w:pPr>
            <w:r>
              <w:t xml:space="preserve">Envelope fields to populate (</w:t>
            </w:r>
            <w:r>
              <w:fldChar w:fldCharType="begin"/>
            </w:r>
            <w:r>
              <w:instrText xml:space="preserve"> REF _Clause_c6_9_2 \r \h </w:instrText>
            </w:r>
            <w:r>
              <w:fldChar w:fldCharType="separate"/>
            </w:r>
            <w:r>
              <w:rPr>
                <w:noProof/>
              </w:rPr>
              <w:t xml:space="preserve">6.9.2</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609E1E5">
            <w:pPr>
              <w:pStyle w:val="TableText"/>
            </w:pPr>
            <w:r>
              <w:rPr>
                <w:rStyle w:val="VARIABLE"/>
              </w:rPr>
              <w:t xml:space="preserve">AvroSchemaUri</w:t>
            </w:r>
          </w:p>
        </w:tc>
        <w:tc>
          <w:tcPr>
            <w:tcW w:w="2975" w:type="dxa"/>
            <w:tcBorders>
              <w:top w:val="single" w:sz="4" w:space="0" w:color="auto"/>
              <w:left w:val="single" w:sz="4" w:space="0" w:color="auto"/>
              <w:bottom w:val="single" w:sz="4" w:space="0" w:color="auto"/>
              <w:right w:val="single" w:sz="4" w:space="0" w:color="auto"/>
            </w:tcBorders>
          </w:tcPr>
          <w:p w14:paraId="3E90D23D">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14:paraId="574F0B4C">
            <w:pPr>
              <w:pStyle w:val="TableText"/>
            </w:pPr>
            <w:r>
              <w:t xml:space="preserve">Optional URI of the schema registry or catalog serving this group's schemas (</w:t>
            </w:r>
            <w:r>
              <w:t xml:space="preserve">§8.4</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5960BDA">
            <w:pPr>
              <w:pStyle w:val="TableText"/>
            </w:pPr>
            <w:r>
              <w:rPr>
                <w:rStyle w:val="VARIABLE"/>
              </w:rPr>
              <w:t xml:space="preserve">AvroUseObjectContainerFile</w:t>
            </w:r>
          </w:p>
        </w:tc>
        <w:tc>
          <w:tcPr>
            <w:tcW w:w="2975" w:type="dxa"/>
            <w:tcBorders>
              <w:top w:val="single" w:sz="4" w:space="0" w:color="auto"/>
              <w:left w:val="single" w:sz="4" w:space="0" w:color="auto"/>
              <w:bottom w:val="single" w:sz="4" w:space="0" w:color="auto"/>
              <w:right w:val="single" w:sz="4" w:space="0" w:color="auto"/>
            </w:tcBorders>
          </w:tcPr>
          <w:p w14:paraId="6A963B6A">
            <w:pPr>
              <w:pStyle w:val="TableText"/>
            </w:pPr>
            <w:r>
              <w:t xml:space="preserve">Boolean</w:t>
            </w:r>
          </w:p>
        </w:tc>
        <w:tc>
          <w:tcPr>
            <w:tcW w:w="2976" w:type="dxa"/>
            <w:tcBorders>
              <w:top w:val="single" w:sz="4" w:space="0" w:color="auto"/>
              <w:left w:val="single" w:sz="4" w:space="0" w:color="auto"/>
              <w:bottom w:val="single" w:sz="4" w:space="0" w:color="auto"/>
              <w:right w:val="single" w:sz="4" w:space="0" w:color="auto"/>
            </w:tcBorders>
          </w:tcPr>
          <w:p w14:paraId="1739211A">
            <w:pPr>
              <w:pStyle w:val="TableText"/>
            </w:pPr>
            <w:r>
              <w:t xml:space="preserve">False for PubSub network payloads by default; true only for transports that explicitly carry Avro object container files.</w:t>
            </w:r>
          </w:p>
        </w:tc>
      </w:tr>
    </w:tbl>
    <w:p w14:paraId="669BDA8A">
      <w:pPr>
        <w:pStyle w:val="spacer"/>
      </w:pPr>
    </w:p>
    <w:p w14:paraId="311C1FDE">
      <w:pPr>
        <w:pStyle w:val="PARAGRAPH"/>
      </w:pPr>
      <w:r>
        <w:rPr>
          <w:rStyle w:val="VARIABLE"/>
        </w:rPr>
        <w:t xml:space="preserve">AvroDataSetWriterMessageDataType</w:t>
      </w:r>
      <w:r>
        <w:t xml:space="preserve"> — subtype of </w:t>
      </w:r>
      <w:r>
        <w:rPr>
          <w:rStyle w:val="VARIABLE"/>
        </w:rPr>
        <w:t xml:space="preserve">DataSetWriterMessageDataType</w:t>
      </w:r>
    </w:p>
    <w:p w14:paraId="4E9B02E0">
      <w:pPr>
        <w:pStyle w:val="TABLE-title"/>
        <w:keepNext/>
      </w:pPr>
      <w:bookmarkStart w:id="535" w:name="_Tab_messagesettings_datatypes_tab2"/>
      <w:r>
        <w:t xml:space="preserve">Table </w:t>
      </w:r>
      <w:r>
        <w:fldChar w:fldCharType="begin"/>
      </w:r>
      <w:r>
        <w:instrText xml:space="preserve"> SEQ Table \* ARABIC </w:instrText>
      </w:r>
      <w:r>
        <w:fldChar w:fldCharType="separate"/>
      </w:r>
      <w:r>
        <w:rPr>
          <w:noProof/>
        </w:rPr>
        <w:t xml:space="preserve">10</w:t>
      </w:r>
      <w:r>
        <w:fldChar w:fldCharType="end"/>
      </w:r>
      <w:r>
        <w:t xml:space="preserve"> – MessageSettings DataTypes (2)</w:t>
      </w:r>
      <w:bookmarkEnd w:id="5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6714F4A">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232A4DC6">
            <w:pPr>
              <w:pStyle w:val="TableText"/>
            </w:pPr>
            <w:r>
              <w:t xml:space="preserve">DataType</w:t>
            </w:r>
          </w:p>
        </w:tc>
        <w:tc>
          <w:tcPr>
            <w:tcW w:w="2976" w:type="dxa"/>
            <w:tcBorders>
              <w:top w:val="single" w:sz="4" w:space="0" w:color="auto"/>
              <w:left w:val="single" w:sz="4" w:space="0" w:color="auto"/>
              <w:bottom w:val="double" w:sz="4" w:space="0" w:color="auto"/>
              <w:right w:val="single" w:sz="4" w:space="0" w:color="auto"/>
            </w:tcBorders>
          </w:tcPr>
          <w:p w14:paraId="612DDD34">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EACD712">
            <w:pPr>
              <w:pStyle w:val="TableText"/>
            </w:pPr>
            <w:r>
              <w:rPr>
                <w:rStyle w:val="VARIABLE"/>
              </w:rPr>
              <w:t xml:space="preserve">DataSetMessageContentMask</w:t>
            </w:r>
          </w:p>
        </w:tc>
        <w:tc>
          <w:tcPr>
            <w:tcW w:w="2975" w:type="dxa"/>
            <w:tcBorders>
              <w:top w:val="single" w:sz="4" w:space="0" w:color="auto"/>
              <w:left w:val="single" w:sz="4" w:space="0" w:color="auto"/>
              <w:bottom w:val="single" w:sz="4" w:space="0" w:color="auto"/>
              <w:right w:val="single" w:sz="4" w:space="0" w:color="auto"/>
            </w:tcBorders>
          </w:tcPr>
          <w:p w14:paraId="2F672044">
            <w:pPr>
              <w:pStyle w:val="TableText"/>
            </w:pPr>
            <w:r>
              <w:rPr>
                <w:rStyle w:val="VARIABLE"/>
              </w:rPr>
              <w:t xml:space="preserve">AvroDataSetMessageContentMask</w:t>
            </w:r>
          </w:p>
        </w:tc>
        <w:tc>
          <w:tcPr>
            <w:tcW w:w="2976" w:type="dxa"/>
            <w:tcBorders>
              <w:top w:val="single" w:sz="4" w:space="0" w:color="auto"/>
              <w:left w:val="single" w:sz="4" w:space="0" w:color="auto"/>
              <w:bottom w:val="single" w:sz="4" w:space="0" w:color="auto"/>
              <w:right w:val="single" w:sz="4" w:space="0" w:color="auto"/>
            </w:tcBorders>
          </w:tcPr>
          <w:p w14:paraId="1A8F1A61">
            <w:pPr>
              <w:pStyle w:val="TableText"/>
            </w:pPr>
            <w:r>
              <w:t xml:space="preserve">DataSetMessage header fields to populate (</w:t>
            </w:r>
            <w:r>
              <w:fldChar w:fldCharType="begin"/>
            </w:r>
            <w:r>
              <w:instrText xml:space="preserve"> REF _Clause_c6_9_2 \r \h </w:instrText>
            </w:r>
            <w:r>
              <w:fldChar w:fldCharType="separate"/>
            </w:r>
            <w:r>
              <w:rPr>
                <w:noProof/>
              </w:rPr>
              <w:t xml:space="preserve">6.9.2</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1AE2186">
            <w:pPr>
              <w:pStyle w:val="TableText"/>
            </w:pPr>
            <w:r>
              <w:rPr>
                <w:rStyle w:val="VARIABLE"/>
              </w:rPr>
              <w:t xml:space="preserve">AvroSchemaId</w:t>
            </w:r>
          </w:p>
        </w:tc>
        <w:tc>
          <w:tcPr>
            <w:tcW w:w="2975" w:type="dxa"/>
            <w:tcBorders>
              <w:top w:val="single" w:sz="4" w:space="0" w:color="auto"/>
              <w:left w:val="single" w:sz="4" w:space="0" w:color="auto"/>
              <w:bottom w:val="single" w:sz="4" w:space="0" w:color="auto"/>
              <w:right w:val="single" w:sz="4" w:space="0" w:color="auto"/>
            </w:tcBorders>
          </w:tcPr>
          <w:p w14:paraId="60703B81">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14:paraId="08F6A3C5">
            <w:pPr>
              <w:pStyle w:val="TableText"/>
            </w:pPr>
            <w:r>
              <w:t xml:space="preserve">The SchemaId of the DataSet schema currently published by this writer (</w:t>
            </w:r>
            <w:r>
              <w:fldChar w:fldCharType="begin"/>
            </w:r>
            <w:r>
              <w:instrText xml:space="preserve"> REF _Clause_c6_6_3 \r \h </w:instrText>
            </w:r>
            <w:r>
              <w:fldChar w:fldCharType="separate"/>
            </w:r>
            <w:r>
              <w:rPr>
                <w:noProof/>
              </w:rPr>
              <w:t xml:space="preserve">6.6.3</w:t>
            </w:r>
            <w:r>
              <w:fldChar w:fldCharType="end"/>
            </w:r>
            <w:r>
              <w:t xml:space="preserve">), in little-endian hexadecimal.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FA9E4D0">
            <w:pPr>
              <w:pStyle w:val="TableText"/>
            </w:pPr>
            <w:r>
              <w:rPr>
                <w:rStyle w:val="VARIABLE"/>
              </w:rPr>
              <w:t xml:space="preserve">AvroSchemaHash</w:t>
            </w:r>
          </w:p>
        </w:tc>
        <w:tc>
          <w:tcPr>
            <w:tcW w:w="2975" w:type="dxa"/>
            <w:tcBorders>
              <w:top w:val="single" w:sz="4" w:space="0" w:color="auto"/>
              <w:left w:val="single" w:sz="4" w:space="0" w:color="auto"/>
              <w:bottom w:val="single" w:sz="4" w:space="0" w:color="auto"/>
              <w:right w:val="single" w:sz="4" w:space="0" w:color="auto"/>
            </w:tcBorders>
          </w:tcPr>
          <w:p w14:paraId="26C4BD9F">
            <w:pPr>
              <w:pStyle w:val="TableText"/>
            </w:pPr>
            <w:r>
              <w:t xml:space="preserve">ByteString</w:t>
            </w:r>
          </w:p>
        </w:tc>
        <w:tc>
          <w:tcPr>
            <w:tcW w:w="2976" w:type="dxa"/>
            <w:tcBorders>
              <w:top w:val="single" w:sz="4" w:space="0" w:color="auto"/>
              <w:left w:val="single" w:sz="4" w:space="0" w:color="auto"/>
              <w:bottom w:val="single" w:sz="4" w:space="0" w:color="auto"/>
              <w:right w:val="single" w:sz="4" w:space="0" w:color="auto"/>
            </w:tcBorders>
          </w:tcPr>
          <w:p w14:paraId="573A7526">
            <w:pPr>
              <w:pStyle w:val="TableText"/>
            </w:pPr>
            <w:r>
              <w:t xml:space="preserve">Optional copy of the little-endian CRC-64-AVRO SchemaId bytes for mismatch detection.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1E69AE1">
            <w:pPr>
              <w:pStyle w:val="TableText"/>
            </w:pPr>
            <w:r>
              <w:rPr>
                <w:rStyle w:val="VARIABLE"/>
              </w:rPr>
              <w:t xml:space="preserve">AvroRawDataAllowed</w:t>
            </w:r>
          </w:p>
        </w:tc>
        <w:tc>
          <w:tcPr>
            <w:tcW w:w="2975" w:type="dxa"/>
            <w:tcBorders>
              <w:top w:val="single" w:sz="4" w:space="0" w:color="auto"/>
              <w:left w:val="single" w:sz="4" w:space="0" w:color="auto"/>
              <w:bottom w:val="single" w:sz="4" w:space="0" w:color="auto"/>
              <w:right w:val="single" w:sz="4" w:space="0" w:color="auto"/>
            </w:tcBorders>
          </w:tcPr>
          <w:p w14:paraId="09B760AF">
            <w:pPr>
              <w:pStyle w:val="TableText"/>
            </w:pPr>
            <w:r>
              <w:t xml:space="preserve">Boolean</w:t>
            </w:r>
          </w:p>
        </w:tc>
        <w:tc>
          <w:tcPr>
            <w:tcW w:w="2976" w:type="dxa"/>
            <w:tcBorders>
              <w:top w:val="single" w:sz="4" w:space="0" w:color="auto"/>
              <w:left w:val="single" w:sz="4" w:space="0" w:color="auto"/>
              <w:bottom w:val="single" w:sz="4" w:space="0" w:color="auto"/>
              <w:right w:val="single" w:sz="4" w:space="0" w:color="auto"/>
            </w:tcBorders>
          </w:tcPr>
          <w:p w14:paraId="4351B11F">
            <w:pPr>
              <w:pStyle w:val="TableText"/>
            </w:pPr>
            <w:r>
              <w:t xml:space="preserve">Whether RawData fields may be emitted for this writer (</w:t>
            </w:r>
            <w:r>
              <w:fldChar w:fldCharType="begin"/>
            </w:r>
            <w:r>
              <w:instrText xml:space="preserve"> REF _Clause_c6_8_2 \r \h </w:instrText>
            </w:r>
            <w:r>
              <w:fldChar w:fldCharType="separate"/>
            </w:r>
            <w:r>
              <w:rPr>
                <w:noProof/>
              </w:rPr>
              <w:t xml:space="preserve">6.8.2</w:t>
            </w:r>
            <w:r>
              <w:fldChar w:fldCharType="end"/>
            </w:r>
            <w:r>
              <w:t xml:space="preserve">).</w:t>
            </w:r>
          </w:p>
        </w:tc>
      </w:tr>
    </w:tbl>
    <w:p w14:paraId="622267FE">
      <w:pPr>
        <w:pStyle w:val="spacer"/>
      </w:pPr>
    </w:p>
    <w:p w14:paraId="44215017">
      <w:pPr>
        <w:pStyle w:val="PARAGRAPH"/>
      </w:pPr>
      <w:r>
        <w:rPr>
          <w:rStyle w:val="VARIABLE"/>
        </w:rPr>
        <w:t xml:space="preserve">AvroDataSetReaderMessageDataType</w:t>
      </w:r>
      <w:r>
        <w:t xml:space="preserve"> — subtype of </w:t>
      </w:r>
      <w:r>
        <w:rPr>
          <w:rStyle w:val="VARIABLE"/>
        </w:rPr>
        <w:t xml:space="preserve">DataSetReaderMessageDataType</w:t>
      </w:r>
    </w:p>
    <w:p w14:paraId="6A49FA56">
      <w:pPr>
        <w:pStyle w:val="TABLE-title"/>
        <w:keepNext/>
      </w:pPr>
      <w:bookmarkStart w:id="536" w:name="_Tab_messagesettings_datatypes_tab3"/>
      <w:r>
        <w:t xml:space="preserve">Table </w:t>
      </w:r>
      <w:r>
        <w:fldChar w:fldCharType="begin"/>
      </w:r>
      <w:r>
        <w:instrText xml:space="preserve"> SEQ Table \* ARABIC </w:instrText>
      </w:r>
      <w:r>
        <w:fldChar w:fldCharType="separate"/>
      </w:r>
      <w:r>
        <w:rPr>
          <w:noProof/>
        </w:rPr>
        <w:t xml:space="preserve">11</w:t>
      </w:r>
      <w:r>
        <w:fldChar w:fldCharType="end"/>
      </w:r>
      <w:r>
        <w:t xml:space="preserve"> – MessageSettings DataTypes (3)</w:t>
      </w:r>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04F8172">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35038C35">
            <w:pPr>
              <w:pStyle w:val="TableText"/>
            </w:pPr>
            <w:r>
              <w:t xml:space="preserve">DataType</w:t>
            </w:r>
          </w:p>
        </w:tc>
        <w:tc>
          <w:tcPr>
            <w:tcW w:w="2976" w:type="dxa"/>
            <w:tcBorders>
              <w:top w:val="single" w:sz="4" w:space="0" w:color="auto"/>
              <w:left w:val="single" w:sz="4" w:space="0" w:color="auto"/>
              <w:bottom w:val="double" w:sz="4" w:space="0" w:color="auto"/>
              <w:right w:val="single" w:sz="4" w:space="0" w:color="auto"/>
            </w:tcBorders>
          </w:tcPr>
          <w:p w14:paraId="7CC3A24C">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7C0DFFF">
            <w:pPr>
              <w:pStyle w:val="TableText"/>
            </w:pPr>
            <w:r>
              <w:rPr>
                <w:rStyle w:val="VARIABLE"/>
              </w:rPr>
              <w:t xml:space="preserve">NetworkMessageContentMask</w:t>
            </w:r>
          </w:p>
        </w:tc>
        <w:tc>
          <w:tcPr>
            <w:tcW w:w="2975" w:type="dxa"/>
            <w:tcBorders>
              <w:top w:val="single" w:sz="4" w:space="0" w:color="auto"/>
              <w:left w:val="single" w:sz="4" w:space="0" w:color="auto"/>
              <w:bottom w:val="single" w:sz="4" w:space="0" w:color="auto"/>
              <w:right w:val="single" w:sz="4" w:space="0" w:color="auto"/>
            </w:tcBorders>
          </w:tcPr>
          <w:p w14:paraId="4B18D274">
            <w:pPr>
              <w:pStyle w:val="TableText"/>
            </w:pPr>
            <w:r>
              <w:rPr>
                <w:rStyle w:val="VARIABLE"/>
              </w:rPr>
              <w:t xml:space="preserve">AvroNetworkMessageContentMask</w:t>
            </w:r>
          </w:p>
        </w:tc>
        <w:tc>
          <w:tcPr>
            <w:tcW w:w="2976" w:type="dxa"/>
            <w:tcBorders>
              <w:top w:val="single" w:sz="4" w:space="0" w:color="auto"/>
              <w:left w:val="single" w:sz="4" w:space="0" w:color="auto"/>
              <w:bottom w:val="single" w:sz="4" w:space="0" w:color="auto"/>
              <w:right w:val="single" w:sz="4" w:space="0" w:color="auto"/>
            </w:tcBorders>
          </w:tcPr>
          <w:p w14:paraId="73112E67">
            <w:pPr>
              <w:pStyle w:val="TableText"/>
            </w:pPr>
            <w:r>
              <w:t xml:space="preserve">Envelope fields the reader expects.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57C45EA">
            <w:pPr>
              <w:pStyle w:val="TableText"/>
            </w:pPr>
            <w:r>
              <w:rPr>
                <w:rStyle w:val="VARIABLE"/>
              </w:rPr>
              <w:t xml:space="preserve">DataSetMessageContentMask</w:t>
            </w:r>
          </w:p>
        </w:tc>
        <w:tc>
          <w:tcPr>
            <w:tcW w:w="2975" w:type="dxa"/>
            <w:tcBorders>
              <w:top w:val="single" w:sz="4" w:space="0" w:color="auto"/>
              <w:left w:val="single" w:sz="4" w:space="0" w:color="auto"/>
              <w:bottom w:val="single" w:sz="4" w:space="0" w:color="auto"/>
              <w:right w:val="single" w:sz="4" w:space="0" w:color="auto"/>
            </w:tcBorders>
          </w:tcPr>
          <w:p w14:paraId="7197E0C5">
            <w:pPr>
              <w:pStyle w:val="TableText"/>
            </w:pPr>
            <w:r>
              <w:rPr>
                <w:rStyle w:val="VARIABLE"/>
              </w:rPr>
              <w:t xml:space="preserve">AvroDataSetMessageContentMask</w:t>
            </w:r>
          </w:p>
        </w:tc>
        <w:tc>
          <w:tcPr>
            <w:tcW w:w="2976" w:type="dxa"/>
            <w:tcBorders>
              <w:top w:val="single" w:sz="4" w:space="0" w:color="auto"/>
              <w:left w:val="single" w:sz="4" w:space="0" w:color="auto"/>
              <w:bottom w:val="single" w:sz="4" w:space="0" w:color="auto"/>
              <w:right w:val="single" w:sz="4" w:space="0" w:color="auto"/>
            </w:tcBorders>
          </w:tcPr>
          <w:p w14:paraId="78A0A5A7">
            <w:pPr>
              <w:pStyle w:val="TableText"/>
            </w:pPr>
            <w:r>
              <w:t xml:space="preserve">DataSetMessage header fields the reader expects.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F4A4EA8">
            <w:pPr>
              <w:pStyle w:val="TableText"/>
            </w:pPr>
            <w:r>
              <w:rPr>
                <w:rStyle w:val="VARIABLE"/>
              </w:rPr>
              <w:t xml:space="preserve">AvroSchemaUri</w:t>
            </w:r>
          </w:p>
        </w:tc>
        <w:tc>
          <w:tcPr>
            <w:tcW w:w="2975" w:type="dxa"/>
            <w:tcBorders>
              <w:top w:val="single" w:sz="4" w:space="0" w:color="auto"/>
              <w:left w:val="single" w:sz="4" w:space="0" w:color="auto"/>
              <w:bottom w:val="single" w:sz="4" w:space="0" w:color="auto"/>
              <w:right w:val="single" w:sz="4" w:space="0" w:color="auto"/>
            </w:tcBorders>
          </w:tcPr>
          <w:p w14:paraId="7053C8BF">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14:paraId="08D8676E">
            <w:pPr>
              <w:pStyle w:val="TableText"/>
            </w:pPr>
            <w:r>
              <w:t xml:space="preserve">Optional URI from which the reader resolves schemas by SchemaId (</w:t>
            </w:r>
            <w:r>
              <w:fldChar w:fldCharType="begin"/>
            </w:r>
            <w:r>
              <w:instrText xml:space="preserve"> REF _Clause_c6_7 \r \h </w:instrText>
            </w:r>
            <w:r>
              <w:fldChar w:fldCharType="separate"/>
            </w:r>
            <w:r>
              <w:rPr>
                <w:noProof/>
              </w:rPr>
              <w:t xml:space="preserve">6.7</w:t>
            </w:r>
            <w:r>
              <w:fldChar w:fldCharType="end"/>
            </w:r>
            <w:r>
              <w:t xml:space="preserve">).</w:t>
            </w:r>
          </w:p>
        </w:tc>
      </w:tr>
    </w:tbl>
    <w:p w14:paraId="149BEAC2">
      <w:pPr>
        <w:pStyle w:val="spacer"/>
      </w:pPr>
    </w:p>
    <w:p w14:paraId="07DFDB44">
      <w:pPr>
        <w:pStyle w:val="PARAGRAPH"/>
      </w:pPr>
      <w:r>
        <w:rPr>
          <w:rStyle w:val="VARIABLE"/>
        </w:rPr>
        <w:t xml:space="preserve">AvroSchemaId</w:t>
      </w:r>
      <w:r>
        <w:t xml:space="preserve"> identifies the schema; it does not replace the ConfigurationVersion. A publisher that grows a schema advances both, as defined in </w:t>
      </w:r>
      <w:r>
        <w:fldChar w:fldCharType="begin"/>
      </w:r>
      <w:r>
        <w:instrText xml:space="preserve"> REF _Clause_c6_8_4 \r \h </w:instrText>
      </w:r>
      <w:r>
        <w:fldChar w:fldCharType="separate"/>
      </w:r>
      <w:r>
        <w:rPr>
          <w:noProof/>
        </w:rPr>
        <w:t xml:space="preserve">6.8.4</w:t>
      </w:r>
      <w:r>
        <w:fldChar w:fldCharType="end"/>
      </w:r>
      <w:r>
        <w:t xml:space="preserve">.</w:t>
      </w:r>
    </w:p>
    <w:p w14:paraId="3958F0D7">
      <w:pPr>
        <w:pStyle w:val="Heading3"/>
      </w:pPr>
      <w:bookmarkStart w:id="537" w:name="_Clause_c6_9_4"/>
      <w:r>
        <w:t xml:space="preserve">ObjectTypes</w:t>
      </w:r>
      <w:bookmarkEnd w:id="537"/>
    </w:p>
    <w:p w14:paraId="1C67FC75">
      <w:pPr>
        <w:pStyle w:val="PARAGRAPH"/>
      </w:pPr>
      <w:r>
        <w:t xml:space="preserve">The Information Model representation mirrors the JSON message mapping ObjectTypes. Each has the Properties of the corresponding DataType in </w:t>
      </w:r>
      <w:r>
        <w:fldChar w:fldCharType="begin"/>
      </w:r>
      <w:r>
        <w:instrText xml:space="preserve"> REF _Clause_c6_9_3 \r \h </w:instrText>
      </w:r>
      <w:r>
        <w:fldChar w:fldCharType="separate"/>
      </w:r>
      <w:r>
        <w:rPr>
          <w:noProof/>
        </w:rPr>
        <w:t xml:space="preserve">6.9.3</w:t>
      </w:r>
      <w:r>
        <w:fldChar w:fldCharType="end"/>
      </w:r>
      <w:r>
        <w:t xml:space="preserve">.</w:t>
      </w:r>
    </w:p>
    <w:p w14:paraId="5E48252A">
      <w:pPr>
        <w:pStyle w:val="TABLE-title"/>
        <w:keepNext/>
      </w:pPr>
      <w:bookmarkStart w:id="538" w:name="_Tab_objecttypes_tab1"/>
      <w:r>
        <w:t xml:space="preserve">Table </w:t>
      </w:r>
      <w:r>
        <w:fldChar w:fldCharType="begin"/>
      </w:r>
      <w:r>
        <w:instrText xml:space="preserve"> SEQ Table \* ARABIC </w:instrText>
      </w:r>
      <w:r>
        <w:fldChar w:fldCharType="separate"/>
      </w:r>
      <w:r>
        <w:rPr>
          <w:noProof/>
        </w:rPr>
        <w:t xml:space="preserve">12</w:t>
      </w:r>
      <w:r>
        <w:fldChar w:fldCharType="end"/>
      </w:r>
      <w:r>
        <w:t xml:space="preserve"> – ObjectTypes</w:t>
      </w:r>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0E2133C8">
            <w:pPr>
              <w:pStyle w:val="TableText"/>
            </w:pPr>
            <w:r>
              <w:t xml:space="preserve">ObjectType</w:t>
            </w:r>
          </w:p>
        </w:tc>
        <w:tc>
          <w:tcPr>
            <w:tcW w:w="4463" w:type="dxa"/>
            <w:tcBorders>
              <w:top w:val="single" w:sz="4" w:space="0" w:color="auto"/>
              <w:left w:val="single" w:sz="4" w:space="0" w:color="auto"/>
              <w:bottom w:val="double" w:sz="4" w:space="0" w:color="auto"/>
              <w:right w:val="single" w:sz="4" w:space="0" w:color="auto"/>
            </w:tcBorders>
          </w:tcPr>
          <w:p w14:paraId="0E0349DE">
            <w:pPr>
              <w:pStyle w:val="TableText"/>
            </w:pPr>
            <w:r>
              <w:t xml:space="preserve">Subtype of (OPC 10000-14)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8F1C94">
            <w:pPr>
              <w:pStyle w:val="TableText"/>
            </w:pPr>
            <w:r>
              <w:rPr>
                <w:rStyle w:val="VARIABLE"/>
              </w:rPr>
              <w:t xml:space="preserve">AvroWriterGroupMessageType</w:t>
            </w:r>
          </w:p>
        </w:tc>
        <w:tc>
          <w:tcPr>
            <w:tcW w:w="4463" w:type="dxa"/>
            <w:tcBorders>
              <w:top w:val="single" w:sz="4" w:space="0" w:color="auto"/>
              <w:left w:val="single" w:sz="4" w:space="0" w:color="auto"/>
              <w:bottom w:val="single" w:sz="4" w:space="0" w:color="auto"/>
              <w:right w:val="single" w:sz="4" w:space="0" w:color="auto"/>
            </w:tcBorders>
          </w:tcPr>
          <w:p w14:paraId="55C3D457">
            <w:pPr>
              <w:pStyle w:val="TableText"/>
            </w:pPr>
            <w:r>
              <w:rPr>
                <w:rStyle w:val="VARIABLE"/>
              </w:rPr>
              <w:t xml:space="preserve">WriterGroupMessageType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715D4B1">
            <w:pPr>
              <w:pStyle w:val="TableText"/>
            </w:pPr>
            <w:r>
              <w:rPr>
                <w:rStyle w:val="VARIABLE"/>
              </w:rPr>
              <w:t xml:space="preserve">AvroDataSetWriterMessageType</w:t>
            </w:r>
          </w:p>
        </w:tc>
        <w:tc>
          <w:tcPr>
            <w:tcW w:w="4463" w:type="dxa"/>
            <w:tcBorders>
              <w:top w:val="single" w:sz="4" w:space="0" w:color="auto"/>
              <w:left w:val="single" w:sz="4" w:space="0" w:color="auto"/>
              <w:bottom w:val="single" w:sz="4" w:space="0" w:color="auto"/>
              <w:right w:val="single" w:sz="4" w:space="0" w:color="auto"/>
            </w:tcBorders>
          </w:tcPr>
          <w:p w14:paraId="7F9357B3">
            <w:pPr>
              <w:pStyle w:val="TableText"/>
            </w:pPr>
            <w:r>
              <w:rPr>
                <w:rStyle w:val="VARIABLE"/>
              </w:rPr>
              <w:t xml:space="preserve">DataSetWriterMessageType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4F10C8">
            <w:pPr>
              <w:pStyle w:val="TableText"/>
            </w:pPr>
            <w:r>
              <w:rPr>
                <w:rStyle w:val="VARIABLE"/>
              </w:rPr>
              <w:t xml:space="preserve">AvroDataSetReaderMessageType</w:t>
            </w:r>
          </w:p>
        </w:tc>
        <w:tc>
          <w:tcPr>
            <w:tcW w:w="4463" w:type="dxa"/>
            <w:tcBorders>
              <w:top w:val="single" w:sz="4" w:space="0" w:color="auto"/>
              <w:left w:val="single" w:sz="4" w:space="0" w:color="auto"/>
              <w:bottom w:val="single" w:sz="4" w:space="0" w:color="auto"/>
              <w:right w:val="single" w:sz="4" w:space="0" w:color="auto"/>
            </w:tcBorders>
          </w:tcPr>
          <w:p w14:paraId="63D7A8E0">
            <w:pPr>
              <w:pStyle w:val="TableText"/>
            </w:pPr>
            <w:r>
              <w:rPr>
                <w:rStyle w:val="VARIABLE"/>
              </w:rPr>
              <w:t xml:space="preserve">DataSetReaderMessageType</w:t>
            </w:r>
          </w:p>
        </w:tc>
      </w:tr>
    </w:tbl>
    <w:p w14:paraId="7404BD5A">
      <w:pPr>
        <w:pStyle w:val="spacer"/>
      </w:pPr>
    </w:p>
    <w:p w14:paraId="410DCE31">
      <w:pPr>
        <w:pStyle w:val="Heading3"/>
      </w:pPr>
      <w:bookmarkStart w:id="539" w:name="_Clause_c6_9_5"/>
      <w:r>
        <w:t xml:space="preserve">NodeSet</w:t>
      </w:r>
      <w:bookmarkEnd w:id="539"/>
    </w:p>
    <w:p w14:paraId="03B7CCA1">
      <w:pPr>
        <w:pStyle w:val="PARAGRAPH"/>
      </w:pPr>
      <w:r>
        <w:t xml:space="preserve">These additions are shipped as an Information Model extension rather than as changes to the Part 14 NodeSet, so that they can be adopted independently.</w:t>
      </w:r>
    </w:p>
    <w:p w14:paraId="01F94ACF">
      <w:pPr>
        <w:pStyle w:val="ListBullet"/>
        <w:numPr>
          <w:ilvl w:val="0"/>
          <w:numId w:val="21"/>
        </w:numPr>
      </w:pPr>
      <w:r>
        <w:t xml:space="preserve">Namespace URI: </w:t>
      </w:r>
      <w:r>
        <w:rPr>
          <w:rStyle w:val="VARIABLE"/>
        </w:rPr>
        <w:t xml:space="preserve">http://opcfoundation.org/UA/Avro/</w:t>
      </w:r>
    </w:p>
    <w:p w14:paraId="3DB48D9A">
      <w:pPr>
        <w:pStyle w:val="ListBullet"/>
        <w:numPr>
          <w:ilvl w:val="0"/>
          <w:numId w:val="21"/>
        </w:numPr>
      </w:pPr>
      <w:r>
        <w:t xml:space="preserve">NodeSet: </w:t>
      </w:r>
      <w:r>
        <w:rPr>
          <w:rStyle w:val="VARIABLE"/>
        </w:rPr>
        <w:t xml:space="preserve">Opc.Ua.Avro.NodeSet2.xml</w:t>
      </w:r>
      <w:r>
        <w:t xml:space="preserve">, with the matching </w:t>
      </w:r>
      <w:r>
        <w:rPr>
          <w:rStyle w:val="VARIABLE"/>
        </w:rPr>
        <w:t xml:space="preserve">Opc.Ua.Avro.NodeIds.csv</w:t>
      </w:r>
    </w:p>
    <w:p w14:paraId="7E82E114">
      <w:pPr>
        <w:pStyle w:val="ListBullet"/>
        <w:numPr>
          <w:ilvl w:val="0"/>
          <w:numId w:val="21"/>
        </w:numPr>
      </w:pPr>
      <w:r>
        <w:t xml:space="preserve">Contents: the two OptionSet DataTypes of </w:t>
      </w:r>
      <w:r>
        <w:fldChar w:fldCharType="begin"/>
      </w:r>
      <w:r>
        <w:instrText xml:space="preserve"> REF _Clause_c6_9_2 \r \h </w:instrText>
      </w:r>
      <w:r>
        <w:fldChar w:fldCharType="separate"/>
      </w:r>
      <w:r>
        <w:rPr>
          <w:noProof/>
        </w:rPr>
        <w:t xml:space="preserve">6.9.2</w:t>
      </w:r>
      <w:r>
        <w:fldChar w:fldCharType="end"/>
      </w:r>
      <w:r>
        <w:t xml:space="preserve">, the three MessageSettings DataTypes of </w:t>
      </w:r>
      <w:r>
        <w:fldChar w:fldCharType="begin"/>
      </w:r>
      <w:r>
        <w:instrText xml:space="preserve"> REF _Clause_c6_9_3 \r \h </w:instrText>
      </w:r>
      <w:r>
        <w:fldChar w:fldCharType="separate"/>
      </w:r>
      <w:r>
        <w:rPr>
          <w:noProof/>
        </w:rPr>
        <w:t xml:space="preserve">6.9.3</w:t>
      </w:r>
      <w:r>
        <w:fldChar w:fldCharType="end"/>
      </w:r>
      <w:r>
        <w:t xml:space="preserve">, and the three ObjectTypes of </w:t>
      </w:r>
      <w:r>
        <w:fldChar w:fldCharType="begin"/>
      </w:r>
      <w:r>
        <w:instrText xml:space="preserve"> REF _Clause_c6_9_4 \r \h </w:instrText>
      </w:r>
      <w:r>
        <w:fldChar w:fldCharType="separate"/>
      </w:r>
      <w:r>
        <w:rPr>
          <w:noProof/>
        </w:rPr>
        <w:t xml:space="preserve">6.9.4</w:t>
      </w:r>
      <w:r>
        <w:fldChar w:fldCharType="end"/>
      </w:r>
    </w:p>
    <w:p w14:paraId="01151D5F">
      <w:pPr>
        <w:pStyle w:val="PARAGRAPH"/>
      </w:pPr>
      <w:r>
        <w:t xml:space="preserve">The NodeSet is generated from this clause by the repository tooling and is not authored by hand. NodeIds are assigned by the OPC Foundation when the namespace is registered; until then the NodeSet is a draft and its numeric identifiers are provisional.</w:t>
      </w:r>
    </w:p>
    <w:p w14:paraId="3EC7AB60">
      <w:pPr>
        <w:pStyle w:val="PARAGRAPH"/>
      </w:pPr>
      <w:r>
        <w:t xml:space="preserve">Note that these additions concern only the </w:t>
      </w:r>
      <w:r>
        <w:rPr>
          <w:b/>
        </w:rPr>
        <w:t xml:space="preserve">configuration</w:t>
      </w:r>
      <w:r>
        <w:t xml:space="preserve"> model. As stated in </w:t>
      </w:r>
      <w:r>
        <w:fldChar w:fldCharType="begin"/>
      </w:r>
      <w:r>
        <w:instrText xml:space="preserve"> REF _Clause_c6_1 \r \h </w:instrText>
      </w:r>
      <w:r>
        <w:fldChar w:fldCharType="separate"/>
      </w:r>
      <w:r>
        <w:rPr>
          <w:noProof/>
        </w:rPr>
        <w:t xml:space="preserve">6.1</w:t>
      </w:r>
      <w:r>
        <w:fldChar w:fldCharType="end"/>
      </w:r>
      <w:r>
        <w:t xml:space="preserve"> there is no AddressSpace representation of the </w:t>
      </w:r>
      <w:r>
        <w:rPr>
          <w:rStyle w:val="VARIABLE"/>
        </w:rPr>
        <w:t xml:space="preserve">Default Avro</w:t>
      </w:r>
      <w:r>
        <w:t xml:space="preserve"> DataTypeEncoding itself, so no DataTypeEncoding Objects or </w:t>
      </w:r>
      <w:r>
        <w:rPr>
          <w:rStyle w:val="VARIABLE"/>
        </w:rPr>
        <w:t xml:space="preserve">HasEncoding</w:t>
      </w:r>
      <w:r>
        <w:t xml:space="preserve"> references are added.</w:t>
      </w:r>
    </w:p>
    <w:p w14:paraId="3BC1B8B8" w14:textId="12BB010D" w:rsidR="005E69BD" w:rsidRPr="00EC120D" w:rsidRDefault="006235B1" w:rsidP="002E7A22">
      <w:pPr>
        <w:pStyle w:val="Heading1"/>
        <w:pageBreakBefore/>
      </w:pPr>
      <w:bookmarkStart w:id="540" w:name="_Clause_c7"/>
      <w:bookmarkStart w:id="660"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660"/>
      <w:bookmarkEnd w:id="540"/>
    </w:p>
    <w:p w14:paraId="0551C9E0">
      <w:pPr>
        <w:pStyle w:val="PARAGRAPH"/>
      </w:pPr>
      <w:r>
        <w:t xml:space="preserve">Conformance is composed from independently implementable conformance units. An implementation claims AVRO-DataEncoding at minimum; the remaining units build on it and may be claimed separately.</w:t>
      </w:r>
    </w:p>
    <w:p w14:paraId="3B286EC3">
      <w:pPr>
        <w:pStyle w:val="PARAGRAPH"/>
      </w:pPr>
      <w:r>
        <w:t xml:space="preserve">AVRO-DataEncoding — the mapping of the OPC UA type model onto Avro, in both directions, including the reversibility requirement that decoding an encoded value yields the original value.</w:t>
      </w:r>
    </w:p>
    <w:p w14:paraId="28CDBFDC">
      <w:pPr>
        <w:pStyle w:val="PARAGRAPH"/>
      </w:pPr>
      <w:r>
        <w:t xml:space="preserve">AVRO-SchemaGeneration — deterministic schema generation from a NodeSet or from DataSetMetaData, and the SchemaId that identifies the result. Two conforming implementations given the same input produce the same schema and the same SchemaId.</w:t>
      </w:r>
    </w:p>
    <w:p w14:paraId="1949E9B4">
      <w:pPr>
        <w:pStyle w:val="PARAGRAPH"/>
      </w:pPr>
      <w:r>
        <w:t xml:space="preserve">AVRO-SchemaResolution — decoder-side schema resolution, including cache-miss behaviour and the schema-evolution rules that let a writer add fields without breaking a deployed reader.</w:t>
      </w:r>
    </w:p>
    <w:p w14:paraId="2270D35B">
      <w:pPr>
        <w:pStyle w:val="PARAGRAPH"/>
      </w:pPr>
      <w:r>
        <w:t xml:space="preserve">AVRO-PubSub — the NetworkMessage and DataSetMessage mapping, the SchemaId handshake, the configuration parameters and the transport content types.</w:t>
      </w:r>
    </w:p>
    <w:p w14:paraId="03EFF293">
      <w:pPr>
        <w:pStyle w:val="PARAGRAPH"/>
      </w:pPr>
      <w:r>
        <w:t xml:space="preserve">AVRO-Actions — the Action invoke and response messages and the Discovery messages.</w:t>
      </w:r>
    </w:p>
    <w:p w14:paraId="091D8BA7">
      <w:pPr>
        <w:pStyle w:val="PARAGRAPH"/>
      </w:pPr>
      <w:r>
        <w:t xml:space="preserve">A Server that publishes Avro-encoded DataSets claims AVRO-DataEncoding, AVRO-SchemaGeneration and AVRO-PubSub. A Client that consumes them claims AVRO-DataEncoding and AVRO-SchemaResolution.</w:t>
      </w:r>
    </w:p>
    <w:p w14:paraId="6B4A45F1">
      <w:pPr>
        <w:pStyle w:val="Heading1"/>
      </w:pPr>
      <w:bookmarkStart w:id="541" w:name="_Clause_c8"/>
      <w:r>
        <w:t xml:space="preserve">Namespaces</w:t>
      </w:r>
      <w:bookmarkEnd w:id="541"/>
    </w:p>
    <w:p w14:paraId="49E581B0">
      <w:pPr>
        <w:pStyle w:val="Heading2"/>
      </w:pPr>
      <w:bookmarkStart w:id="661" w:name="_Ref127248897"/>
      <w:bookmarkStart w:id="542" w:name="_Clause_c8_1"/>
      <w:r>
        <w:t xml:space="preserve">Namespace metadata</w:t>
      </w:r>
      <w:bookmarkEnd w:id="542"/>
      <w:bookmarkEnd w:id="661"/>
    </w:p>
    <w:p w14:paraId="1EA1AA03">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14:paraId="77118488">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pPr>
        <w:pStyle w:val="TABLE-title"/>
        <w:keepNext/>
      </w:pPr>
      <w:bookmarkStart w:id="664" w:name="_Ref16863029"/>
      <w:bookmarkStart w:id="543" w:name="_Tab_namespace_metadata_tab1"/>
      <w:r>
        <w:t xml:space="preserve">Table </w:t>
      </w:r>
      <w:r>
        <w:fldChar w:fldCharType="begin"/>
      </w:r>
      <w:r>
        <w:instrText xml:space="preserve"> SEQ Table \* ARABIC </w:instrText>
      </w:r>
      <w:r>
        <w:fldChar w:fldCharType="separate"/>
      </w:r>
      <w:r>
        <w:rPr>
          <w:noProof/>
        </w:rPr>
        <w:t xml:space="preserve">13</w:t>
      </w:r>
      <w:r>
        <w:fldChar w:fldCharType="end"/>
      </w:r>
      <w:r>
        <w:t xml:space="preserve"> – NamespaceMetadata Object for this document</w:t>
      </w:r>
      <w:bookmarkEnd w:id="543"/>
      <w:bookmarkEnd w:id="6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14:paraId="0C6AB65F">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14:paraId="237B19AC">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0D45825">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14:paraId="76AA8E3A">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58988B59">
            <w:pPr>
              <w:pStyle w:val="TableText"/>
            </w:pPr>
            <w:r>
              <w:t xml:space="preserve">http://opcfoundation.org/UA/</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7CA19F8">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14:paraId="330996E9">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15627D31">
            <w:pPr>
              <w:pStyle w:val="TableText"/>
            </w:pPr>
            <w:r>
              <w:t xml:space="preserve">0.1.0</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94D4BA2">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14:paraId="433DAE0F">
            <w:pPr>
              <w:pStyle w:val="TableText"/>
            </w:pPr>
            <w:r>
              <w:t xml:space="preserve">2026-07-30</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26A3EA99">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14:paraId="5483CC10">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14:paraId="400D4470">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C6DF597">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14:paraId="5578F5ED">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14:paraId="57F1B058">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A801AB2">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14:paraId="493D4FA5">
            <w:pPr>
              <w:pStyle w:val="TableText"/>
            </w:pPr>
            <w:r>
              <w:t xml:space="preserv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1D97E370">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084C30A6">
            <w:pPr>
              <w:pStyle w:val="TableText"/>
            </w:pPr>
            <w:r>
              <w:t xml:space="preserve">--</w:t>
            </w:r>
          </w:p>
        </w:tc>
      </w:tr>
    </w:tbl>
    <w:p w14:paraId="32E40B3A">
      <w:pPr>
        <w:pStyle w:val="spacer"/>
      </w:pPr>
    </w:p>
    <w:p w14:paraId="14436C49">
      <w:pPr>
        <w:pStyle w:val="PARAGRAPH"/>
      </w:pPr>
      <w:r>
        <w:t xml:space="preserve">The IsNamespaceSubset Property is False because the UANodeSet XML file contains the complete namespace. A Server exposing only a subset sets it to True.</w:t>
      </w:r>
    </w:p>
    <w:p w14:paraId="2EE1EBC5">
      <w:pPr>
        <w:pStyle w:val="Heading2"/>
      </w:pPr>
      <w:bookmarkStart w:id="662" w:name="_Ref55114991"/>
      <w:bookmarkStart w:id="544" w:name="_Clause_c8_2"/>
      <w:r>
        <w:t xml:space="preserve">Handling of OPC UA namespaces</w:t>
      </w:r>
      <w:bookmarkEnd w:id="544"/>
      <w:bookmarkEnd w:id="662"/>
    </w:p>
    <w:p w14:paraId="1BF4CB94">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pPr>
        <w:pStyle w:val="TABLE-title"/>
        <w:keepNext/>
      </w:pPr>
      <w:bookmarkStart w:id="545" w:name="_Tab_handling_of_opc_ua_namespaces_tab1"/>
      <w:r>
        <w:t xml:space="preserve">Table </w:t>
      </w:r>
      <w:r>
        <w:fldChar w:fldCharType="begin"/>
      </w:r>
      <w:r>
        <w:instrText xml:space="preserve"> SEQ Table \* ARABIC </w:instrText>
      </w:r>
      <w:r>
        <w:fldChar w:fldCharType="separate"/>
      </w:r>
      <w:r>
        <w:rPr>
          <w:noProof/>
        </w:rPr>
        <w:t xml:space="preserve">14</w:t>
      </w:r>
      <w:r>
        <w:fldChar w:fldCharType="end"/>
      </w:r>
      <w:r>
        <w:t xml:space="preserve"> – Namespaces used in an OpenUSD Server</w:t>
      </w:r>
      <w:bookmarkEnd w:id="5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14:paraId="6FBA0BAB">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97DE111">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C250236">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14:paraId="46056183">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0A014901">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FC95756">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3BD481D4">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2922D9AD">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pPr>
              <w:pStyle w:val="TableText"/>
            </w:pPr>
            <w:r>
              <w:t xml:space="preserve">A Server may provide vendor-specific types derived from the types defined in this document, in one or more additional namespaces.</w:t>
            </w:r>
          </w:p>
        </w:tc>
      </w:tr>
    </w:tbl>
    <w:p w14:paraId="0F63B53D">
      <w:pPr>
        <w:pStyle w:val="spacer"/>
      </w:pPr>
    </w:p>
    <w:p w14:paraId="5413F9C3">
      <w:pPr>
        <w:pStyle w:val="PARAGRAPH"/>
      </w:pPr>
      <w:r>
        <w:t xml:space="preserve">The following table lists the namespaces and their indexes used for BrowseNames in this document. The default namespace of this document is not listed, because every BrowseName without a prefix uses it.</w:t>
      </w:r>
    </w:p>
    <w:p w14:paraId="193A572E">
      <w:pPr>
        <w:pStyle w:val="TABLE-title"/>
        <w:keepNext/>
      </w:pPr>
      <w:bookmarkStart w:id="663" w:name="_Ref16577438"/>
      <w:bookmarkStart w:id="546" w:name="_Tab_handling_of_opc_ua_namespaces_tab2"/>
      <w:r>
        <w:t xml:space="preserve">Table </w:t>
      </w:r>
      <w:r>
        <w:fldChar w:fldCharType="begin"/>
      </w:r>
      <w:r>
        <w:instrText xml:space="preserve"> SEQ Table \* ARABIC </w:instrText>
      </w:r>
      <w:r>
        <w:fldChar w:fldCharType="separate"/>
      </w:r>
      <w:r>
        <w:rPr>
          <w:noProof/>
        </w:rPr>
        <w:t xml:space="preserve">15</w:t>
      </w:r>
      <w:r>
        <w:fldChar w:fldCharType="end"/>
      </w:r>
      <w:r>
        <w:t xml:space="preserve"> – Namespaces used in this document</w:t>
      </w:r>
      <w:bookmarkEnd w:id="546"/>
      <w:bookmarkEnd w:id="6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14:paraId="5ADCB2EC">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14:paraId="2083F9D4">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18766CD">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14:paraId="74535A06">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5E615CC">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14:paraId="3454903D">
            <w:pPr>
              <w:pStyle w:val="TableText"/>
            </w:pPr>
            <w:r>
              <w:t xml:space="preserve">1:ResourceType</w:t>
            </w:r>
          </w:p>
        </w:tc>
      </w:tr>
    </w:tbl>
    <w:p w14:paraId="186917D6">
      <w:pPr>
        <w:pStyle w:val="spacer"/>
      </w:pPr>
    </w:p>
    <w:p w14:paraId="0EC1431D">
      <w:pPr>
        <w:pStyle w:val="ANNEXtitle"/>
        <w:pageBreakBefore/>
      </w:pPr>
      <w:bookmarkStart w:id="665" w:name="_Ref37835123"/>
      <w:bookmarkStart w:id="547" w:name="_Annex_cA"/>
      <w:r>
        <w:t xml:space="preserve">(normative)</w:t>
      </w:r>
      <w:r>
        <w:br/>
      </w:r>
      <w:r>
        <w:br/>
      </w:r>
      <w:r>
        <w:t xml:space="preserve">Namespace and machine-readable artifacts</w:t>
      </w:r>
      <w:bookmarkEnd w:id="547"/>
      <w:bookmarkEnd w:id="665"/>
    </w:p>
    <w:p w14:paraId="062ADCA7">
      <w:pPr>
        <w:pStyle w:val="ANNEX-heading1"/>
      </w:pPr>
      <w:bookmarkStart w:id="548" w:name="_Clause_cA_1"/>
      <w:r>
        <w:t xml:space="preserve">Namespace and capability identifier</w:t>
      </w:r>
      <w:bookmarkEnd w:id="548"/>
    </w:p>
    <w:p w14:paraId="60E7588C">
      <w:pPr>
        <w:pStyle w:val="PARAGRAPH"/>
      </w:pPr>
      <w:r>
        <w:t xml:space="preserve">The DataEncoding defined by this document is identified by the following URI:</w:t>
      </w:r>
    </w:p>
    <w:p w14:paraId="090491FA">
      <w:pPr>
        <w:pStyle w:val="CODE"/>
      </w:pPr>
      <w:r>
        <w:t xml:space="preserve">http://opcfoundation.org/UA/</w:t>
      </w:r>
    </w:p>
    <w:p w14:paraId="04DA9362">
      <w:pPr>
        <w:pStyle w:val="PARAGRAPH"/>
      </w:pPr>
      <w:r>
        <w:t xml:space="preserve">The capability identifier of this document, used in the conformance units of Avro Encoding, is AVRO.</w:t>
      </w:r>
    </w:p>
    <w:p w14:paraId="08331574">
      <w:pPr>
        <w:pStyle w:val="PARAGRAPH"/>
      </w:pPr>
      <w:r>
        <w:t xml:space="preserve">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0CF2E9E4">
      <w:pPr>
        <w:pStyle w:val="ANNEX-heading1"/>
      </w:pPr>
      <w:bookmarkStart w:id="549" w:name="_Clause_cA_2"/>
      <w:r>
        <w:t xml:space="preserve">Generated type reference</w:t>
      </w:r>
      <w:bookmarkEnd w:id="549"/>
    </w:p>
    <w:p w14:paraId="6988F0B3">
      <w:pPr>
        <w:pStyle w:val="PARAGRAPH"/>
      </w:pPr>
      <w:r>
        <w:t xml:space="preserve">&lt;!-- BEGIN GENERATED: type-reference --&gt;</w:t>
      </w:r>
    </w:p>
    <w:p w14:paraId="4EB965F5">
      <w:pPr>
        <w:pStyle w:val="PARAGRAPH"/>
      </w:pPr>
      <w:r>
        <w:t xml:space="preserve">The following reference material is generated from the published </w:t>
      </w:r>
      <w:r>
        <w:rPr>
          <w:rStyle w:val="VARIABLE"/>
        </w:rPr>
        <w:t xml:space="preserve">.avsc</w:t>
      </w:r>
      <w:r>
        <w:t xml:space="preserve"> schemas and the shared conformance corpus. Do not edit it by hand; run </w:t>
      </w:r>
      <w:r>
        <w:rPr>
          <w:rStyle w:val="VARIABLE"/>
        </w:rPr>
        <w:t xml:space="preserve">python ..\extras\avro-encoding\tools\gen_type_reference.py</w:t>
      </w:r>
      <w:r>
        <w:t xml:space="preserve">.</w:t>
      </w:r>
    </w:p>
    <w:p w14:paraId="6C87806F">
      <w:pPr>
        <w:pStyle w:val="ANNEX-heading2"/>
      </w:pPr>
      <w:bookmarkStart w:id="550" w:name="_Clause_cA_2_1"/>
      <w:r>
        <w:t xml:space="preserve">Built-in Boolean</w:t>
      </w:r>
      <w:bookmarkEnd w:id="550"/>
    </w:p>
    <w:p w14:paraId="69B49714">
      <w:pPr>
        <w:pStyle w:val="PARAGRAPH"/>
      </w:pPr>
      <w:r>
        <w:rPr>
          <w:b/>
        </w:rPr>
        <w:t xml:space="preserve">SchemaId</w:t>
      </w:r>
      <w:r>
        <w:t xml:space="preserve"> </w:t>
      </w:r>
      <w:r>
        <w:rPr>
          <w:rStyle w:val="VARIABLE"/>
        </w:rPr>
        <w:t xml:space="preserve">64f7d4a478fc429f</w:t>
      </w:r>
    </w:p>
    <w:p w14:paraId="207CD20C">
      <w:pPr>
        <w:pStyle w:val="TABLE-title"/>
        <w:keepNext/>
      </w:pPr>
      <w:bookmarkStart w:id="551" w:name="_Tab_built_in_boolean_tab1"/>
      <w:r>
        <w:t xml:space="preserve">Table </w:t>
      </w:r>
      <w:r>
        <w:fldChar w:fldCharType="begin"/>
      </w:r>
      <w:r>
        <w:instrText xml:space="preserve"> SEQ Table \* ARABIC </w:instrText>
      </w:r>
      <w:r>
        <w:fldChar w:fldCharType="separate"/>
      </w:r>
      <w:r>
        <w:rPr>
          <w:noProof/>
        </w:rPr>
        <w:t xml:space="preserve">16</w:t>
      </w:r>
      <w:r>
        <w:fldChar w:fldCharType="end"/>
      </w:r>
      <w:r>
        <w:t xml:space="preserve"> – Built-in Boolean</w:t>
      </w:r>
      <w:bookmarkEnd w:id="5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2D46D9F">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744837DA">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54255CB2">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33789330">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35D569B">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1650BE97">
            <w:pPr>
              <w:pStyle w:val="TableText"/>
            </w:pPr>
            <w:r>
              <w:rPr>
                <w:rStyle w:val="VARIABLE"/>
              </w:rPr>
              <w:t xml:space="preserve">"boolean"</w:t>
            </w:r>
          </w:p>
        </w:tc>
        <w:tc>
          <w:tcPr>
            <w:tcW w:w="2231" w:type="dxa"/>
            <w:tcBorders>
              <w:top w:val="single" w:sz="4" w:space="0" w:color="auto"/>
              <w:left w:val="single" w:sz="4" w:space="0" w:color="auto"/>
              <w:bottom w:val="single" w:sz="4" w:space="0" w:color="auto"/>
              <w:right w:val="single" w:sz="4" w:space="0" w:color="auto"/>
            </w:tcBorders>
          </w:tcPr>
          <w:p w14:paraId="768C1D45">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0E766B6C">
            <w:pPr>
              <w:pStyle w:val="TableText"/>
            </w:pPr>
            <w:r>
              <w:t xml:space="preserve">OPC UA BuiltInType 1.</w:t>
            </w:r>
          </w:p>
        </w:tc>
      </w:tr>
    </w:tbl>
    <w:p w14:paraId="062BD2A3">
      <w:pPr>
        <w:pStyle w:val="spacer"/>
      </w:pPr>
    </w:p>
    <w:p w14:paraId="2C16DDDF">
      <w:pPr>
        <w:pStyle w:val="PARAGRAPH"/>
      </w:pPr>
      <w:r>
        <w:rPr>
          <w:b/>
        </w:rPr>
        <w:t xml:space="preserve">Avro schema fragment</w:t>
      </w:r>
    </w:p>
    <w:p w14:paraId="1DD0F772">
      <w:pPr>
        <w:pStyle w:val="CODE"/>
      </w:pPr>
      <w:r>
        <w:t xml:space="preserve">"boolean"</w:t>
      </w:r>
    </w:p>
    <w:p w14:paraId="00CF23D8">
      <w:pPr>
        <w:pStyle w:val="PARAGRAPH"/>
      </w:pPr>
      <w:r>
        <w:rPr>
          <w:b/>
        </w:rPr>
        <w:t xml:space="preserve">Example value</w:t>
      </w:r>
      <w:r>
        <w:t xml:space="preserve"> (</w:t>
      </w:r>
      <w:r>
        <w:rPr>
          <w:rStyle w:val="VARIABLE"/>
        </w:rPr>
        <w:t xml:space="preserve">bool_true</w:t>
      </w:r>
      <w:r>
        <w:t xml:space="preserve">)</w:t>
      </w:r>
    </w:p>
    <w:p w14:paraId="5641B19F">
      <w:pPr>
        <w:pStyle w:val="CODE"/>
      </w:pPr>
      <w:r>
        <w:t xml:space="preserve">true</w:t>
      </w:r>
    </w:p>
    <w:p w14:paraId="490ECB07">
      <w:pPr>
        <w:pStyle w:val="PARAGRAPH"/>
      </w:pPr>
      <w:r>
        <w:rPr>
          <w:b/>
        </w:rPr>
        <w:t xml:space="preserve">Encoded bytes</w:t>
      </w:r>
      <w:r>
        <w:t xml:space="preserve"> (1 bytes)</w:t>
      </w:r>
    </w:p>
    <w:p w14:paraId="740DD0DD">
      <w:pPr>
        <w:pStyle w:val="CODE"/>
      </w:pPr>
      <w:r>
        <w:t xml:space="preserve">01</w:t>
      </w:r>
    </w:p>
    <w:p w14:paraId="1B3B1A40">
      <w:pPr>
        <w:pStyle w:val="PARAGRAPH"/>
      </w:pPr>
      <w:r>
        <w:rPr>
          <w:b/>
        </w:rPr>
        <w:t xml:space="preserve">Annotated byte-level breakdown</w:t>
      </w:r>
    </w:p>
    <w:p w14:paraId="1B1BA6F7">
      <w:pPr>
        <w:pStyle w:val="TABLE-title"/>
        <w:keepNext/>
      </w:pPr>
      <w:bookmarkStart w:id="552" w:name="_Tab_built_in_boolean_tab2"/>
      <w:r>
        <w:t xml:space="preserve">Table </w:t>
      </w:r>
      <w:r>
        <w:fldChar w:fldCharType="begin"/>
      </w:r>
      <w:r>
        <w:instrText xml:space="preserve"> SEQ Table \* ARABIC </w:instrText>
      </w:r>
      <w:r>
        <w:fldChar w:fldCharType="separate"/>
      </w:r>
      <w:r>
        <w:rPr>
          <w:noProof/>
        </w:rPr>
        <w:t xml:space="preserve">17</w:t>
      </w:r>
      <w:r>
        <w:fldChar w:fldCharType="end"/>
      </w:r>
      <w:r>
        <w:t xml:space="preserve"> – Built-in Boolean (2)</w:t>
      </w:r>
      <w:bookmarkEnd w:id="5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6EA0FD1">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74984C1F">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502E5B36">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2E376781">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7317B7C">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640A231D">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562C99A">
            <w:pPr>
              <w:pStyle w:val="TableText"/>
            </w:pPr>
            <w:r>
              <w:rPr>
                <w:rStyle w:val="VARIABLE"/>
              </w:rPr>
              <w:t xml:space="preserve">01</w:t>
            </w:r>
          </w:p>
        </w:tc>
        <w:tc>
          <w:tcPr>
            <w:tcW w:w="2233" w:type="dxa"/>
            <w:tcBorders>
              <w:top w:val="single" w:sz="4" w:space="0" w:color="auto"/>
              <w:left w:val="single" w:sz="4" w:space="0" w:color="auto"/>
              <w:bottom w:val="single" w:sz="4" w:space="0" w:color="auto"/>
              <w:right w:val="single" w:sz="4" w:space="0" w:color="auto"/>
            </w:tcBorders>
          </w:tcPr>
          <w:p w14:paraId="5B471DB4">
            <w:pPr>
              <w:pStyle w:val="TableText"/>
            </w:pPr>
            <w:r>
              <w:t xml:space="preserve">$: boolean</w:t>
            </w:r>
          </w:p>
        </w:tc>
      </w:tr>
    </w:tbl>
    <w:p w14:paraId="0F7E1371">
      <w:pPr>
        <w:pStyle w:val="spacer"/>
      </w:pPr>
    </w:p>
    <w:p w14:paraId="75612E44">
      <w:pPr>
        <w:pStyle w:val="ANNEX-heading2"/>
      </w:pPr>
      <w:bookmarkStart w:id="553" w:name="_Clause_cA_2_2"/>
      <w:r>
        <w:t xml:space="preserve">Built-in SByte</w:t>
      </w:r>
      <w:bookmarkEnd w:id="553"/>
    </w:p>
    <w:p w14:paraId="5E5C4806">
      <w:pPr>
        <w:pStyle w:val="PARAGRAPH"/>
      </w:pPr>
      <w:r>
        <w:rPr>
          <w:b/>
        </w:rPr>
        <w:t xml:space="preserve">SchemaId</w:t>
      </w:r>
      <w:r>
        <w:t xml:space="preserve"> </w:t>
      </w:r>
      <w:r>
        <w:rPr>
          <w:rStyle w:val="VARIABLE"/>
        </w:rPr>
        <w:t xml:space="preserve">8f5c393f1ad57572</w:t>
      </w:r>
    </w:p>
    <w:p w14:paraId="0783D1BF">
      <w:pPr>
        <w:pStyle w:val="TABLE-title"/>
        <w:keepNext/>
      </w:pPr>
      <w:bookmarkStart w:id="554" w:name="_Tab_built_in_sbyte_tab1"/>
      <w:r>
        <w:t xml:space="preserve">Table </w:t>
      </w:r>
      <w:r>
        <w:fldChar w:fldCharType="begin"/>
      </w:r>
      <w:r>
        <w:instrText xml:space="preserve"> SEQ Table \* ARABIC </w:instrText>
      </w:r>
      <w:r>
        <w:fldChar w:fldCharType="separate"/>
      </w:r>
      <w:r>
        <w:rPr>
          <w:noProof/>
        </w:rPr>
        <w:t xml:space="preserve">18</w:t>
      </w:r>
      <w:r>
        <w:fldChar w:fldCharType="end"/>
      </w:r>
      <w:r>
        <w:t xml:space="preserve"> – Built-in SByte</w:t>
      </w:r>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2A82B9E">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4001EB77">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76BF6D94">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43C6CFB8">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7454148">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34781DAA">
            <w:pPr>
              <w:pStyle w:val="TableText"/>
            </w:pPr>
            <w:r>
              <w:rPr>
                <w:rStyle w:val="VARIABLE"/>
              </w:rPr>
              <w:t xml:space="preserve">"int"</w:t>
            </w:r>
          </w:p>
        </w:tc>
        <w:tc>
          <w:tcPr>
            <w:tcW w:w="2231" w:type="dxa"/>
            <w:tcBorders>
              <w:top w:val="single" w:sz="4" w:space="0" w:color="auto"/>
              <w:left w:val="single" w:sz="4" w:space="0" w:color="auto"/>
              <w:bottom w:val="single" w:sz="4" w:space="0" w:color="auto"/>
              <w:right w:val="single" w:sz="4" w:space="0" w:color="auto"/>
            </w:tcBorders>
          </w:tcPr>
          <w:p w14:paraId="2B72FE92">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D08DC5F">
            <w:pPr>
              <w:pStyle w:val="TableText"/>
            </w:pPr>
            <w:r>
              <w:t xml:space="preserve">OPC UA BuiltInType 2.</w:t>
            </w:r>
          </w:p>
        </w:tc>
      </w:tr>
    </w:tbl>
    <w:p w14:paraId="5B1D78DB">
      <w:pPr>
        <w:pStyle w:val="spacer"/>
      </w:pPr>
    </w:p>
    <w:p w14:paraId="2CF09196">
      <w:pPr>
        <w:pStyle w:val="PARAGRAPH"/>
      </w:pPr>
      <w:r>
        <w:rPr>
          <w:b/>
        </w:rPr>
        <w:t xml:space="preserve">Avro schema fragment</w:t>
      </w:r>
    </w:p>
    <w:p w14:paraId="72E28467">
      <w:pPr>
        <w:pStyle w:val="CODE"/>
      </w:pPr>
      <w:r>
        <w:t xml:space="preserve">"int"</w:t>
      </w:r>
    </w:p>
    <w:p w14:paraId="35A93F73">
      <w:pPr>
        <w:pStyle w:val="PARAGRAPH"/>
      </w:pPr>
      <w:r>
        <w:rPr>
          <w:b/>
        </w:rPr>
        <w:t xml:space="preserve">Example value</w:t>
      </w:r>
      <w:r>
        <w:t xml:space="preserve"> (</w:t>
      </w:r>
      <w:r>
        <w:rPr>
          <w:rStyle w:val="VARIABLE"/>
        </w:rPr>
        <w:t xml:space="preserve">sbyte_min</w:t>
      </w:r>
      <w:r>
        <w:t xml:space="preserve">)</w:t>
      </w:r>
    </w:p>
    <w:p w14:paraId="5B1B566D">
      <w:pPr>
        <w:pStyle w:val="CODE"/>
      </w:pPr>
      <w:r>
        <w:t xml:space="preserve">-128</w:t>
      </w:r>
    </w:p>
    <w:p w14:paraId="5D3B2756">
      <w:pPr>
        <w:pStyle w:val="PARAGRAPH"/>
      </w:pPr>
      <w:r>
        <w:rPr>
          <w:b/>
        </w:rPr>
        <w:t xml:space="preserve">Encoded bytes</w:t>
      </w:r>
      <w:r>
        <w:t xml:space="preserve"> (2 bytes)</w:t>
      </w:r>
    </w:p>
    <w:p w14:paraId="3C94ED02">
      <w:pPr>
        <w:pStyle w:val="CODE"/>
      </w:pPr>
      <w:r>
        <w:t xml:space="preserve">ff01</w:t>
      </w:r>
    </w:p>
    <w:p w14:paraId="6CAF3348">
      <w:pPr>
        <w:pStyle w:val="PARAGRAPH"/>
      </w:pPr>
      <w:r>
        <w:rPr>
          <w:b/>
        </w:rPr>
        <w:t xml:space="preserve">Annotated byte-level breakdown</w:t>
      </w:r>
    </w:p>
    <w:p w14:paraId="1C568FB0">
      <w:pPr>
        <w:pStyle w:val="TABLE-title"/>
        <w:keepNext/>
      </w:pPr>
      <w:bookmarkStart w:id="555" w:name="_Tab_built_in_sbyte_tab2"/>
      <w:r>
        <w:t xml:space="preserve">Table </w:t>
      </w:r>
      <w:r>
        <w:fldChar w:fldCharType="begin"/>
      </w:r>
      <w:r>
        <w:instrText xml:space="preserve"> SEQ Table \* ARABIC </w:instrText>
      </w:r>
      <w:r>
        <w:fldChar w:fldCharType="separate"/>
      </w:r>
      <w:r>
        <w:rPr>
          <w:noProof/>
        </w:rPr>
        <w:t xml:space="preserve">19</w:t>
      </w:r>
      <w:r>
        <w:fldChar w:fldCharType="end"/>
      </w:r>
      <w:r>
        <w:t xml:space="preserve"> – Built-in SByte (2)</w:t>
      </w:r>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4B3C878">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35874352">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088A8E7F">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2D22A54C">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15D246F">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1DBBF554">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6C480734">
            <w:pPr>
              <w:pStyle w:val="TableText"/>
            </w:pPr>
            <w:r>
              <w:rPr>
                <w:rStyle w:val="VARIABLE"/>
              </w:rPr>
              <w:t xml:space="preserve">ff 01</w:t>
            </w:r>
          </w:p>
        </w:tc>
        <w:tc>
          <w:tcPr>
            <w:tcW w:w="2233" w:type="dxa"/>
            <w:tcBorders>
              <w:top w:val="single" w:sz="4" w:space="0" w:color="auto"/>
              <w:left w:val="single" w:sz="4" w:space="0" w:color="auto"/>
              <w:bottom w:val="single" w:sz="4" w:space="0" w:color="auto"/>
              <w:right w:val="single" w:sz="4" w:space="0" w:color="auto"/>
            </w:tcBorders>
          </w:tcPr>
          <w:p w14:paraId="6AC86328">
            <w:pPr>
              <w:pStyle w:val="TableText"/>
            </w:pPr>
            <w:r>
              <w:t xml:space="preserve">$: int = -128</w:t>
            </w:r>
          </w:p>
        </w:tc>
      </w:tr>
    </w:tbl>
    <w:p w14:paraId="5CE99E60">
      <w:pPr>
        <w:pStyle w:val="spacer"/>
      </w:pPr>
    </w:p>
    <w:p w14:paraId="28CCD1A9">
      <w:pPr>
        <w:pStyle w:val="ANNEX-heading2"/>
      </w:pPr>
      <w:bookmarkStart w:id="556" w:name="_Clause_cA_2_3"/>
      <w:r>
        <w:t xml:space="preserve">Built-in Byte</w:t>
      </w:r>
      <w:bookmarkEnd w:id="556"/>
    </w:p>
    <w:p w14:paraId="4A1DBA7E">
      <w:pPr>
        <w:pStyle w:val="PARAGRAPH"/>
      </w:pPr>
      <w:r>
        <w:rPr>
          <w:b/>
        </w:rPr>
        <w:t xml:space="preserve">SchemaId</w:t>
      </w:r>
      <w:r>
        <w:t xml:space="preserve"> </w:t>
      </w:r>
      <w:r>
        <w:rPr>
          <w:rStyle w:val="VARIABLE"/>
        </w:rPr>
        <w:t xml:space="preserve">8f5c393f1ad57572</w:t>
      </w:r>
    </w:p>
    <w:p w14:paraId="0B1EE0FA">
      <w:pPr>
        <w:pStyle w:val="TABLE-title"/>
        <w:keepNext/>
      </w:pPr>
      <w:bookmarkStart w:id="557" w:name="_Tab_built_in_byte_tab1"/>
      <w:r>
        <w:t xml:space="preserve">Table </w:t>
      </w:r>
      <w:r>
        <w:fldChar w:fldCharType="begin"/>
      </w:r>
      <w:r>
        <w:instrText xml:space="preserve"> SEQ Table \* ARABIC </w:instrText>
      </w:r>
      <w:r>
        <w:fldChar w:fldCharType="separate"/>
      </w:r>
      <w:r>
        <w:rPr>
          <w:noProof/>
        </w:rPr>
        <w:t xml:space="preserve">20</w:t>
      </w:r>
      <w:r>
        <w:fldChar w:fldCharType="end"/>
      </w:r>
      <w:r>
        <w:t xml:space="preserve"> – Built-in Byte</w:t>
      </w:r>
      <w:bookmarkEnd w:id="5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36FCF1EF">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0F985497">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628C7CEF">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3C706B8B">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64F583C">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04C99A0F">
            <w:pPr>
              <w:pStyle w:val="TableText"/>
            </w:pPr>
            <w:r>
              <w:rPr>
                <w:rStyle w:val="VARIABLE"/>
              </w:rPr>
              <w:t xml:space="preserve">"int"</w:t>
            </w:r>
          </w:p>
        </w:tc>
        <w:tc>
          <w:tcPr>
            <w:tcW w:w="2231" w:type="dxa"/>
            <w:tcBorders>
              <w:top w:val="single" w:sz="4" w:space="0" w:color="auto"/>
              <w:left w:val="single" w:sz="4" w:space="0" w:color="auto"/>
              <w:bottom w:val="single" w:sz="4" w:space="0" w:color="auto"/>
              <w:right w:val="single" w:sz="4" w:space="0" w:color="auto"/>
            </w:tcBorders>
          </w:tcPr>
          <w:p w14:paraId="650A0FA1">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4DF927BE">
            <w:pPr>
              <w:pStyle w:val="TableText"/>
            </w:pPr>
            <w:r>
              <w:t xml:space="preserve">OPC UA BuiltInType 3.</w:t>
            </w:r>
          </w:p>
        </w:tc>
      </w:tr>
    </w:tbl>
    <w:p w14:paraId="59C96502">
      <w:pPr>
        <w:pStyle w:val="spacer"/>
      </w:pPr>
    </w:p>
    <w:p w14:paraId="200E1AA2">
      <w:pPr>
        <w:pStyle w:val="PARAGRAPH"/>
      </w:pPr>
      <w:r>
        <w:rPr>
          <w:b/>
        </w:rPr>
        <w:t xml:space="preserve">Avro schema fragment</w:t>
      </w:r>
    </w:p>
    <w:p w14:paraId="1CBA0797">
      <w:pPr>
        <w:pStyle w:val="CODE"/>
      </w:pPr>
      <w:r>
        <w:t xml:space="preserve">"int"</w:t>
      </w:r>
    </w:p>
    <w:p w14:paraId="386F6FAF">
      <w:pPr>
        <w:pStyle w:val="PARAGRAPH"/>
      </w:pPr>
      <w:r>
        <w:rPr>
          <w:b/>
        </w:rPr>
        <w:t xml:space="preserve">Example value</w:t>
      </w:r>
      <w:r>
        <w:t xml:space="preserve"> (</w:t>
      </w:r>
      <w:r>
        <w:rPr>
          <w:rStyle w:val="VARIABLE"/>
        </w:rPr>
        <w:t xml:space="preserve">byte_max</w:t>
      </w:r>
      <w:r>
        <w:t xml:space="preserve">)</w:t>
      </w:r>
    </w:p>
    <w:p w14:paraId="78FC3136">
      <w:pPr>
        <w:pStyle w:val="CODE"/>
      </w:pPr>
      <w:r>
        <w:t xml:space="preserve">255</w:t>
      </w:r>
    </w:p>
    <w:p w14:paraId="224CBD53">
      <w:pPr>
        <w:pStyle w:val="PARAGRAPH"/>
      </w:pPr>
      <w:r>
        <w:rPr>
          <w:b/>
        </w:rPr>
        <w:t xml:space="preserve">Encoded bytes</w:t>
      </w:r>
      <w:r>
        <w:t xml:space="preserve"> (2 bytes)</w:t>
      </w:r>
    </w:p>
    <w:p w14:paraId="39161492">
      <w:pPr>
        <w:pStyle w:val="CODE"/>
      </w:pPr>
      <w:r>
        <w:t xml:space="preserve">fe03</w:t>
      </w:r>
    </w:p>
    <w:p w14:paraId="771F99FB">
      <w:pPr>
        <w:pStyle w:val="PARAGRAPH"/>
      </w:pPr>
      <w:r>
        <w:rPr>
          <w:b/>
        </w:rPr>
        <w:t xml:space="preserve">Annotated byte-level breakdown</w:t>
      </w:r>
    </w:p>
    <w:p w14:paraId="3CAE331C">
      <w:pPr>
        <w:pStyle w:val="TABLE-title"/>
        <w:keepNext/>
      </w:pPr>
      <w:bookmarkStart w:id="558" w:name="_Tab_built_in_byte_tab2"/>
      <w:r>
        <w:t xml:space="preserve">Table </w:t>
      </w:r>
      <w:r>
        <w:fldChar w:fldCharType="begin"/>
      </w:r>
      <w:r>
        <w:instrText xml:space="preserve"> SEQ Table \* ARABIC </w:instrText>
      </w:r>
      <w:r>
        <w:fldChar w:fldCharType="separate"/>
      </w:r>
      <w:r>
        <w:rPr>
          <w:noProof/>
        </w:rPr>
        <w:t xml:space="preserve">21</w:t>
      </w:r>
      <w:r>
        <w:fldChar w:fldCharType="end"/>
      </w:r>
      <w:r>
        <w:t xml:space="preserve"> – Built-in Byte (2)</w:t>
      </w:r>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255E672A">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2B85B688">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3F8EB674">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1518CFE3">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77C3307">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10B52C08">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7503F03D">
            <w:pPr>
              <w:pStyle w:val="TableText"/>
            </w:pPr>
            <w:r>
              <w:rPr>
                <w:rStyle w:val="VARIABLE"/>
              </w:rPr>
              <w:t xml:space="preserve">fe 03</w:t>
            </w:r>
          </w:p>
        </w:tc>
        <w:tc>
          <w:tcPr>
            <w:tcW w:w="2233" w:type="dxa"/>
            <w:tcBorders>
              <w:top w:val="single" w:sz="4" w:space="0" w:color="auto"/>
              <w:left w:val="single" w:sz="4" w:space="0" w:color="auto"/>
              <w:bottom w:val="single" w:sz="4" w:space="0" w:color="auto"/>
              <w:right w:val="single" w:sz="4" w:space="0" w:color="auto"/>
            </w:tcBorders>
          </w:tcPr>
          <w:p w14:paraId="7E0B90D9">
            <w:pPr>
              <w:pStyle w:val="TableText"/>
            </w:pPr>
            <w:r>
              <w:t xml:space="preserve">$: int = 255</w:t>
            </w:r>
          </w:p>
        </w:tc>
      </w:tr>
    </w:tbl>
    <w:p w14:paraId="377A74BF">
      <w:pPr>
        <w:pStyle w:val="spacer"/>
      </w:pPr>
    </w:p>
    <w:p w14:paraId="40781382">
      <w:pPr>
        <w:pStyle w:val="ANNEX-heading2"/>
      </w:pPr>
      <w:bookmarkStart w:id="559" w:name="_Clause_cA_2_4"/>
      <w:r>
        <w:t xml:space="preserve">Built-in Int16</w:t>
      </w:r>
      <w:bookmarkEnd w:id="559"/>
    </w:p>
    <w:p w14:paraId="1EDFD1BF">
      <w:pPr>
        <w:pStyle w:val="PARAGRAPH"/>
      </w:pPr>
      <w:r>
        <w:rPr>
          <w:b/>
        </w:rPr>
        <w:t xml:space="preserve">SchemaId</w:t>
      </w:r>
      <w:r>
        <w:t xml:space="preserve"> </w:t>
      </w:r>
      <w:r>
        <w:rPr>
          <w:rStyle w:val="VARIABLE"/>
        </w:rPr>
        <w:t xml:space="preserve">8f5c393f1ad57572</w:t>
      </w:r>
    </w:p>
    <w:p w14:paraId="5A2D97C5">
      <w:pPr>
        <w:pStyle w:val="TABLE-title"/>
        <w:keepNext/>
      </w:pPr>
      <w:bookmarkStart w:id="560" w:name="_Tab_built_in_int16_tab1"/>
      <w:r>
        <w:t xml:space="preserve">Table </w:t>
      </w:r>
      <w:r>
        <w:fldChar w:fldCharType="begin"/>
      </w:r>
      <w:r>
        <w:instrText xml:space="preserve"> SEQ Table \* ARABIC </w:instrText>
      </w:r>
      <w:r>
        <w:fldChar w:fldCharType="separate"/>
      </w:r>
      <w:r>
        <w:rPr>
          <w:noProof/>
        </w:rPr>
        <w:t xml:space="preserve">22</w:t>
      </w:r>
      <w:r>
        <w:fldChar w:fldCharType="end"/>
      </w:r>
      <w:r>
        <w:t xml:space="preserve"> – Built-in Int16</w:t>
      </w:r>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E99FD65">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2ABEC316">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4454CE95">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0C007C7E">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C0F7B7B">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15F11FBD">
            <w:pPr>
              <w:pStyle w:val="TableText"/>
            </w:pPr>
            <w:r>
              <w:rPr>
                <w:rStyle w:val="VARIABLE"/>
              </w:rPr>
              <w:t xml:space="preserve">"int"</w:t>
            </w:r>
          </w:p>
        </w:tc>
        <w:tc>
          <w:tcPr>
            <w:tcW w:w="2231" w:type="dxa"/>
            <w:tcBorders>
              <w:top w:val="single" w:sz="4" w:space="0" w:color="auto"/>
              <w:left w:val="single" w:sz="4" w:space="0" w:color="auto"/>
              <w:bottom w:val="single" w:sz="4" w:space="0" w:color="auto"/>
              <w:right w:val="single" w:sz="4" w:space="0" w:color="auto"/>
            </w:tcBorders>
          </w:tcPr>
          <w:p w14:paraId="2F0B9ADB">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0E14FFBF">
            <w:pPr>
              <w:pStyle w:val="TableText"/>
            </w:pPr>
            <w:r>
              <w:t xml:space="preserve">OPC UA BuiltInType 4.</w:t>
            </w:r>
          </w:p>
        </w:tc>
      </w:tr>
    </w:tbl>
    <w:p w14:paraId="31BF8607">
      <w:pPr>
        <w:pStyle w:val="spacer"/>
      </w:pPr>
    </w:p>
    <w:p w14:paraId="19C17DC0">
      <w:pPr>
        <w:pStyle w:val="PARAGRAPH"/>
      </w:pPr>
      <w:r>
        <w:rPr>
          <w:b/>
        </w:rPr>
        <w:t xml:space="preserve">Avro schema fragment</w:t>
      </w:r>
    </w:p>
    <w:p w14:paraId="2C36DB91">
      <w:pPr>
        <w:pStyle w:val="CODE"/>
      </w:pPr>
      <w:r>
        <w:t xml:space="preserve">"int"</w:t>
      </w:r>
    </w:p>
    <w:p w14:paraId="201AC4AC">
      <w:pPr>
        <w:pStyle w:val="PARAGRAPH"/>
      </w:pPr>
      <w:r>
        <w:rPr>
          <w:b/>
        </w:rPr>
        <w:t xml:space="preserve">Example value</w:t>
      </w:r>
      <w:r>
        <w:t xml:space="preserve"> (</w:t>
      </w:r>
      <w:r>
        <w:rPr>
          <w:rStyle w:val="VARIABLE"/>
        </w:rPr>
        <w:t xml:space="preserve">int16_min</w:t>
      </w:r>
      <w:r>
        <w:t xml:space="preserve">)</w:t>
      </w:r>
    </w:p>
    <w:p w14:paraId="43030401">
      <w:pPr>
        <w:pStyle w:val="CODE"/>
      </w:pPr>
      <w:r>
        <w:t xml:space="preserve">-32768</w:t>
      </w:r>
    </w:p>
    <w:p w14:paraId="0E2FADA6">
      <w:pPr>
        <w:pStyle w:val="PARAGRAPH"/>
      </w:pPr>
      <w:r>
        <w:rPr>
          <w:b/>
        </w:rPr>
        <w:t xml:space="preserve">Encoded bytes</w:t>
      </w:r>
      <w:r>
        <w:t xml:space="preserve"> (3 bytes)</w:t>
      </w:r>
    </w:p>
    <w:p w14:paraId="14F3193D">
      <w:pPr>
        <w:pStyle w:val="CODE"/>
      </w:pPr>
      <w:r>
        <w:t xml:space="preserve">ffff03</w:t>
      </w:r>
    </w:p>
    <w:p w14:paraId="2D05654F">
      <w:pPr>
        <w:pStyle w:val="PARAGRAPH"/>
      </w:pPr>
      <w:r>
        <w:rPr>
          <w:b/>
        </w:rPr>
        <w:t xml:space="preserve">Annotated byte-level breakdown</w:t>
      </w:r>
    </w:p>
    <w:p w14:paraId="1D1D004A">
      <w:pPr>
        <w:pStyle w:val="TABLE-title"/>
        <w:keepNext/>
      </w:pPr>
      <w:bookmarkStart w:id="561" w:name="_Tab_built_in_int16_tab2"/>
      <w:r>
        <w:t xml:space="preserve">Table </w:t>
      </w:r>
      <w:r>
        <w:fldChar w:fldCharType="begin"/>
      </w:r>
      <w:r>
        <w:instrText xml:space="preserve"> SEQ Table \* ARABIC </w:instrText>
      </w:r>
      <w:r>
        <w:fldChar w:fldCharType="separate"/>
      </w:r>
      <w:r>
        <w:rPr>
          <w:noProof/>
        </w:rPr>
        <w:t xml:space="preserve">23</w:t>
      </w:r>
      <w:r>
        <w:fldChar w:fldCharType="end"/>
      </w:r>
      <w:r>
        <w:t xml:space="preserve"> – Built-in Int16 (2)</w:t>
      </w:r>
      <w:bookmarkEnd w:id="5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57C401E8">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6111244E">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7119D804">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7C18865E">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444AF33">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296CEE2C">
            <w:pPr>
              <w:pStyle w:val="TableText"/>
            </w:pPr>
            <w:r>
              <w:t xml:space="preserve">3</w:t>
            </w:r>
          </w:p>
        </w:tc>
        <w:tc>
          <w:tcPr>
            <w:tcW w:w="2231" w:type="dxa"/>
            <w:tcBorders>
              <w:top w:val="single" w:sz="4" w:space="0" w:color="auto"/>
              <w:left w:val="single" w:sz="4" w:space="0" w:color="auto"/>
              <w:bottom w:val="single" w:sz="4" w:space="0" w:color="auto"/>
              <w:right w:val="single" w:sz="4" w:space="0" w:color="auto"/>
            </w:tcBorders>
          </w:tcPr>
          <w:p w14:paraId="2E44C3D4">
            <w:pPr>
              <w:pStyle w:val="TableText"/>
            </w:pPr>
            <w:r>
              <w:rPr>
                <w:rStyle w:val="VARIABLE"/>
              </w:rPr>
              <w:t xml:space="preserve">ff ff 03</w:t>
            </w:r>
          </w:p>
        </w:tc>
        <w:tc>
          <w:tcPr>
            <w:tcW w:w="2233" w:type="dxa"/>
            <w:tcBorders>
              <w:top w:val="single" w:sz="4" w:space="0" w:color="auto"/>
              <w:left w:val="single" w:sz="4" w:space="0" w:color="auto"/>
              <w:bottom w:val="single" w:sz="4" w:space="0" w:color="auto"/>
              <w:right w:val="single" w:sz="4" w:space="0" w:color="auto"/>
            </w:tcBorders>
          </w:tcPr>
          <w:p w14:paraId="75A21B97">
            <w:pPr>
              <w:pStyle w:val="TableText"/>
            </w:pPr>
            <w:r>
              <w:t xml:space="preserve">$: int = -32768</w:t>
            </w:r>
          </w:p>
        </w:tc>
      </w:tr>
    </w:tbl>
    <w:p w14:paraId="44ADC8C7">
      <w:pPr>
        <w:pStyle w:val="spacer"/>
      </w:pPr>
    </w:p>
    <w:p w14:paraId="567AC0A6">
      <w:pPr>
        <w:pStyle w:val="ANNEX-heading2"/>
      </w:pPr>
      <w:bookmarkStart w:id="562" w:name="_Clause_cA_2_5"/>
      <w:r>
        <w:t xml:space="preserve">Built-in UInt16</w:t>
      </w:r>
      <w:bookmarkEnd w:id="562"/>
    </w:p>
    <w:p w14:paraId="583B047B">
      <w:pPr>
        <w:pStyle w:val="PARAGRAPH"/>
      </w:pPr>
      <w:r>
        <w:rPr>
          <w:b/>
        </w:rPr>
        <w:t xml:space="preserve">SchemaId</w:t>
      </w:r>
      <w:r>
        <w:t xml:space="preserve"> </w:t>
      </w:r>
      <w:r>
        <w:rPr>
          <w:rStyle w:val="VARIABLE"/>
        </w:rPr>
        <w:t xml:space="preserve">8f5c393f1ad57572</w:t>
      </w:r>
    </w:p>
    <w:p w14:paraId="3DC3A649">
      <w:pPr>
        <w:pStyle w:val="TABLE-title"/>
        <w:keepNext/>
      </w:pPr>
      <w:bookmarkStart w:id="563" w:name="_Tab_built_in_uint16_tab1"/>
      <w:r>
        <w:t xml:space="preserve">Table </w:t>
      </w:r>
      <w:r>
        <w:fldChar w:fldCharType="begin"/>
      </w:r>
      <w:r>
        <w:instrText xml:space="preserve"> SEQ Table \* ARABIC </w:instrText>
      </w:r>
      <w:r>
        <w:fldChar w:fldCharType="separate"/>
      </w:r>
      <w:r>
        <w:rPr>
          <w:noProof/>
        </w:rPr>
        <w:t xml:space="preserve">24</w:t>
      </w:r>
      <w:r>
        <w:fldChar w:fldCharType="end"/>
      </w:r>
      <w:r>
        <w:t xml:space="preserve"> – Built-in UInt16</w:t>
      </w:r>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53F84833">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1527B0E9">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40610F3C">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0D1F10C5">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88F9B96">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0374A3F7">
            <w:pPr>
              <w:pStyle w:val="TableText"/>
            </w:pPr>
            <w:r>
              <w:rPr>
                <w:rStyle w:val="VARIABLE"/>
              </w:rPr>
              <w:t xml:space="preserve">"int"</w:t>
            </w:r>
          </w:p>
        </w:tc>
        <w:tc>
          <w:tcPr>
            <w:tcW w:w="2231" w:type="dxa"/>
            <w:tcBorders>
              <w:top w:val="single" w:sz="4" w:space="0" w:color="auto"/>
              <w:left w:val="single" w:sz="4" w:space="0" w:color="auto"/>
              <w:bottom w:val="single" w:sz="4" w:space="0" w:color="auto"/>
              <w:right w:val="single" w:sz="4" w:space="0" w:color="auto"/>
            </w:tcBorders>
          </w:tcPr>
          <w:p w14:paraId="4F9751C5">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3B12941">
            <w:pPr>
              <w:pStyle w:val="TableText"/>
            </w:pPr>
            <w:r>
              <w:t xml:space="preserve">OPC UA BuiltInType 5.</w:t>
            </w:r>
          </w:p>
        </w:tc>
      </w:tr>
    </w:tbl>
    <w:p w14:paraId="45CAE650">
      <w:pPr>
        <w:pStyle w:val="spacer"/>
      </w:pPr>
    </w:p>
    <w:p w14:paraId="5D4C92B7">
      <w:pPr>
        <w:pStyle w:val="PARAGRAPH"/>
      </w:pPr>
      <w:r>
        <w:rPr>
          <w:b/>
        </w:rPr>
        <w:t xml:space="preserve">Avro schema fragment</w:t>
      </w:r>
    </w:p>
    <w:p w14:paraId="01214D92">
      <w:pPr>
        <w:pStyle w:val="CODE"/>
      </w:pPr>
      <w:r>
        <w:t xml:space="preserve">"int"</w:t>
      </w:r>
    </w:p>
    <w:p w14:paraId="1C5B08E2">
      <w:pPr>
        <w:pStyle w:val="PARAGRAPH"/>
      </w:pPr>
      <w:r>
        <w:rPr>
          <w:b/>
        </w:rPr>
        <w:t xml:space="preserve">Example value</w:t>
      </w:r>
      <w:r>
        <w:t xml:space="preserve"> (</w:t>
      </w:r>
      <w:r>
        <w:rPr>
          <w:rStyle w:val="VARIABLE"/>
        </w:rPr>
        <w:t xml:space="preserve">uint16_max</w:t>
      </w:r>
      <w:r>
        <w:t xml:space="preserve">)</w:t>
      </w:r>
    </w:p>
    <w:p w14:paraId="5A6C5A17">
      <w:pPr>
        <w:pStyle w:val="CODE"/>
      </w:pPr>
      <w:r>
        <w:t xml:space="preserve">65535</w:t>
      </w:r>
    </w:p>
    <w:p w14:paraId="63CA08FC">
      <w:pPr>
        <w:pStyle w:val="PARAGRAPH"/>
      </w:pPr>
      <w:r>
        <w:rPr>
          <w:b/>
        </w:rPr>
        <w:t xml:space="preserve">Encoded bytes</w:t>
      </w:r>
      <w:r>
        <w:t xml:space="preserve"> (3 bytes)</w:t>
      </w:r>
    </w:p>
    <w:p w14:paraId="451D0945">
      <w:pPr>
        <w:pStyle w:val="CODE"/>
      </w:pPr>
      <w:r>
        <w:t xml:space="preserve">feff07</w:t>
      </w:r>
    </w:p>
    <w:p w14:paraId="6818405D">
      <w:pPr>
        <w:pStyle w:val="PARAGRAPH"/>
      </w:pPr>
      <w:r>
        <w:rPr>
          <w:b/>
        </w:rPr>
        <w:t xml:space="preserve">Annotated byte-level breakdown</w:t>
      </w:r>
    </w:p>
    <w:p w14:paraId="12EAF34F">
      <w:pPr>
        <w:pStyle w:val="TABLE-title"/>
        <w:keepNext/>
      </w:pPr>
      <w:bookmarkStart w:id="564" w:name="_Tab_built_in_uint16_tab2"/>
      <w:r>
        <w:t xml:space="preserve">Table </w:t>
      </w:r>
      <w:r>
        <w:fldChar w:fldCharType="begin"/>
      </w:r>
      <w:r>
        <w:instrText xml:space="preserve"> SEQ Table \* ARABIC </w:instrText>
      </w:r>
      <w:r>
        <w:fldChar w:fldCharType="separate"/>
      </w:r>
      <w:r>
        <w:rPr>
          <w:noProof/>
        </w:rPr>
        <w:t xml:space="preserve">25</w:t>
      </w:r>
      <w:r>
        <w:fldChar w:fldCharType="end"/>
      </w:r>
      <w:r>
        <w:t xml:space="preserve"> – Built-in UInt16 (2)</w:t>
      </w:r>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0BA63531">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6B13D659">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01429C97">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2E0B7568">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23ED1A6">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64BB7F23">
            <w:pPr>
              <w:pStyle w:val="TableText"/>
            </w:pPr>
            <w:r>
              <w:t xml:space="preserve">3</w:t>
            </w:r>
          </w:p>
        </w:tc>
        <w:tc>
          <w:tcPr>
            <w:tcW w:w="2231" w:type="dxa"/>
            <w:tcBorders>
              <w:top w:val="single" w:sz="4" w:space="0" w:color="auto"/>
              <w:left w:val="single" w:sz="4" w:space="0" w:color="auto"/>
              <w:bottom w:val="single" w:sz="4" w:space="0" w:color="auto"/>
              <w:right w:val="single" w:sz="4" w:space="0" w:color="auto"/>
            </w:tcBorders>
          </w:tcPr>
          <w:p w14:paraId="6D4DB315">
            <w:pPr>
              <w:pStyle w:val="TableText"/>
            </w:pPr>
            <w:r>
              <w:rPr>
                <w:rStyle w:val="VARIABLE"/>
              </w:rPr>
              <w:t xml:space="preserve">fe ff 07</w:t>
            </w:r>
          </w:p>
        </w:tc>
        <w:tc>
          <w:tcPr>
            <w:tcW w:w="2233" w:type="dxa"/>
            <w:tcBorders>
              <w:top w:val="single" w:sz="4" w:space="0" w:color="auto"/>
              <w:left w:val="single" w:sz="4" w:space="0" w:color="auto"/>
              <w:bottom w:val="single" w:sz="4" w:space="0" w:color="auto"/>
              <w:right w:val="single" w:sz="4" w:space="0" w:color="auto"/>
            </w:tcBorders>
          </w:tcPr>
          <w:p w14:paraId="7BE5A27B">
            <w:pPr>
              <w:pStyle w:val="TableText"/>
            </w:pPr>
            <w:r>
              <w:t xml:space="preserve">$: int = 65535</w:t>
            </w:r>
          </w:p>
        </w:tc>
      </w:tr>
    </w:tbl>
    <w:p w14:paraId="00A57E55">
      <w:pPr>
        <w:pStyle w:val="spacer"/>
      </w:pPr>
    </w:p>
    <w:p w14:paraId="329D2F41">
      <w:pPr>
        <w:pStyle w:val="ANNEX-heading2"/>
      </w:pPr>
      <w:bookmarkStart w:id="565" w:name="_Clause_cA_2_6"/>
      <w:r>
        <w:t xml:space="preserve">Built-in Int32</w:t>
      </w:r>
      <w:bookmarkEnd w:id="565"/>
    </w:p>
    <w:p w14:paraId="5EF19BE6">
      <w:pPr>
        <w:pStyle w:val="PARAGRAPH"/>
      </w:pPr>
      <w:r>
        <w:rPr>
          <w:b/>
        </w:rPr>
        <w:t xml:space="preserve">SchemaId</w:t>
      </w:r>
      <w:r>
        <w:t xml:space="preserve"> </w:t>
      </w:r>
      <w:r>
        <w:rPr>
          <w:rStyle w:val="VARIABLE"/>
        </w:rPr>
        <w:t xml:space="preserve">8f5c393f1ad57572</w:t>
      </w:r>
    </w:p>
    <w:p w14:paraId="7226EC82">
      <w:pPr>
        <w:pStyle w:val="TABLE-title"/>
        <w:keepNext/>
      </w:pPr>
      <w:bookmarkStart w:id="566" w:name="_Tab_built_in_int32_tab1"/>
      <w:r>
        <w:t xml:space="preserve">Table </w:t>
      </w:r>
      <w:r>
        <w:fldChar w:fldCharType="begin"/>
      </w:r>
      <w:r>
        <w:instrText xml:space="preserve"> SEQ Table \* ARABIC </w:instrText>
      </w:r>
      <w:r>
        <w:fldChar w:fldCharType="separate"/>
      </w:r>
      <w:r>
        <w:rPr>
          <w:noProof/>
        </w:rPr>
        <w:t xml:space="preserve">26</w:t>
      </w:r>
      <w:r>
        <w:fldChar w:fldCharType="end"/>
      </w:r>
      <w:r>
        <w:t xml:space="preserve"> – Built-in Int32</w:t>
      </w:r>
      <w:bookmarkEnd w:id="5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843C38A">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61AE3C32">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7E7E249C">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6DD01410">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8185AFE">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6402D6DE">
            <w:pPr>
              <w:pStyle w:val="TableText"/>
            </w:pPr>
            <w:r>
              <w:rPr>
                <w:rStyle w:val="VARIABLE"/>
              </w:rPr>
              <w:t xml:space="preserve">"int"</w:t>
            </w:r>
          </w:p>
        </w:tc>
        <w:tc>
          <w:tcPr>
            <w:tcW w:w="2231" w:type="dxa"/>
            <w:tcBorders>
              <w:top w:val="single" w:sz="4" w:space="0" w:color="auto"/>
              <w:left w:val="single" w:sz="4" w:space="0" w:color="auto"/>
              <w:bottom w:val="single" w:sz="4" w:space="0" w:color="auto"/>
              <w:right w:val="single" w:sz="4" w:space="0" w:color="auto"/>
            </w:tcBorders>
          </w:tcPr>
          <w:p w14:paraId="3E42F1EE">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4F4D2710">
            <w:pPr>
              <w:pStyle w:val="TableText"/>
            </w:pPr>
            <w:r>
              <w:t xml:space="preserve">OPC UA BuiltInType 6.</w:t>
            </w:r>
          </w:p>
        </w:tc>
      </w:tr>
    </w:tbl>
    <w:p w14:paraId="1FA4A502">
      <w:pPr>
        <w:pStyle w:val="spacer"/>
      </w:pPr>
    </w:p>
    <w:p w14:paraId="30A96FE2">
      <w:pPr>
        <w:pStyle w:val="PARAGRAPH"/>
      </w:pPr>
      <w:r>
        <w:rPr>
          <w:b/>
        </w:rPr>
        <w:t xml:space="preserve">Avro schema fragment</w:t>
      </w:r>
    </w:p>
    <w:p w14:paraId="6E779A04">
      <w:pPr>
        <w:pStyle w:val="CODE"/>
      </w:pPr>
      <w:r>
        <w:t xml:space="preserve">"int"</w:t>
      </w:r>
    </w:p>
    <w:p w14:paraId="6C6064D8">
      <w:pPr>
        <w:pStyle w:val="PARAGRAPH"/>
      </w:pPr>
      <w:r>
        <w:rPr>
          <w:b/>
        </w:rPr>
        <w:t xml:space="preserve">Example value</w:t>
      </w:r>
      <w:r>
        <w:t xml:space="preserve"> (</w:t>
      </w:r>
      <w:r>
        <w:rPr>
          <w:rStyle w:val="VARIABLE"/>
        </w:rPr>
        <w:t xml:space="preserve">int32_min</w:t>
      </w:r>
      <w:r>
        <w:t xml:space="preserve">)</w:t>
      </w:r>
    </w:p>
    <w:p w14:paraId="44831579">
      <w:pPr>
        <w:pStyle w:val="CODE"/>
      </w:pPr>
      <w:r>
        <w:t xml:space="preserve">-2147483648</w:t>
      </w:r>
    </w:p>
    <w:p w14:paraId="54790B34">
      <w:pPr>
        <w:pStyle w:val="PARAGRAPH"/>
      </w:pPr>
      <w:r>
        <w:rPr>
          <w:b/>
        </w:rPr>
        <w:t xml:space="preserve">Encoded bytes</w:t>
      </w:r>
      <w:r>
        <w:t xml:space="preserve"> (5 bytes)</w:t>
      </w:r>
    </w:p>
    <w:p w14:paraId="438A29AD">
      <w:pPr>
        <w:pStyle w:val="CODE"/>
      </w:pPr>
      <w:r>
        <w:t xml:space="preserve">ffffffff0f</w:t>
      </w:r>
    </w:p>
    <w:p w14:paraId="3B576891">
      <w:pPr>
        <w:pStyle w:val="PARAGRAPH"/>
      </w:pPr>
      <w:r>
        <w:rPr>
          <w:b/>
        </w:rPr>
        <w:t xml:space="preserve">Annotated byte-level breakdown</w:t>
      </w:r>
    </w:p>
    <w:p w14:paraId="698A1ADE">
      <w:pPr>
        <w:pStyle w:val="TABLE-title"/>
        <w:keepNext/>
      </w:pPr>
      <w:bookmarkStart w:id="567" w:name="_Tab_built_in_int32_tab2"/>
      <w:r>
        <w:t xml:space="preserve">Table </w:t>
      </w:r>
      <w:r>
        <w:fldChar w:fldCharType="begin"/>
      </w:r>
      <w:r>
        <w:instrText xml:space="preserve"> SEQ Table \* ARABIC </w:instrText>
      </w:r>
      <w:r>
        <w:fldChar w:fldCharType="separate"/>
      </w:r>
      <w:r>
        <w:rPr>
          <w:noProof/>
        </w:rPr>
        <w:t xml:space="preserve">27</w:t>
      </w:r>
      <w:r>
        <w:fldChar w:fldCharType="end"/>
      </w:r>
      <w:r>
        <w:t xml:space="preserve"> – Built-in Int32 (2)</w:t>
      </w:r>
      <w:bookmarkEnd w:id="5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74F6CD7">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695559D0">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331F686F">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3C778B73">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9CD6D7E">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22A3C9E7">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14:paraId="43CAD3A9">
            <w:pPr>
              <w:pStyle w:val="TableText"/>
            </w:pPr>
            <w:r>
              <w:rPr>
                <w:rStyle w:val="VARIABLE"/>
              </w:rPr>
              <w:t xml:space="preserve">ff ff ff ff 0f</w:t>
            </w:r>
          </w:p>
        </w:tc>
        <w:tc>
          <w:tcPr>
            <w:tcW w:w="2233" w:type="dxa"/>
            <w:tcBorders>
              <w:top w:val="single" w:sz="4" w:space="0" w:color="auto"/>
              <w:left w:val="single" w:sz="4" w:space="0" w:color="auto"/>
              <w:bottom w:val="single" w:sz="4" w:space="0" w:color="auto"/>
              <w:right w:val="single" w:sz="4" w:space="0" w:color="auto"/>
            </w:tcBorders>
          </w:tcPr>
          <w:p w14:paraId="745DE977">
            <w:pPr>
              <w:pStyle w:val="TableText"/>
            </w:pPr>
            <w:r>
              <w:t xml:space="preserve">$: int = -2147483648</w:t>
            </w:r>
          </w:p>
        </w:tc>
      </w:tr>
    </w:tbl>
    <w:p w14:paraId="381B9D4B">
      <w:pPr>
        <w:pStyle w:val="spacer"/>
      </w:pPr>
    </w:p>
    <w:p w14:paraId="7936A7F3">
      <w:pPr>
        <w:pStyle w:val="ANNEX-heading2"/>
      </w:pPr>
      <w:bookmarkStart w:id="568" w:name="_Clause_cA_2_7"/>
      <w:r>
        <w:t xml:space="preserve">Built-in UInt32</w:t>
      </w:r>
      <w:bookmarkEnd w:id="568"/>
    </w:p>
    <w:p w14:paraId="40E33D54">
      <w:pPr>
        <w:pStyle w:val="PARAGRAPH"/>
      </w:pPr>
      <w:r>
        <w:rPr>
          <w:b/>
        </w:rPr>
        <w:t xml:space="preserve">SchemaId</w:t>
      </w:r>
      <w:r>
        <w:t xml:space="preserve"> </w:t>
      </w:r>
      <w:r>
        <w:rPr>
          <w:rStyle w:val="VARIABLE"/>
        </w:rPr>
        <w:t xml:space="preserve">8f5c393f1ad57572</w:t>
      </w:r>
    </w:p>
    <w:p w14:paraId="00651F60">
      <w:pPr>
        <w:pStyle w:val="TABLE-title"/>
        <w:keepNext/>
      </w:pPr>
      <w:bookmarkStart w:id="569" w:name="_Tab_built_in_uint32_tab1"/>
      <w:r>
        <w:t xml:space="preserve">Table </w:t>
      </w:r>
      <w:r>
        <w:fldChar w:fldCharType="begin"/>
      </w:r>
      <w:r>
        <w:instrText xml:space="preserve"> SEQ Table \* ARABIC </w:instrText>
      </w:r>
      <w:r>
        <w:fldChar w:fldCharType="separate"/>
      </w:r>
      <w:r>
        <w:rPr>
          <w:noProof/>
        </w:rPr>
        <w:t xml:space="preserve">28</w:t>
      </w:r>
      <w:r>
        <w:fldChar w:fldCharType="end"/>
      </w:r>
      <w:r>
        <w:t xml:space="preserve"> – Built-in UInt32</w:t>
      </w:r>
      <w:bookmarkEnd w:id="5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04BD0151">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48733971">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67E919FA">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2C9F45D1">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FE231ED">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57ED7244">
            <w:pPr>
              <w:pStyle w:val="TableText"/>
            </w:pPr>
            <w:r>
              <w:rPr>
                <w:rStyle w:val="VARIABLE"/>
              </w:rPr>
              <w:t xml:space="preserve">"int"</w:t>
            </w:r>
          </w:p>
        </w:tc>
        <w:tc>
          <w:tcPr>
            <w:tcW w:w="2231" w:type="dxa"/>
            <w:tcBorders>
              <w:top w:val="single" w:sz="4" w:space="0" w:color="auto"/>
              <w:left w:val="single" w:sz="4" w:space="0" w:color="auto"/>
              <w:bottom w:val="single" w:sz="4" w:space="0" w:color="auto"/>
              <w:right w:val="single" w:sz="4" w:space="0" w:color="auto"/>
            </w:tcBorders>
          </w:tcPr>
          <w:p w14:paraId="22CDBA3C">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4399175B">
            <w:pPr>
              <w:pStyle w:val="TableText"/>
            </w:pPr>
            <w:r>
              <w:t xml:space="preserve">OPC UA BuiltInType 7.</w:t>
            </w:r>
          </w:p>
        </w:tc>
      </w:tr>
    </w:tbl>
    <w:p w14:paraId="587ECBBC">
      <w:pPr>
        <w:pStyle w:val="spacer"/>
      </w:pPr>
    </w:p>
    <w:p w14:paraId="7DB3E7FC">
      <w:pPr>
        <w:pStyle w:val="PARAGRAPH"/>
      </w:pPr>
      <w:r>
        <w:rPr>
          <w:b/>
        </w:rPr>
        <w:t xml:space="preserve">Avro schema fragment</w:t>
      </w:r>
    </w:p>
    <w:p w14:paraId="40390481">
      <w:pPr>
        <w:pStyle w:val="CODE"/>
      </w:pPr>
      <w:r>
        <w:t xml:space="preserve">"int"</w:t>
      </w:r>
    </w:p>
    <w:p w14:paraId="0419CC72">
      <w:pPr>
        <w:pStyle w:val="PARAGRAPH"/>
      </w:pPr>
      <w:r>
        <w:rPr>
          <w:b/>
        </w:rPr>
        <w:t xml:space="preserve">Example value</w:t>
      </w:r>
      <w:r>
        <w:t xml:space="preserve"> (</w:t>
      </w:r>
      <w:r>
        <w:rPr>
          <w:rStyle w:val="VARIABLE"/>
        </w:rPr>
        <w:t xml:space="preserve">uint32_max</w:t>
      </w:r>
      <w:r>
        <w:t xml:space="preserve">)</w:t>
      </w:r>
    </w:p>
    <w:p w14:paraId="01D880F5">
      <w:pPr>
        <w:pStyle w:val="CODE"/>
      </w:pPr>
      <w:r>
        <w:t xml:space="preserve">4294967295</w:t>
      </w:r>
    </w:p>
    <w:p w14:paraId="626189E4">
      <w:pPr>
        <w:pStyle w:val="PARAGRAPH"/>
      </w:pPr>
      <w:r>
        <w:rPr>
          <w:b/>
        </w:rPr>
        <w:t xml:space="preserve">Encoded bytes</w:t>
      </w:r>
      <w:r>
        <w:t xml:space="preserve"> (1 bytes)</w:t>
      </w:r>
    </w:p>
    <w:p w14:paraId="789ABEF2">
      <w:pPr>
        <w:pStyle w:val="CODE"/>
      </w:pPr>
      <w:r>
        <w:t xml:space="preserve">01</w:t>
      </w:r>
    </w:p>
    <w:p w14:paraId="2BA66A16">
      <w:pPr>
        <w:pStyle w:val="PARAGRAPH"/>
      </w:pPr>
      <w:r>
        <w:rPr>
          <w:b/>
        </w:rPr>
        <w:t xml:space="preserve">Annotated byte-level breakdown</w:t>
      </w:r>
    </w:p>
    <w:p w14:paraId="7823FF8B">
      <w:pPr>
        <w:pStyle w:val="TABLE-title"/>
        <w:keepNext/>
      </w:pPr>
      <w:bookmarkStart w:id="570" w:name="_Tab_built_in_uint32_tab2"/>
      <w:r>
        <w:t xml:space="preserve">Table </w:t>
      </w:r>
      <w:r>
        <w:fldChar w:fldCharType="begin"/>
      </w:r>
      <w:r>
        <w:instrText xml:space="preserve"> SEQ Table \* ARABIC </w:instrText>
      </w:r>
      <w:r>
        <w:fldChar w:fldCharType="separate"/>
      </w:r>
      <w:r>
        <w:rPr>
          <w:noProof/>
        </w:rPr>
        <w:t xml:space="preserve">29</w:t>
      </w:r>
      <w:r>
        <w:fldChar w:fldCharType="end"/>
      </w:r>
      <w:r>
        <w:t xml:space="preserve"> – Built-in UInt32 (2)</w:t>
      </w:r>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0B979D5">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70771CF1">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000EF523">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2409B5F9">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B3B99D2">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6F17FCE5">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F5C283D">
            <w:pPr>
              <w:pStyle w:val="TableText"/>
            </w:pPr>
            <w:r>
              <w:rPr>
                <w:rStyle w:val="VARIABLE"/>
              </w:rPr>
              <w:t xml:space="preserve">01</w:t>
            </w:r>
          </w:p>
        </w:tc>
        <w:tc>
          <w:tcPr>
            <w:tcW w:w="2233" w:type="dxa"/>
            <w:tcBorders>
              <w:top w:val="single" w:sz="4" w:space="0" w:color="auto"/>
              <w:left w:val="single" w:sz="4" w:space="0" w:color="auto"/>
              <w:bottom w:val="single" w:sz="4" w:space="0" w:color="auto"/>
              <w:right w:val="single" w:sz="4" w:space="0" w:color="auto"/>
            </w:tcBorders>
          </w:tcPr>
          <w:p w14:paraId="6D8330BC">
            <w:pPr>
              <w:pStyle w:val="TableText"/>
            </w:pPr>
            <w:r>
              <w:t xml:space="preserve">$: int = -1</w:t>
            </w:r>
          </w:p>
        </w:tc>
      </w:tr>
    </w:tbl>
    <w:p w14:paraId="112D2C4C">
      <w:pPr>
        <w:pStyle w:val="spacer"/>
      </w:pPr>
    </w:p>
    <w:p w14:paraId="7700347A">
      <w:pPr>
        <w:pStyle w:val="ANNEX-heading2"/>
      </w:pPr>
      <w:bookmarkStart w:id="571" w:name="_Clause_cA_2_8"/>
      <w:r>
        <w:t xml:space="preserve">Built-in Int64</w:t>
      </w:r>
      <w:bookmarkEnd w:id="571"/>
    </w:p>
    <w:p w14:paraId="5487926E">
      <w:pPr>
        <w:pStyle w:val="PARAGRAPH"/>
      </w:pPr>
      <w:r>
        <w:rPr>
          <w:b/>
        </w:rPr>
        <w:t xml:space="preserve">SchemaId</w:t>
      </w:r>
      <w:r>
        <w:t xml:space="preserve"> </w:t>
      </w:r>
      <w:r>
        <w:rPr>
          <w:rStyle w:val="VARIABLE"/>
        </w:rPr>
        <w:t xml:space="preserve">b71df49344e154d0</w:t>
      </w:r>
    </w:p>
    <w:p w14:paraId="4D818298">
      <w:pPr>
        <w:pStyle w:val="TABLE-title"/>
        <w:keepNext/>
      </w:pPr>
      <w:bookmarkStart w:id="572" w:name="_Tab_built_in_int64_tab1"/>
      <w:r>
        <w:t xml:space="preserve">Table </w:t>
      </w:r>
      <w:r>
        <w:fldChar w:fldCharType="begin"/>
      </w:r>
      <w:r>
        <w:instrText xml:space="preserve"> SEQ Table \* ARABIC </w:instrText>
      </w:r>
      <w:r>
        <w:fldChar w:fldCharType="separate"/>
      </w:r>
      <w:r>
        <w:rPr>
          <w:noProof/>
        </w:rPr>
        <w:t xml:space="preserve">30</w:t>
      </w:r>
      <w:r>
        <w:fldChar w:fldCharType="end"/>
      </w:r>
      <w:r>
        <w:t xml:space="preserve"> – Built-in Int64</w:t>
      </w:r>
      <w:bookmarkEnd w:id="5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0D2728B4">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668087AC">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627CFB7C">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5A8B9223">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C5EDF9F">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37147EC5">
            <w:pPr>
              <w:pStyle w:val="TableText"/>
            </w:pPr>
            <w:r>
              <w:rPr>
                <w:rStyle w:val="VARIABLE"/>
              </w:rPr>
              <w:t xml:space="preserve">"long"</w:t>
            </w:r>
          </w:p>
        </w:tc>
        <w:tc>
          <w:tcPr>
            <w:tcW w:w="2231" w:type="dxa"/>
            <w:tcBorders>
              <w:top w:val="single" w:sz="4" w:space="0" w:color="auto"/>
              <w:left w:val="single" w:sz="4" w:space="0" w:color="auto"/>
              <w:bottom w:val="single" w:sz="4" w:space="0" w:color="auto"/>
              <w:right w:val="single" w:sz="4" w:space="0" w:color="auto"/>
            </w:tcBorders>
          </w:tcPr>
          <w:p w14:paraId="1C850C99">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217936FC">
            <w:pPr>
              <w:pStyle w:val="TableText"/>
            </w:pPr>
            <w:r>
              <w:t xml:space="preserve">OPC UA BuiltInType 8.</w:t>
            </w:r>
          </w:p>
        </w:tc>
      </w:tr>
    </w:tbl>
    <w:p w14:paraId="64C0A7F1">
      <w:pPr>
        <w:pStyle w:val="spacer"/>
      </w:pPr>
    </w:p>
    <w:p w14:paraId="5E248B02">
      <w:pPr>
        <w:pStyle w:val="PARAGRAPH"/>
      </w:pPr>
      <w:r>
        <w:rPr>
          <w:b/>
        </w:rPr>
        <w:t xml:space="preserve">Avro schema fragment</w:t>
      </w:r>
    </w:p>
    <w:p w14:paraId="7D5A76AB">
      <w:pPr>
        <w:pStyle w:val="CODE"/>
      </w:pPr>
      <w:r>
        <w:t xml:space="preserve">"long"</w:t>
      </w:r>
    </w:p>
    <w:p w14:paraId="2EDEBDF2">
      <w:pPr>
        <w:pStyle w:val="PARAGRAPH"/>
      </w:pPr>
      <w:r>
        <w:rPr>
          <w:b/>
        </w:rPr>
        <w:t xml:space="preserve">Example value</w:t>
      </w:r>
      <w:r>
        <w:t xml:space="preserve"> (</w:t>
      </w:r>
      <w:r>
        <w:rPr>
          <w:rStyle w:val="VARIABLE"/>
        </w:rPr>
        <w:t xml:space="preserve">int64_min</w:t>
      </w:r>
      <w:r>
        <w:t xml:space="preserve">)</w:t>
      </w:r>
    </w:p>
    <w:p w14:paraId="7FCDC715">
      <w:pPr>
        <w:pStyle w:val="CODE"/>
      </w:pPr>
      <w:r>
        <w:t xml:space="preserve">-9223372036854775808</w:t>
      </w:r>
    </w:p>
    <w:p w14:paraId="16BD5085">
      <w:pPr>
        <w:pStyle w:val="PARAGRAPH"/>
      </w:pPr>
      <w:r>
        <w:rPr>
          <w:b/>
        </w:rPr>
        <w:t xml:space="preserve">Encoded bytes</w:t>
      </w:r>
      <w:r>
        <w:t xml:space="preserve"> (10 bytes)</w:t>
      </w:r>
    </w:p>
    <w:p w14:paraId="1DFB6ADC">
      <w:pPr>
        <w:pStyle w:val="CODE"/>
      </w:pPr>
      <w:r>
        <w:t xml:space="preserve">ffffffffffffffffff01</w:t>
      </w:r>
    </w:p>
    <w:p w14:paraId="537DAF09">
      <w:pPr>
        <w:pStyle w:val="PARAGRAPH"/>
      </w:pPr>
      <w:r>
        <w:rPr>
          <w:b/>
        </w:rPr>
        <w:t xml:space="preserve">Annotated byte-level breakdown</w:t>
      </w:r>
    </w:p>
    <w:p w14:paraId="71225AC8">
      <w:pPr>
        <w:pStyle w:val="TABLE-title"/>
        <w:keepNext/>
      </w:pPr>
      <w:bookmarkStart w:id="573" w:name="_Tab_built_in_int64_tab2"/>
      <w:r>
        <w:t xml:space="preserve">Table </w:t>
      </w:r>
      <w:r>
        <w:fldChar w:fldCharType="begin"/>
      </w:r>
      <w:r>
        <w:instrText xml:space="preserve"> SEQ Table \* ARABIC </w:instrText>
      </w:r>
      <w:r>
        <w:fldChar w:fldCharType="separate"/>
      </w:r>
      <w:r>
        <w:rPr>
          <w:noProof/>
        </w:rPr>
        <w:t xml:space="preserve">31</w:t>
      </w:r>
      <w:r>
        <w:fldChar w:fldCharType="end"/>
      </w:r>
      <w:r>
        <w:t xml:space="preserve"> – Built-in Int64 (2)</w:t>
      </w:r>
      <w:bookmarkEnd w:id="5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2881105E">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264D5A89">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35E43527">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1EF371C5">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1E843CB">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03867468">
            <w:pPr>
              <w:pStyle w:val="TableText"/>
            </w:pPr>
            <w:r>
              <w:t xml:space="preserve">10</w:t>
            </w:r>
          </w:p>
        </w:tc>
        <w:tc>
          <w:tcPr>
            <w:tcW w:w="2231" w:type="dxa"/>
            <w:tcBorders>
              <w:top w:val="single" w:sz="4" w:space="0" w:color="auto"/>
              <w:left w:val="single" w:sz="4" w:space="0" w:color="auto"/>
              <w:bottom w:val="single" w:sz="4" w:space="0" w:color="auto"/>
              <w:right w:val="single" w:sz="4" w:space="0" w:color="auto"/>
            </w:tcBorders>
          </w:tcPr>
          <w:p w14:paraId="24413DC9">
            <w:pPr>
              <w:pStyle w:val="TableText"/>
            </w:pPr>
            <w:r>
              <w:rPr>
                <w:rStyle w:val="VARIABLE"/>
              </w:rPr>
              <w:t xml:space="preserve">ff ff ff ff ff ff ff ff ff 01</w:t>
            </w:r>
          </w:p>
        </w:tc>
        <w:tc>
          <w:tcPr>
            <w:tcW w:w="2233" w:type="dxa"/>
            <w:tcBorders>
              <w:top w:val="single" w:sz="4" w:space="0" w:color="auto"/>
              <w:left w:val="single" w:sz="4" w:space="0" w:color="auto"/>
              <w:bottom w:val="single" w:sz="4" w:space="0" w:color="auto"/>
              <w:right w:val="single" w:sz="4" w:space="0" w:color="auto"/>
            </w:tcBorders>
          </w:tcPr>
          <w:p w14:paraId="44190677">
            <w:pPr>
              <w:pStyle w:val="TableText"/>
            </w:pPr>
            <w:r>
              <w:t xml:space="preserve">$: long = -9223372036854775808</w:t>
            </w:r>
          </w:p>
        </w:tc>
      </w:tr>
    </w:tbl>
    <w:p w14:paraId="0BFFFFB8">
      <w:pPr>
        <w:pStyle w:val="spacer"/>
      </w:pPr>
    </w:p>
    <w:p w14:paraId="5014EE03">
      <w:pPr>
        <w:pStyle w:val="ANNEX-heading2"/>
      </w:pPr>
      <w:bookmarkStart w:id="574" w:name="_Clause_cA_2_9"/>
      <w:r>
        <w:t xml:space="preserve">Built-in UInt64</w:t>
      </w:r>
      <w:bookmarkEnd w:id="574"/>
    </w:p>
    <w:p w14:paraId="32059BC2">
      <w:pPr>
        <w:pStyle w:val="PARAGRAPH"/>
      </w:pPr>
      <w:r>
        <w:rPr>
          <w:b/>
        </w:rPr>
        <w:t xml:space="preserve">SchemaId</w:t>
      </w:r>
      <w:r>
        <w:t xml:space="preserve"> </w:t>
      </w:r>
      <w:r>
        <w:rPr>
          <w:rStyle w:val="VARIABLE"/>
        </w:rPr>
        <w:t xml:space="preserve">b71df49344e154d0</w:t>
      </w:r>
    </w:p>
    <w:p w14:paraId="4ACB1490">
      <w:pPr>
        <w:pStyle w:val="TABLE-title"/>
        <w:keepNext/>
      </w:pPr>
      <w:bookmarkStart w:id="575" w:name="_Tab_built_in_uint64_tab1"/>
      <w:r>
        <w:t xml:space="preserve">Table </w:t>
      </w:r>
      <w:r>
        <w:fldChar w:fldCharType="begin"/>
      </w:r>
      <w:r>
        <w:instrText xml:space="preserve"> SEQ Table \* ARABIC </w:instrText>
      </w:r>
      <w:r>
        <w:fldChar w:fldCharType="separate"/>
      </w:r>
      <w:r>
        <w:rPr>
          <w:noProof/>
        </w:rPr>
        <w:t xml:space="preserve">32</w:t>
      </w:r>
      <w:r>
        <w:fldChar w:fldCharType="end"/>
      </w:r>
      <w:r>
        <w:t xml:space="preserve"> – Built-in UInt64</w:t>
      </w:r>
      <w:bookmarkEnd w:id="5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52C9A562">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6ADF34ED">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231DB56B">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15A1140B">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10CFBD0">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5F289F49">
            <w:pPr>
              <w:pStyle w:val="TableText"/>
            </w:pPr>
            <w:r>
              <w:rPr>
                <w:rStyle w:val="VARIABLE"/>
              </w:rPr>
              <w:t xml:space="preserve">"long"</w:t>
            </w:r>
          </w:p>
        </w:tc>
        <w:tc>
          <w:tcPr>
            <w:tcW w:w="2231" w:type="dxa"/>
            <w:tcBorders>
              <w:top w:val="single" w:sz="4" w:space="0" w:color="auto"/>
              <w:left w:val="single" w:sz="4" w:space="0" w:color="auto"/>
              <w:bottom w:val="single" w:sz="4" w:space="0" w:color="auto"/>
              <w:right w:val="single" w:sz="4" w:space="0" w:color="auto"/>
            </w:tcBorders>
          </w:tcPr>
          <w:p w14:paraId="46D65695">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2857FF3A">
            <w:pPr>
              <w:pStyle w:val="TableText"/>
            </w:pPr>
            <w:r>
              <w:t xml:space="preserve">OPC UA BuiltInType 9.</w:t>
            </w:r>
          </w:p>
        </w:tc>
      </w:tr>
    </w:tbl>
    <w:p w14:paraId="6067D994">
      <w:pPr>
        <w:pStyle w:val="spacer"/>
      </w:pPr>
    </w:p>
    <w:p w14:paraId="0EBF8F71">
      <w:pPr>
        <w:pStyle w:val="PARAGRAPH"/>
      </w:pPr>
      <w:r>
        <w:rPr>
          <w:b/>
        </w:rPr>
        <w:t xml:space="preserve">Avro schema fragment</w:t>
      </w:r>
    </w:p>
    <w:p w14:paraId="154BF65E">
      <w:pPr>
        <w:pStyle w:val="CODE"/>
      </w:pPr>
      <w:r>
        <w:t xml:space="preserve">"long"</w:t>
      </w:r>
    </w:p>
    <w:p w14:paraId="3211ABD3">
      <w:pPr>
        <w:pStyle w:val="PARAGRAPH"/>
      </w:pPr>
      <w:r>
        <w:rPr>
          <w:b/>
        </w:rPr>
        <w:t xml:space="preserve">Example value</w:t>
      </w:r>
      <w:r>
        <w:t xml:space="preserve"> (</w:t>
      </w:r>
      <w:r>
        <w:rPr>
          <w:rStyle w:val="VARIABLE"/>
        </w:rPr>
        <w:t xml:space="preserve">uint64_max</w:t>
      </w:r>
      <w:r>
        <w:t xml:space="preserve">)</w:t>
      </w:r>
    </w:p>
    <w:p w14:paraId="0072E1BA">
      <w:pPr>
        <w:pStyle w:val="CODE"/>
      </w:pPr>
      <w:r>
        <w:t xml:space="preserve">18446744073709551615</w:t>
      </w:r>
    </w:p>
    <w:p w14:paraId="124A041F">
      <w:pPr>
        <w:pStyle w:val="PARAGRAPH"/>
      </w:pPr>
      <w:r>
        <w:rPr>
          <w:b/>
        </w:rPr>
        <w:t xml:space="preserve">Encoded bytes</w:t>
      </w:r>
      <w:r>
        <w:t xml:space="preserve"> (1 bytes)</w:t>
      </w:r>
    </w:p>
    <w:p w14:paraId="13FE0C58">
      <w:pPr>
        <w:pStyle w:val="CODE"/>
      </w:pPr>
      <w:r>
        <w:t xml:space="preserve">01</w:t>
      </w:r>
    </w:p>
    <w:p w14:paraId="3165AD07">
      <w:pPr>
        <w:pStyle w:val="PARAGRAPH"/>
      </w:pPr>
      <w:r>
        <w:rPr>
          <w:b/>
        </w:rPr>
        <w:t xml:space="preserve">Annotated byte-level breakdown</w:t>
      </w:r>
    </w:p>
    <w:p w14:paraId="0C6DCF4F">
      <w:pPr>
        <w:pStyle w:val="TABLE-title"/>
        <w:keepNext/>
      </w:pPr>
      <w:bookmarkStart w:id="576" w:name="_Tab_built_in_uint64_tab2"/>
      <w:r>
        <w:t xml:space="preserve">Table </w:t>
      </w:r>
      <w:r>
        <w:fldChar w:fldCharType="begin"/>
      </w:r>
      <w:r>
        <w:instrText xml:space="preserve"> SEQ Table \* ARABIC </w:instrText>
      </w:r>
      <w:r>
        <w:fldChar w:fldCharType="separate"/>
      </w:r>
      <w:r>
        <w:rPr>
          <w:noProof/>
        </w:rPr>
        <w:t xml:space="preserve">33</w:t>
      </w:r>
      <w:r>
        <w:fldChar w:fldCharType="end"/>
      </w:r>
      <w:r>
        <w:t xml:space="preserve"> – Built-in UInt64 (2)</w:t>
      </w:r>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50070DA8">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02A3DAEA">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72FAD4FD">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73DBE4DA">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43CD29A">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42F3C190">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2042EAD">
            <w:pPr>
              <w:pStyle w:val="TableText"/>
            </w:pPr>
            <w:r>
              <w:rPr>
                <w:rStyle w:val="VARIABLE"/>
              </w:rPr>
              <w:t xml:space="preserve">01</w:t>
            </w:r>
          </w:p>
        </w:tc>
        <w:tc>
          <w:tcPr>
            <w:tcW w:w="2233" w:type="dxa"/>
            <w:tcBorders>
              <w:top w:val="single" w:sz="4" w:space="0" w:color="auto"/>
              <w:left w:val="single" w:sz="4" w:space="0" w:color="auto"/>
              <w:bottom w:val="single" w:sz="4" w:space="0" w:color="auto"/>
              <w:right w:val="single" w:sz="4" w:space="0" w:color="auto"/>
            </w:tcBorders>
          </w:tcPr>
          <w:p w14:paraId="5AF9E6AC">
            <w:pPr>
              <w:pStyle w:val="TableText"/>
            </w:pPr>
            <w:r>
              <w:t xml:space="preserve">$: long = -1</w:t>
            </w:r>
          </w:p>
        </w:tc>
      </w:tr>
    </w:tbl>
    <w:p w14:paraId="2E5F4ED3">
      <w:pPr>
        <w:pStyle w:val="spacer"/>
      </w:pPr>
    </w:p>
    <w:p w14:paraId="3A7C0BD2">
      <w:pPr>
        <w:pStyle w:val="ANNEX-heading2"/>
      </w:pPr>
      <w:bookmarkStart w:id="577" w:name="_Clause_cA_2_10"/>
      <w:r>
        <w:t xml:space="preserve">Built-in Float</w:t>
      </w:r>
      <w:bookmarkEnd w:id="577"/>
    </w:p>
    <w:p w14:paraId="1215DFF9">
      <w:pPr>
        <w:pStyle w:val="PARAGRAPH"/>
      </w:pPr>
      <w:r>
        <w:rPr>
          <w:b/>
        </w:rPr>
        <w:t xml:space="preserve">SchemaId</w:t>
      </w:r>
      <w:r>
        <w:t xml:space="preserve"> </w:t>
      </w:r>
      <w:r>
        <w:rPr>
          <w:rStyle w:val="VARIABLE"/>
        </w:rPr>
        <w:t xml:space="preserve">90d7a83ecb027c4d</w:t>
      </w:r>
    </w:p>
    <w:p w14:paraId="77EE2211">
      <w:pPr>
        <w:pStyle w:val="TABLE-title"/>
        <w:keepNext/>
      </w:pPr>
      <w:bookmarkStart w:id="578" w:name="_Tab_built_in_float_tab1"/>
      <w:r>
        <w:t xml:space="preserve">Table </w:t>
      </w:r>
      <w:r>
        <w:fldChar w:fldCharType="begin"/>
      </w:r>
      <w:r>
        <w:instrText xml:space="preserve"> SEQ Table \* ARABIC </w:instrText>
      </w:r>
      <w:r>
        <w:fldChar w:fldCharType="separate"/>
      </w:r>
      <w:r>
        <w:rPr>
          <w:noProof/>
        </w:rPr>
        <w:t xml:space="preserve">34</w:t>
      </w:r>
      <w:r>
        <w:fldChar w:fldCharType="end"/>
      </w:r>
      <w:r>
        <w:t xml:space="preserve"> – Built-in Float</w:t>
      </w:r>
      <w:bookmarkEnd w:id="5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09ECE98A">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10AF787A">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44FE9D7F">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1063DA1F">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551CF99">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1156C12E">
            <w:pPr>
              <w:pStyle w:val="TableText"/>
            </w:pPr>
            <w:r>
              <w:rPr>
                <w:rStyle w:val="VARIABLE"/>
              </w:rPr>
              <w:t xml:space="preserve">"float"</w:t>
            </w:r>
          </w:p>
        </w:tc>
        <w:tc>
          <w:tcPr>
            <w:tcW w:w="2231" w:type="dxa"/>
            <w:tcBorders>
              <w:top w:val="single" w:sz="4" w:space="0" w:color="auto"/>
              <w:left w:val="single" w:sz="4" w:space="0" w:color="auto"/>
              <w:bottom w:val="single" w:sz="4" w:space="0" w:color="auto"/>
              <w:right w:val="single" w:sz="4" w:space="0" w:color="auto"/>
            </w:tcBorders>
          </w:tcPr>
          <w:p w14:paraId="51C3A912">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545F002">
            <w:pPr>
              <w:pStyle w:val="TableText"/>
            </w:pPr>
            <w:r>
              <w:t xml:space="preserve">OPC UA BuiltInType 10.</w:t>
            </w:r>
          </w:p>
        </w:tc>
      </w:tr>
    </w:tbl>
    <w:p w14:paraId="0577D7F1">
      <w:pPr>
        <w:pStyle w:val="spacer"/>
      </w:pPr>
    </w:p>
    <w:p w14:paraId="7CBA4E31">
      <w:pPr>
        <w:pStyle w:val="PARAGRAPH"/>
      </w:pPr>
      <w:r>
        <w:rPr>
          <w:b/>
        </w:rPr>
        <w:t xml:space="preserve">Avro schema fragment</w:t>
      </w:r>
    </w:p>
    <w:p w14:paraId="33A7DDF5">
      <w:pPr>
        <w:pStyle w:val="CODE"/>
      </w:pPr>
      <w:r>
        <w:t xml:space="preserve">"float"</w:t>
      </w:r>
    </w:p>
    <w:p w14:paraId="4155D619">
      <w:pPr>
        <w:pStyle w:val="PARAGRAPH"/>
      </w:pPr>
      <w:r>
        <w:rPr>
          <w:b/>
        </w:rPr>
        <w:t xml:space="preserve">Example value</w:t>
      </w:r>
      <w:r>
        <w:t xml:space="preserve"> (</w:t>
      </w:r>
      <w:r>
        <w:rPr>
          <w:rStyle w:val="VARIABLE"/>
        </w:rPr>
        <w:t xml:space="preserve">float_normal</w:t>
      </w:r>
      <w:r>
        <w:t xml:space="preserve">)</w:t>
      </w:r>
    </w:p>
    <w:p w14:paraId="0C88CE70">
      <w:pPr>
        <w:pStyle w:val="CODE"/>
      </w:pPr>
      <w:r>
        <w:t xml:space="preserve">1.5</w:t>
      </w:r>
    </w:p>
    <w:p w14:paraId="69FD32D1">
      <w:pPr>
        <w:pStyle w:val="PARAGRAPH"/>
      </w:pPr>
      <w:r>
        <w:rPr>
          <w:b/>
        </w:rPr>
        <w:t xml:space="preserve">Encoded bytes</w:t>
      </w:r>
      <w:r>
        <w:t xml:space="preserve"> (4 bytes)</w:t>
      </w:r>
    </w:p>
    <w:p w14:paraId="3ACB3997">
      <w:pPr>
        <w:pStyle w:val="CODE"/>
      </w:pPr>
      <w:r>
        <w:t xml:space="preserve">0000c03f</w:t>
      </w:r>
    </w:p>
    <w:p w14:paraId="1CF3CFFC">
      <w:pPr>
        <w:pStyle w:val="PARAGRAPH"/>
      </w:pPr>
      <w:r>
        <w:rPr>
          <w:b/>
        </w:rPr>
        <w:t xml:space="preserve">Annotated byte-level breakdown</w:t>
      </w:r>
    </w:p>
    <w:p w14:paraId="6C8A238A">
      <w:pPr>
        <w:pStyle w:val="TABLE-title"/>
        <w:keepNext/>
      </w:pPr>
      <w:bookmarkStart w:id="579" w:name="_Tab_built_in_float_tab2"/>
      <w:r>
        <w:t xml:space="preserve">Table </w:t>
      </w:r>
      <w:r>
        <w:fldChar w:fldCharType="begin"/>
      </w:r>
      <w:r>
        <w:instrText xml:space="preserve"> SEQ Table \* ARABIC </w:instrText>
      </w:r>
      <w:r>
        <w:fldChar w:fldCharType="separate"/>
      </w:r>
      <w:r>
        <w:rPr>
          <w:noProof/>
        </w:rPr>
        <w:t xml:space="preserve">35</w:t>
      </w:r>
      <w:r>
        <w:fldChar w:fldCharType="end"/>
      </w:r>
      <w:r>
        <w:t xml:space="preserve"> – Built-in Float (2)</w:t>
      </w:r>
      <w:bookmarkEnd w:id="5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5C534D4C">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0D47795A">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30DACC6D">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17E4C4DF">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10E1F4D">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03BC3609">
            <w:pPr>
              <w:pStyle w:val="TableText"/>
            </w:pPr>
            <w:r>
              <w:t xml:space="preserve">4</w:t>
            </w:r>
          </w:p>
        </w:tc>
        <w:tc>
          <w:tcPr>
            <w:tcW w:w="2231" w:type="dxa"/>
            <w:tcBorders>
              <w:top w:val="single" w:sz="4" w:space="0" w:color="auto"/>
              <w:left w:val="single" w:sz="4" w:space="0" w:color="auto"/>
              <w:bottom w:val="single" w:sz="4" w:space="0" w:color="auto"/>
              <w:right w:val="single" w:sz="4" w:space="0" w:color="auto"/>
            </w:tcBorders>
          </w:tcPr>
          <w:p w14:paraId="54DA65E3">
            <w:pPr>
              <w:pStyle w:val="TableText"/>
            </w:pPr>
            <w:r>
              <w:rPr>
                <w:rStyle w:val="VARIABLE"/>
              </w:rPr>
              <w:t xml:space="preserve">00 00 c0 3f</w:t>
            </w:r>
          </w:p>
        </w:tc>
        <w:tc>
          <w:tcPr>
            <w:tcW w:w="2233" w:type="dxa"/>
            <w:tcBorders>
              <w:top w:val="single" w:sz="4" w:space="0" w:color="auto"/>
              <w:left w:val="single" w:sz="4" w:space="0" w:color="auto"/>
              <w:bottom w:val="single" w:sz="4" w:space="0" w:color="auto"/>
              <w:right w:val="single" w:sz="4" w:space="0" w:color="auto"/>
            </w:tcBorders>
          </w:tcPr>
          <w:p w14:paraId="357164AA">
            <w:pPr>
              <w:pStyle w:val="TableText"/>
            </w:pPr>
            <w:r>
              <w:t xml:space="preserve">$: float32 little-endian</w:t>
            </w:r>
          </w:p>
        </w:tc>
      </w:tr>
    </w:tbl>
    <w:p w14:paraId="2B6B0DA3">
      <w:pPr>
        <w:pStyle w:val="spacer"/>
      </w:pPr>
    </w:p>
    <w:p w14:paraId="78C1544C">
      <w:pPr>
        <w:pStyle w:val="ANNEX-heading2"/>
      </w:pPr>
      <w:bookmarkStart w:id="580" w:name="_Clause_cA_2_11"/>
      <w:r>
        <w:t xml:space="preserve">Built-in Double</w:t>
      </w:r>
      <w:bookmarkEnd w:id="580"/>
    </w:p>
    <w:p w14:paraId="62BDFEFB">
      <w:pPr>
        <w:pStyle w:val="PARAGRAPH"/>
      </w:pPr>
      <w:r>
        <w:rPr>
          <w:b/>
        </w:rPr>
        <w:t xml:space="preserve">SchemaId</w:t>
      </w:r>
      <w:r>
        <w:t xml:space="preserve"> </w:t>
      </w:r>
      <w:r>
        <w:rPr>
          <w:rStyle w:val="VARIABLE"/>
        </w:rPr>
        <w:t xml:space="preserve">7e95ab32c035758e</w:t>
      </w:r>
    </w:p>
    <w:p w14:paraId="273C13B8">
      <w:pPr>
        <w:pStyle w:val="TABLE-title"/>
        <w:keepNext/>
      </w:pPr>
      <w:bookmarkStart w:id="581" w:name="_Tab_built_in_double_tab1"/>
      <w:r>
        <w:t xml:space="preserve">Table </w:t>
      </w:r>
      <w:r>
        <w:fldChar w:fldCharType="begin"/>
      </w:r>
      <w:r>
        <w:instrText xml:space="preserve"> SEQ Table \* ARABIC </w:instrText>
      </w:r>
      <w:r>
        <w:fldChar w:fldCharType="separate"/>
      </w:r>
      <w:r>
        <w:rPr>
          <w:noProof/>
        </w:rPr>
        <w:t xml:space="preserve">36</w:t>
      </w:r>
      <w:r>
        <w:fldChar w:fldCharType="end"/>
      </w:r>
      <w:r>
        <w:t xml:space="preserve"> – Built-in Double</w:t>
      </w:r>
      <w:bookmarkEnd w:id="5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52CFFFE0">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7F388111">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77152A7B">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73F5599B">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0472CA">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4C79B5B2">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035CAEAA">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374A2992">
            <w:pPr>
              <w:pStyle w:val="TableText"/>
            </w:pPr>
            <w:r>
              <w:t xml:space="preserve">OPC UA BuiltInType 11.</w:t>
            </w:r>
          </w:p>
        </w:tc>
      </w:tr>
    </w:tbl>
    <w:p w14:paraId="01C701BE">
      <w:pPr>
        <w:pStyle w:val="spacer"/>
      </w:pPr>
    </w:p>
    <w:p w14:paraId="0F5BBD28">
      <w:pPr>
        <w:pStyle w:val="PARAGRAPH"/>
      </w:pPr>
      <w:r>
        <w:rPr>
          <w:b/>
        </w:rPr>
        <w:t xml:space="preserve">Avro schema fragment</w:t>
      </w:r>
    </w:p>
    <w:p w14:paraId="665159EC">
      <w:pPr>
        <w:pStyle w:val="CODE"/>
      </w:pPr>
      <w:r>
        <w:t xml:space="preserve">"double"</w:t>
      </w:r>
    </w:p>
    <w:p w14:paraId="05864E63">
      <w:pPr>
        <w:pStyle w:val="PARAGRAPH"/>
      </w:pPr>
      <w:r>
        <w:rPr>
          <w:b/>
        </w:rPr>
        <w:t xml:space="preserve">Example value</w:t>
      </w:r>
      <w:r>
        <w:t xml:space="preserve"> (</w:t>
      </w:r>
      <w:r>
        <w:rPr>
          <w:rStyle w:val="VARIABLE"/>
        </w:rPr>
        <w:t xml:space="preserve">double_nan</w:t>
      </w:r>
      <w:r>
        <w:t xml:space="preserve">)</w:t>
      </w:r>
    </w:p>
    <w:p w14:paraId="4E7EBB36">
      <w:pPr>
        <w:pStyle w:val="CODE"/>
      </w:pPr>
      <w:r>
        <w:t xml:space="preserve">"NaN"</w:t>
      </w:r>
    </w:p>
    <w:p w14:paraId="7562F6AD">
      <w:pPr>
        <w:pStyle w:val="PARAGRAPH"/>
      </w:pPr>
      <w:r>
        <w:rPr>
          <w:b/>
        </w:rPr>
        <w:t xml:space="preserve">Encoded bytes</w:t>
      </w:r>
      <w:r>
        <w:t xml:space="preserve"> (8 bytes)</w:t>
      </w:r>
    </w:p>
    <w:p w14:paraId="0BC3F0EA">
      <w:pPr>
        <w:pStyle w:val="CODE"/>
      </w:pPr>
      <w:r>
        <w:t xml:space="preserve">000000000000f87f</w:t>
      </w:r>
    </w:p>
    <w:p w14:paraId="351FEBDB">
      <w:pPr>
        <w:pStyle w:val="PARAGRAPH"/>
      </w:pPr>
      <w:r>
        <w:rPr>
          <w:b/>
        </w:rPr>
        <w:t xml:space="preserve">Annotated byte-level breakdown</w:t>
      </w:r>
    </w:p>
    <w:p w14:paraId="76EBEB6E">
      <w:pPr>
        <w:pStyle w:val="TABLE-title"/>
        <w:keepNext/>
      </w:pPr>
      <w:bookmarkStart w:id="582" w:name="_Tab_built_in_double_tab2"/>
      <w:r>
        <w:t xml:space="preserve">Table </w:t>
      </w:r>
      <w:r>
        <w:fldChar w:fldCharType="begin"/>
      </w:r>
      <w:r>
        <w:instrText xml:space="preserve"> SEQ Table \* ARABIC </w:instrText>
      </w:r>
      <w:r>
        <w:fldChar w:fldCharType="separate"/>
      </w:r>
      <w:r>
        <w:rPr>
          <w:noProof/>
        </w:rPr>
        <w:t xml:space="preserve">37</w:t>
      </w:r>
      <w:r>
        <w:fldChar w:fldCharType="end"/>
      </w:r>
      <w:r>
        <w:t xml:space="preserve"> – Built-in Double (2)</w:t>
      </w:r>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C78A78C">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4B09448B">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1B86C6B9">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7A67FBDF">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77C62A8">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59F9F32E">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52CC4938">
            <w:pPr>
              <w:pStyle w:val="TableText"/>
            </w:pPr>
            <w:r>
              <w:rPr>
                <w:rStyle w:val="VARIABLE"/>
              </w:rPr>
              <w:t xml:space="preserve">00 00 00 00 00 00 f8 7f</w:t>
            </w:r>
          </w:p>
        </w:tc>
        <w:tc>
          <w:tcPr>
            <w:tcW w:w="2233" w:type="dxa"/>
            <w:tcBorders>
              <w:top w:val="single" w:sz="4" w:space="0" w:color="auto"/>
              <w:left w:val="single" w:sz="4" w:space="0" w:color="auto"/>
              <w:bottom w:val="single" w:sz="4" w:space="0" w:color="auto"/>
              <w:right w:val="single" w:sz="4" w:space="0" w:color="auto"/>
            </w:tcBorders>
          </w:tcPr>
          <w:p w14:paraId="54931851">
            <w:pPr>
              <w:pStyle w:val="TableText"/>
            </w:pPr>
            <w:r>
              <w:t xml:space="preserve">$: float64 little-endian</w:t>
            </w:r>
          </w:p>
        </w:tc>
      </w:tr>
    </w:tbl>
    <w:p w14:paraId="1A1C068D">
      <w:pPr>
        <w:pStyle w:val="spacer"/>
      </w:pPr>
    </w:p>
    <w:p w14:paraId="1F42D299">
      <w:pPr>
        <w:pStyle w:val="ANNEX-heading2"/>
      </w:pPr>
      <w:bookmarkStart w:id="583" w:name="_Clause_cA_2_12"/>
      <w:r>
        <w:t xml:space="preserve">Built-in String</w:t>
      </w:r>
      <w:bookmarkEnd w:id="583"/>
    </w:p>
    <w:p w14:paraId="0B9493BB">
      <w:pPr>
        <w:pStyle w:val="PARAGRAPH"/>
      </w:pPr>
      <w:r>
        <w:rPr>
          <w:b/>
        </w:rPr>
        <w:t xml:space="preserve">SchemaId</w:t>
      </w:r>
      <w:r>
        <w:t xml:space="preserve"> </w:t>
      </w:r>
      <w:r>
        <w:rPr>
          <w:rStyle w:val="VARIABLE"/>
        </w:rPr>
        <w:t xml:space="preserve">9dc47eb71ef24598</w:t>
      </w:r>
    </w:p>
    <w:p w14:paraId="14229090">
      <w:pPr>
        <w:pStyle w:val="TABLE-title"/>
        <w:keepNext/>
      </w:pPr>
      <w:bookmarkStart w:id="584" w:name="_Tab_built_in_string_tab1"/>
      <w:r>
        <w:t xml:space="preserve">Table </w:t>
      </w:r>
      <w:r>
        <w:fldChar w:fldCharType="begin"/>
      </w:r>
      <w:r>
        <w:instrText xml:space="preserve"> SEQ Table \* ARABIC </w:instrText>
      </w:r>
      <w:r>
        <w:fldChar w:fldCharType="separate"/>
      </w:r>
      <w:r>
        <w:rPr>
          <w:noProof/>
        </w:rPr>
        <w:t xml:space="preserve">38</w:t>
      </w:r>
      <w:r>
        <w:fldChar w:fldCharType="end"/>
      </w:r>
      <w:r>
        <w:t xml:space="preserve"> – Built-in String</w:t>
      </w:r>
      <w:bookmarkEnd w:id="5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23A04D70">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2233DD9D">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6B283546">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0F87629D">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F9548F4">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443272EC">
            <w:pPr>
              <w:pStyle w:val="TableText"/>
            </w:pPr>
            <w:r>
              <w:rPr>
                <w:rStyle w:val="VARIABLE"/>
              </w:rPr>
              <w:t xml:space="preserve">["null", "string"]</w:t>
            </w:r>
          </w:p>
        </w:tc>
        <w:tc>
          <w:tcPr>
            <w:tcW w:w="2231" w:type="dxa"/>
            <w:tcBorders>
              <w:top w:val="single" w:sz="4" w:space="0" w:color="auto"/>
              <w:left w:val="single" w:sz="4" w:space="0" w:color="auto"/>
              <w:bottom w:val="single" w:sz="4" w:space="0" w:color="auto"/>
              <w:right w:val="single" w:sz="4" w:space="0" w:color="auto"/>
            </w:tcBorders>
          </w:tcPr>
          <w:p w14:paraId="61982FF5">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51E60BE3">
            <w:pPr>
              <w:pStyle w:val="TableText"/>
            </w:pPr>
            <w:r>
              <w:t xml:space="preserve">OPC UA BuiltInType 12.</w:t>
            </w:r>
          </w:p>
        </w:tc>
      </w:tr>
    </w:tbl>
    <w:p w14:paraId="6D29F428">
      <w:pPr>
        <w:pStyle w:val="spacer"/>
      </w:pPr>
    </w:p>
    <w:p w14:paraId="2F875C06">
      <w:pPr>
        <w:pStyle w:val="PARAGRAPH"/>
      </w:pPr>
      <w:r>
        <w:rPr>
          <w:b/>
        </w:rPr>
        <w:t xml:space="preserve">Avro schema fragment</w:t>
      </w:r>
    </w:p>
    <w:p w14:paraId="6B6E0F6A">
      <w:pPr>
        <w:pStyle w:val="CODE"/>
      </w:pPr>
      <w:r>
        <w:t xml:space="preserve">[</w:t>
      </w:r>
    </w:p>
    <w:p w14:paraId="0817374A">
      <w:pPr>
        <w:pStyle w:val="CODE"/>
      </w:pPr>
      <w:r>
        <w:t xml:space="preserve">  "null",</w:t>
      </w:r>
    </w:p>
    <w:p w14:paraId="59032A0F">
      <w:pPr>
        <w:pStyle w:val="CODE"/>
      </w:pPr>
      <w:r>
        <w:t xml:space="preserve">  "string"</w:t>
      </w:r>
    </w:p>
    <w:p w14:paraId="0D0910E6">
      <w:pPr>
        <w:pStyle w:val="CODE"/>
      </w:pPr>
      <w:r>
        <w:t xml:space="preserve">]</w:t>
      </w:r>
    </w:p>
    <w:p w14:paraId="46201F71">
      <w:pPr>
        <w:pStyle w:val="PARAGRAPH"/>
      </w:pPr>
      <w:r>
        <w:rPr>
          <w:b/>
        </w:rPr>
        <w:t xml:space="preserve">Example value</w:t>
      </w:r>
      <w:r>
        <w:t xml:space="preserve"> (</w:t>
      </w:r>
      <w:r>
        <w:rPr>
          <w:rStyle w:val="VARIABLE"/>
        </w:rPr>
        <w:t xml:space="preserve">string_unicode</w:t>
      </w:r>
      <w:r>
        <w:t xml:space="preserve">)</w:t>
      </w:r>
    </w:p>
    <w:p w14:paraId="787A0D84">
      <w:pPr>
        <w:pStyle w:val="CODE"/>
      </w:pPr>
      <w:r>
        <w:t xml:space="preserve">"grüße-中文-😀"</w:t>
      </w:r>
    </w:p>
    <w:p w14:paraId="5D92CD77">
      <w:pPr>
        <w:pStyle w:val="PARAGRAPH"/>
      </w:pPr>
      <w:r>
        <w:rPr>
          <w:b/>
        </w:rPr>
        <w:t xml:space="preserve">Encoded bytes</w:t>
      </w:r>
      <w:r>
        <w:t xml:space="preserve"> (21 bytes)</w:t>
      </w:r>
    </w:p>
    <w:p w14:paraId="03FECCC2">
      <w:pPr>
        <w:pStyle w:val="CODE"/>
      </w:pPr>
      <w:r>
        <w:t xml:space="preserve">02266772c3bcc39f652de4b8ade696872df09f9880</w:t>
      </w:r>
    </w:p>
    <w:p w14:paraId="6D100087">
      <w:pPr>
        <w:pStyle w:val="PARAGRAPH"/>
      </w:pPr>
      <w:r>
        <w:rPr>
          <w:b/>
        </w:rPr>
        <w:t xml:space="preserve">Annotated byte-level breakdown</w:t>
      </w:r>
    </w:p>
    <w:p w14:paraId="763F14C1">
      <w:pPr>
        <w:pStyle w:val="TABLE-title"/>
        <w:keepNext/>
      </w:pPr>
      <w:bookmarkStart w:id="585" w:name="_Tab_built_in_string_tab2"/>
      <w:r>
        <w:t xml:space="preserve">Table </w:t>
      </w:r>
      <w:r>
        <w:fldChar w:fldCharType="begin"/>
      </w:r>
      <w:r>
        <w:instrText xml:space="preserve"> SEQ Table \* ARABIC </w:instrText>
      </w:r>
      <w:r>
        <w:fldChar w:fldCharType="separate"/>
      </w:r>
      <w:r>
        <w:rPr>
          <w:noProof/>
        </w:rPr>
        <w:t xml:space="preserve">39</w:t>
      </w:r>
      <w:r>
        <w:fldChar w:fldCharType="end"/>
      </w:r>
      <w:r>
        <w:t xml:space="preserve"> – Built-in String (2)</w:t>
      </w:r>
      <w:bookmarkEnd w:id="5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34C7DB0">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73BA2D98">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6DE1D2EF">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04C3BECC">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8293A44">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26DF95F9">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BA58B34">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34126900">
            <w:pPr>
              <w:pStyle w:val="TableText"/>
            </w:pPr>
            <w:r>
              <w:t xml:space="preserve">$: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85D0F94">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36CFF9A2">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E2A035D">
            <w:pPr>
              <w:pStyle w:val="TableText"/>
            </w:pPr>
            <w:r>
              <w:rPr>
                <w:rStyle w:val="VARIABLE"/>
              </w:rPr>
              <w:t xml:space="preserve">26</w:t>
            </w:r>
          </w:p>
        </w:tc>
        <w:tc>
          <w:tcPr>
            <w:tcW w:w="2233" w:type="dxa"/>
            <w:tcBorders>
              <w:top w:val="single" w:sz="4" w:space="0" w:color="auto"/>
              <w:left w:val="single" w:sz="4" w:space="0" w:color="auto"/>
              <w:bottom w:val="single" w:sz="4" w:space="0" w:color="auto"/>
              <w:right w:val="single" w:sz="4" w:space="0" w:color="auto"/>
            </w:tcBorders>
          </w:tcPr>
          <w:p w14:paraId="7B10A955">
            <w:pPr>
              <w:pStyle w:val="TableText"/>
            </w:pPr>
            <w:r>
              <w:t xml:space="preserve">$: branch 1 (string): string length = 19</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C6F0C73">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1BD409C0">
            <w:pPr>
              <w:pStyle w:val="TableText"/>
            </w:pPr>
            <w:r>
              <w:t xml:space="preserve">19</w:t>
            </w:r>
          </w:p>
        </w:tc>
        <w:tc>
          <w:tcPr>
            <w:tcW w:w="2231" w:type="dxa"/>
            <w:tcBorders>
              <w:top w:val="single" w:sz="4" w:space="0" w:color="auto"/>
              <w:left w:val="single" w:sz="4" w:space="0" w:color="auto"/>
              <w:bottom w:val="single" w:sz="4" w:space="0" w:color="auto"/>
              <w:right w:val="single" w:sz="4" w:space="0" w:color="auto"/>
            </w:tcBorders>
          </w:tcPr>
          <w:p w14:paraId="7FC4EFC7">
            <w:pPr>
              <w:pStyle w:val="TableText"/>
            </w:pPr>
            <w:r>
              <w:rPr>
                <w:rStyle w:val="VARIABLE"/>
              </w:rPr>
              <w:t xml:space="preserve">67 72 c3 bc c3 9f 65 2d e4 b8 ad e6 96 87 2d f0 … (+3 B)</w:t>
            </w:r>
          </w:p>
        </w:tc>
        <w:tc>
          <w:tcPr>
            <w:tcW w:w="2233" w:type="dxa"/>
            <w:tcBorders>
              <w:top w:val="single" w:sz="4" w:space="0" w:color="auto"/>
              <w:left w:val="single" w:sz="4" w:space="0" w:color="auto"/>
              <w:bottom w:val="single" w:sz="4" w:space="0" w:color="auto"/>
              <w:right w:val="single" w:sz="4" w:space="0" w:color="auto"/>
            </w:tcBorders>
          </w:tcPr>
          <w:p w14:paraId="5BF0D3E6">
            <w:pPr>
              <w:pStyle w:val="TableText"/>
            </w:pPr>
            <w:r>
              <w:t xml:space="preserve">$: branch 1 (string): string data</w:t>
            </w:r>
          </w:p>
        </w:tc>
      </w:tr>
    </w:tbl>
    <w:p w14:paraId="77EA2F42">
      <w:pPr>
        <w:pStyle w:val="spacer"/>
      </w:pPr>
    </w:p>
    <w:p w14:paraId="3DE136BA">
      <w:pPr>
        <w:pStyle w:val="ANNEX-heading2"/>
      </w:pPr>
      <w:bookmarkStart w:id="586" w:name="_Clause_cA_2_13"/>
      <w:r>
        <w:t xml:space="preserve">Built-in DateTime</w:t>
      </w:r>
      <w:bookmarkEnd w:id="586"/>
    </w:p>
    <w:p w14:paraId="1F89545B">
      <w:pPr>
        <w:pStyle w:val="PARAGRAPH"/>
      </w:pPr>
      <w:r>
        <w:rPr>
          <w:b/>
        </w:rPr>
        <w:t xml:space="preserve">SchemaId</w:t>
      </w:r>
      <w:r>
        <w:t xml:space="preserve"> </w:t>
      </w:r>
      <w:r>
        <w:rPr>
          <w:rStyle w:val="VARIABLE"/>
        </w:rPr>
        <w:t xml:space="preserve">b71df49344e154d0</w:t>
      </w:r>
    </w:p>
    <w:p w14:paraId="3158C8F0">
      <w:pPr>
        <w:pStyle w:val="TABLE-title"/>
        <w:keepNext/>
      </w:pPr>
      <w:bookmarkStart w:id="587" w:name="_Tab_built_in_datetime_tab1"/>
      <w:r>
        <w:t xml:space="preserve">Table </w:t>
      </w:r>
      <w:r>
        <w:fldChar w:fldCharType="begin"/>
      </w:r>
      <w:r>
        <w:instrText xml:space="preserve"> SEQ Table \* ARABIC </w:instrText>
      </w:r>
      <w:r>
        <w:fldChar w:fldCharType="separate"/>
      </w:r>
      <w:r>
        <w:rPr>
          <w:noProof/>
        </w:rPr>
        <w:t xml:space="preserve">40</w:t>
      </w:r>
      <w:r>
        <w:fldChar w:fldCharType="end"/>
      </w:r>
      <w:r>
        <w:t xml:space="preserve"> – Built-in DateTime</w:t>
      </w:r>
      <w:bookmarkEnd w:id="5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4285A5F">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2243DBF3">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75A48306">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698116CB">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5D4611C">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5B536DCE">
            <w:pPr>
              <w:pStyle w:val="TableText"/>
            </w:pPr>
            <w:r>
              <w:rPr>
                <w:rStyle w:val="VARIABLE"/>
              </w:rPr>
              <w:t xml:space="preserve">"long"</w:t>
            </w:r>
          </w:p>
        </w:tc>
        <w:tc>
          <w:tcPr>
            <w:tcW w:w="2231" w:type="dxa"/>
            <w:tcBorders>
              <w:top w:val="single" w:sz="4" w:space="0" w:color="auto"/>
              <w:left w:val="single" w:sz="4" w:space="0" w:color="auto"/>
              <w:bottom w:val="single" w:sz="4" w:space="0" w:color="auto"/>
              <w:right w:val="single" w:sz="4" w:space="0" w:color="auto"/>
            </w:tcBorders>
          </w:tcPr>
          <w:p w14:paraId="297D999F">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0D19C64B">
            <w:pPr>
              <w:pStyle w:val="TableText"/>
            </w:pPr>
            <w:r>
              <w:t xml:space="preserve">OPC UA BuiltInType 13.</w:t>
            </w:r>
          </w:p>
        </w:tc>
      </w:tr>
    </w:tbl>
    <w:p w14:paraId="76A654E2">
      <w:pPr>
        <w:pStyle w:val="spacer"/>
      </w:pPr>
    </w:p>
    <w:p w14:paraId="79A8304A">
      <w:pPr>
        <w:pStyle w:val="PARAGRAPH"/>
      </w:pPr>
      <w:r>
        <w:rPr>
          <w:b/>
        </w:rPr>
        <w:t xml:space="preserve">Avro schema fragment</w:t>
      </w:r>
    </w:p>
    <w:p w14:paraId="06F26C0D">
      <w:pPr>
        <w:pStyle w:val="CODE"/>
      </w:pPr>
      <w:r>
        <w:t xml:space="preserve">"long"</w:t>
      </w:r>
    </w:p>
    <w:p w14:paraId="08B7A2C8">
      <w:pPr>
        <w:pStyle w:val="PARAGRAPH"/>
      </w:pPr>
      <w:r>
        <w:rPr>
          <w:b/>
        </w:rPr>
        <w:t xml:space="preserve">Example value</w:t>
      </w:r>
      <w:r>
        <w:t xml:space="preserve"> (</w:t>
      </w:r>
      <w:r>
        <w:rPr>
          <w:rStyle w:val="VARIABLE"/>
        </w:rPr>
        <w:t xml:space="preserve">datetime_now</w:t>
      </w:r>
      <w:r>
        <w:t xml:space="preserve">)</w:t>
      </w:r>
    </w:p>
    <w:p w14:paraId="75CD7734">
      <w:pPr>
        <w:pStyle w:val="CODE"/>
      </w:pPr>
      <w:r>
        <w:t xml:space="preserve">{"ticks": 133000000000000000}</w:t>
      </w:r>
    </w:p>
    <w:p w14:paraId="154DBD63">
      <w:pPr>
        <w:pStyle w:val="PARAGRAPH"/>
      </w:pPr>
      <w:r>
        <w:rPr>
          <w:b/>
        </w:rPr>
        <w:t xml:space="preserve">Encoded bytes</w:t>
      </w:r>
      <w:r>
        <w:t xml:space="preserve"> (9 bytes)</w:t>
      </w:r>
    </w:p>
    <w:p w14:paraId="1A7C248F">
      <w:pPr>
        <w:pStyle w:val="CODE"/>
      </w:pPr>
      <w:r>
        <w:t xml:space="preserve">808084b2f3b2c1d803</w:t>
      </w:r>
    </w:p>
    <w:p w14:paraId="175FD3E8">
      <w:pPr>
        <w:pStyle w:val="PARAGRAPH"/>
      </w:pPr>
      <w:r>
        <w:rPr>
          <w:b/>
        </w:rPr>
        <w:t xml:space="preserve">Annotated byte-level breakdown</w:t>
      </w:r>
    </w:p>
    <w:p w14:paraId="453D083E">
      <w:pPr>
        <w:pStyle w:val="TABLE-title"/>
        <w:keepNext/>
      </w:pPr>
      <w:bookmarkStart w:id="588" w:name="_Tab_built_in_datetime_tab2"/>
      <w:r>
        <w:t xml:space="preserve">Table </w:t>
      </w:r>
      <w:r>
        <w:fldChar w:fldCharType="begin"/>
      </w:r>
      <w:r>
        <w:instrText xml:space="preserve"> SEQ Table \* ARABIC </w:instrText>
      </w:r>
      <w:r>
        <w:fldChar w:fldCharType="separate"/>
      </w:r>
      <w:r>
        <w:rPr>
          <w:noProof/>
        </w:rPr>
        <w:t xml:space="preserve">41</w:t>
      </w:r>
      <w:r>
        <w:fldChar w:fldCharType="end"/>
      </w:r>
      <w:r>
        <w:t xml:space="preserve"> – Built-in DateTime (2)</w:t>
      </w:r>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10FC767D">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6C0FCCC4">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0B805170">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0F109DDD">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92FAA9A">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1566BF94">
            <w:pPr>
              <w:pStyle w:val="TableText"/>
            </w:pPr>
            <w:r>
              <w:t xml:space="preserve">9</w:t>
            </w:r>
          </w:p>
        </w:tc>
        <w:tc>
          <w:tcPr>
            <w:tcW w:w="2231" w:type="dxa"/>
            <w:tcBorders>
              <w:top w:val="single" w:sz="4" w:space="0" w:color="auto"/>
              <w:left w:val="single" w:sz="4" w:space="0" w:color="auto"/>
              <w:bottom w:val="single" w:sz="4" w:space="0" w:color="auto"/>
              <w:right w:val="single" w:sz="4" w:space="0" w:color="auto"/>
            </w:tcBorders>
          </w:tcPr>
          <w:p w14:paraId="173DA160">
            <w:pPr>
              <w:pStyle w:val="TableText"/>
            </w:pPr>
            <w:r>
              <w:rPr>
                <w:rStyle w:val="VARIABLE"/>
              </w:rPr>
              <w:t xml:space="preserve">80 80 84 b2 f3 b2 c1 d8 03</w:t>
            </w:r>
          </w:p>
        </w:tc>
        <w:tc>
          <w:tcPr>
            <w:tcW w:w="2233" w:type="dxa"/>
            <w:tcBorders>
              <w:top w:val="single" w:sz="4" w:space="0" w:color="auto"/>
              <w:left w:val="single" w:sz="4" w:space="0" w:color="auto"/>
              <w:bottom w:val="single" w:sz="4" w:space="0" w:color="auto"/>
              <w:right w:val="single" w:sz="4" w:space="0" w:color="auto"/>
            </w:tcBorders>
          </w:tcPr>
          <w:p w14:paraId="5B1EEC48">
            <w:pPr>
              <w:pStyle w:val="TableText"/>
            </w:pPr>
            <w:r>
              <w:t xml:space="preserve">$: long = 133000000000000000</w:t>
            </w:r>
          </w:p>
        </w:tc>
      </w:tr>
    </w:tbl>
    <w:p w14:paraId="55096E11">
      <w:pPr>
        <w:pStyle w:val="spacer"/>
      </w:pPr>
    </w:p>
    <w:p w14:paraId="175DEEEC">
      <w:pPr>
        <w:pStyle w:val="ANNEX-heading2"/>
      </w:pPr>
      <w:bookmarkStart w:id="589" w:name="_Clause_cA_2_14"/>
      <w:r>
        <w:t xml:space="preserve">Built-in Guid</w:t>
      </w:r>
      <w:bookmarkEnd w:id="589"/>
    </w:p>
    <w:p w14:paraId="284BA37C">
      <w:pPr>
        <w:pStyle w:val="PARAGRAPH"/>
      </w:pPr>
      <w:r>
        <w:rPr>
          <w:b/>
        </w:rPr>
        <w:t xml:space="preserve">SchemaId</w:t>
      </w:r>
      <w:r>
        <w:t xml:space="preserve"> </w:t>
      </w:r>
      <w:r>
        <w:rPr>
          <w:rStyle w:val="VARIABLE"/>
        </w:rPr>
        <w:t xml:space="preserve">cde4c366633fdfe6</w:t>
      </w:r>
    </w:p>
    <w:p w14:paraId="68B3A92D">
      <w:pPr>
        <w:pStyle w:val="TABLE-title"/>
        <w:keepNext/>
      </w:pPr>
      <w:bookmarkStart w:id="590" w:name="_Tab_built_in_guid_tab1"/>
      <w:r>
        <w:t xml:space="preserve">Table </w:t>
      </w:r>
      <w:r>
        <w:fldChar w:fldCharType="begin"/>
      </w:r>
      <w:r>
        <w:instrText xml:space="preserve"> SEQ Table \* ARABIC </w:instrText>
      </w:r>
      <w:r>
        <w:fldChar w:fldCharType="separate"/>
      </w:r>
      <w:r>
        <w:rPr>
          <w:noProof/>
        </w:rPr>
        <w:t xml:space="preserve">42</w:t>
      </w:r>
      <w:r>
        <w:fldChar w:fldCharType="end"/>
      </w:r>
      <w:r>
        <w:t xml:space="preserve"> – Built-in Guid</w:t>
      </w:r>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0FEFD6B">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636461C0">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35C6090E">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02EB62AB">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3CE78D9">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7F050C17">
            <w:pPr>
              <w:pStyle w:val="TableText"/>
            </w:pPr>
            <w:r>
              <w:rPr>
                <w:rStyle w:val="VARIABLE"/>
              </w:rPr>
              <w:t xml:space="preserve">"org.opcfoundation.ua.avro.Guid"</w:t>
            </w:r>
          </w:p>
        </w:tc>
        <w:tc>
          <w:tcPr>
            <w:tcW w:w="2231" w:type="dxa"/>
            <w:tcBorders>
              <w:top w:val="single" w:sz="4" w:space="0" w:color="auto"/>
              <w:left w:val="single" w:sz="4" w:space="0" w:color="auto"/>
              <w:bottom w:val="single" w:sz="4" w:space="0" w:color="auto"/>
              <w:right w:val="single" w:sz="4" w:space="0" w:color="auto"/>
            </w:tcBorders>
          </w:tcPr>
          <w:p w14:paraId="79ED6E2B">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3801BB5A">
            <w:pPr>
              <w:pStyle w:val="TableText"/>
            </w:pPr>
            <w:r>
              <w:t xml:space="preserve">OPC UA BuiltInType 14.</w:t>
            </w:r>
          </w:p>
        </w:tc>
      </w:tr>
    </w:tbl>
    <w:p w14:paraId="24BE3454">
      <w:pPr>
        <w:pStyle w:val="spacer"/>
      </w:pPr>
    </w:p>
    <w:p w14:paraId="59EDC4DA">
      <w:pPr>
        <w:pStyle w:val="PARAGRAPH"/>
      </w:pPr>
      <w:r>
        <w:rPr>
          <w:b/>
        </w:rPr>
        <w:t xml:space="preserve">Avro schema fragment</w:t>
      </w:r>
    </w:p>
    <w:p w14:paraId="4D972343">
      <w:pPr>
        <w:pStyle w:val="CODE"/>
      </w:pPr>
      <w:r>
        <w:t xml:space="preserve">"org.opcfoundation.ua.avro.Guid"</w:t>
      </w:r>
    </w:p>
    <w:p w14:paraId="08DADFD6">
      <w:pPr>
        <w:pStyle w:val="PARAGRAPH"/>
      </w:pPr>
      <w:r>
        <w:rPr>
          <w:b/>
        </w:rPr>
        <w:t xml:space="preserve">Example value</w:t>
      </w:r>
      <w:r>
        <w:t xml:space="preserve"> (</w:t>
      </w:r>
      <w:r>
        <w:rPr>
          <w:rStyle w:val="VARIABLE"/>
        </w:rPr>
        <w:t xml:space="preserve">guid</w:t>
      </w:r>
      <w:r>
        <w:t xml:space="preserve">)</w:t>
      </w:r>
    </w:p>
    <w:p w14:paraId="75727556">
      <w:pPr>
        <w:pStyle w:val="CODE"/>
      </w:pPr>
      <w:r>
        <w:t xml:space="preserve">{"bytes": "0x0102030405060708090a0b0c0d0e0f10"}</w:t>
      </w:r>
    </w:p>
    <w:p w14:paraId="12AE0338">
      <w:pPr>
        <w:pStyle w:val="PARAGRAPH"/>
      </w:pPr>
      <w:r>
        <w:rPr>
          <w:b/>
        </w:rPr>
        <w:t xml:space="preserve">Encoded bytes</w:t>
      </w:r>
      <w:r>
        <w:t xml:space="preserve"> (16 bytes)</w:t>
      </w:r>
    </w:p>
    <w:p w14:paraId="518941C8">
      <w:pPr>
        <w:pStyle w:val="CODE"/>
      </w:pPr>
      <w:r>
        <w:t xml:space="preserve">0102030405060708090a0b0c0d0e0f10</w:t>
      </w:r>
    </w:p>
    <w:p w14:paraId="2559C41E">
      <w:pPr>
        <w:pStyle w:val="PARAGRAPH"/>
      </w:pPr>
      <w:r>
        <w:rPr>
          <w:b/>
        </w:rPr>
        <w:t xml:space="preserve">Annotated byte-level breakdown</w:t>
      </w:r>
    </w:p>
    <w:p w14:paraId="6FA444FB">
      <w:pPr>
        <w:pStyle w:val="TABLE-title"/>
        <w:keepNext/>
      </w:pPr>
      <w:bookmarkStart w:id="591" w:name="_Tab_built_in_guid_tab2"/>
      <w:r>
        <w:t xml:space="preserve">Table </w:t>
      </w:r>
      <w:r>
        <w:fldChar w:fldCharType="begin"/>
      </w:r>
      <w:r>
        <w:instrText xml:space="preserve"> SEQ Table \* ARABIC </w:instrText>
      </w:r>
      <w:r>
        <w:fldChar w:fldCharType="separate"/>
      </w:r>
      <w:r>
        <w:rPr>
          <w:noProof/>
        </w:rPr>
        <w:t xml:space="preserve">43</w:t>
      </w:r>
      <w:r>
        <w:fldChar w:fldCharType="end"/>
      </w:r>
      <w:r>
        <w:t xml:space="preserve"> – Built-in Guid (2)</w:t>
      </w:r>
      <w:bookmarkEnd w:id="5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27F086A4">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494D928E">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30076DE7">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3A19C21D">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8AFA571">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648BCE9F">
            <w:pPr>
              <w:pStyle w:val="TableText"/>
            </w:pPr>
            <w:r>
              <w:t xml:space="preserve">16</w:t>
            </w:r>
          </w:p>
        </w:tc>
        <w:tc>
          <w:tcPr>
            <w:tcW w:w="2231" w:type="dxa"/>
            <w:tcBorders>
              <w:top w:val="single" w:sz="4" w:space="0" w:color="auto"/>
              <w:left w:val="single" w:sz="4" w:space="0" w:color="auto"/>
              <w:bottom w:val="single" w:sz="4" w:space="0" w:color="auto"/>
              <w:right w:val="single" w:sz="4" w:space="0" w:color="auto"/>
            </w:tcBorders>
          </w:tcPr>
          <w:p w14:paraId="5F96A843">
            <w:pPr>
              <w:pStyle w:val="TableText"/>
            </w:pPr>
            <w:r>
              <w:rPr>
                <w:rStyle w:val="VARIABLE"/>
              </w:rPr>
              <w:t xml:space="preserve">01 02 03 04 05 06 07 08 09 0a 0b 0c 0d 0e 0f 10</w:t>
            </w:r>
          </w:p>
        </w:tc>
        <w:tc>
          <w:tcPr>
            <w:tcW w:w="2233" w:type="dxa"/>
            <w:tcBorders>
              <w:top w:val="single" w:sz="4" w:space="0" w:color="auto"/>
              <w:left w:val="single" w:sz="4" w:space="0" w:color="auto"/>
              <w:bottom w:val="single" w:sz="4" w:space="0" w:color="auto"/>
              <w:right w:val="single" w:sz="4" w:space="0" w:color="auto"/>
            </w:tcBorders>
          </w:tcPr>
          <w:p w14:paraId="62316BCD">
            <w:pPr>
              <w:pStyle w:val="TableText"/>
            </w:pPr>
            <w:r>
              <w:t xml:space="preserve">$: fixed org.opcfoundation.ua.avro.Guid (16 bytes)</w:t>
            </w:r>
          </w:p>
        </w:tc>
      </w:tr>
    </w:tbl>
    <w:p w14:paraId="0B5CF53F">
      <w:pPr>
        <w:pStyle w:val="spacer"/>
      </w:pPr>
    </w:p>
    <w:p w14:paraId="0FDCB961">
      <w:pPr>
        <w:pStyle w:val="ANNEX-heading2"/>
      </w:pPr>
      <w:bookmarkStart w:id="592" w:name="_Clause_cA_2_15"/>
      <w:r>
        <w:t xml:space="preserve">Built-in ByteString</w:t>
      </w:r>
      <w:bookmarkEnd w:id="592"/>
    </w:p>
    <w:p w14:paraId="6D4664F6">
      <w:pPr>
        <w:pStyle w:val="PARAGRAPH"/>
      </w:pPr>
      <w:r>
        <w:rPr>
          <w:b/>
        </w:rPr>
        <w:t xml:space="preserve">SchemaId</w:t>
      </w:r>
      <w:r>
        <w:t xml:space="preserve"> </w:t>
      </w:r>
      <w:r>
        <w:rPr>
          <w:rStyle w:val="VARIABLE"/>
        </w:rPr>
        <w:t xml:space="preserve">9d4c3eb5447b4848</w:t>
      </w:r>
    </w:p>
    <w:p w14:paraId="0DDD45C4">
      <w:pPr>
        <w:pStyle w:val="TABLE-title"/>
        <w:keepNext/>
      </w:pPr>
      <w:bookmarkStart w:id="593" w:name="_Tab_built_in_bytestring_tab1"/>
      <w:r>
        <w:t xml:space="preserve">Table </w:t>
      </w:r>
      <w:r>
        <w:fldChar w:fldCharType="begin"/>
      </w:r>
      <w:r>
        <w:instrText xml:space="preserve"> SEQ Table \* ARABIC </w:instrText>
      </w:r>
      <w:r>
        <w:fldChar w:fldCharType="separate"/>
      </w:r>
      <w:r>
        <w:rPr>
          <w:noProof/>
        </w:rPr>
        <w:t xml:space="preserve">44</w:t>
      </w:r>
      <w:r>
        <w:fldChar w:fldCharType="end"/>
      </w:r>
      <w:r>
        <w:t xml:space="preserve"> – Built-in ByteString</w:t>
      </w:r>
      <w:bookmarkEnd w:id="5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ABA6FB0">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22CC8DA3">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289E03C6">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3E303BF1">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C287202">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4C056F10">
            <w:pPr>
              <w:pStyle w:val="TableText"/>
            </w:pPr>
            <w:r>
              <w:rPr>
                <w:rStyle w:val="VARIABLE"/>
              </w:rPr>
              <w:t xml:space="preserve">["null", "bytes"]</w:t>
            </w:r>
          </w:p>
        </w:tc>
        <w:tc>
          <w:tcPr>
            <w:tcW w:w="2231" w:type="dxa"/>
            <w:tcBorders>
              <w:top w:val="single" w:sz="4" w:space="0" w:color="auto"/>
              <w:left w:val="single" w:sz="4" w:space="0" w:color="auto"/>
              <w:bottom w:val="single" w:sz="4" w:space="0" w:color="auto"/>
              <w:right w:val="single" w:sz="4" w:space="0" w:color="auto"/>
            </w:tcBorders>
          </w:tcPr>
          <w:p w14:paraId="1A57C46B">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0D531543">
            <w:pPr>
              <w:pStyle w:val="TableText"/>
            </w:pPr>
            <w:r>
              <w:t xml:space="preserve">OPC UA BuiltInType 15.</w:t>
            </w:r>
          </w:p>
        </w:tc>
      </w:tr>
    </w:tbl>
    <w:p w14:paraId="0DA26D9B">
      <w:pPr>
        <w:pStyle w:val="spacer"/>
      </w:pPr>
    </w:p>
    <w:p w14:paraId="4A50D641">
      <w:pPr>
        <w:pStyle w:val="PARAGRAPH"/>
      </w:pPr>
      <w:r>
        <w:rPr>
          <w:b/>
        </w:rPr>
        <w:t xml:space="preserve">Avro schema fragment</w:t>
      </w:r>
    </w:p>
    <w:p w14:paraId="5512BE54">
      <w:pPr>
        <w:pStyle w:val="CODE"/>
      </w:pPr>
      <w:r>
        <w:t xml:space="preserve">[</w:t>
      </w:r>
    </w:p>
    <w:p w14:paraId="13166AFA">
      <w:pPr>
        <w:pStyle w:val="CODE"/>
      </w:pPr>
      <w:r>
        <w:t xml:space="preserve">  "null",</w:t>
      </w:r>
    </w:p>
    <w:p w14:paraId="2429EEDA">
      <w:pPr>
        <w:pStyle w:val="CODE"/>
      </w:pPr>
      <w:r>
        <w:t xml:space="preserve">  "bytes"</w:t>
      </w:r>
    </w:p>
    <w:p w14:paraId="6B60D62A">
      <w:pPr>
        <w:pStyle w:val="CODE"/>
      </w:pPr>
      <w:r>
        <w:t xml:space="preserve">]</w:t>
      </w:r>
    </w:p>
    <w:p w14:paraId="73A5ADF3">
      <w:pPr>
        <w:pStyle w:val="PARAGRAPH"/>
      </w:pPr>
      <w:r>
        <w:rPr>
          <w:b/>
        </w:rPr>
        <w:t xml:space="preserve">Example value</w:t>
      </w:r>
      <w:r>
        <w:t xml:space="preserve"> (</w:t>
      </w:r>
      <w:r>
        <w:rPr>
          <w:rStyle w:val="VARIABLE"/>
        </w:rPr>
        <w:t xml:space="preserve">bytestring</w:t>
      </w:r>
      <w:r>
        <w:t xml:space="preserve">)</w:t>
      </w:r>
    </w:p>
    <w:p w14:paraId="62D5F541">
      <w:pPr>
        <w:pStyle w:val="CODE"/>
      </w:pPr>
      <w:r>
        <w:t xml:space="preserve">"0x0001020304050607"</w:t>
      </w:r>
    </w:p>
    <w:p w14:paraId="1EAECB65">
      <w:pPr>
        <w:pStyle w:val="PARAGRAPH"/>
      </w:pPr>
      <w:r>
        <w:rPr>
          <w:b/>
        </w:rPr>
        <w:t xml:space="preserve">Encoded bytes</w:t>
      </w:r>
      <w:r>
        <w:t xml:space="preserve"> (10 bytes)</w:t>
      </w:r>
    </w:p>
    <w:p w14:paraId="20682FDA">
      <w:pPr>
        <w:pStyle w:val="CODE"/>
      </w:pPr>
      <w:r>
        <w:t xml:space="preserve">02100001020304050607</w:t>
      </w:r>
    </w:p>
    <w:p w14:paraId="5D9F3DFE">
      <w:pPr>
        <w:pStyle w:val="PARAGRAPH"/>
      </w:pPr>
      <w:r>
        <w:rPr>
          <w:b/>
        </w:rPr>
        <w:t xml:space="preserve">Annotated byte-level breakdown</w:t>
      </w:r>
    </w:p>
    <w:p w14:paraId="4D29D95F">
      <w:pPr>
        <w:pStyle w:val="TABLE-title"/>
        <w:keepNext/>
      </w:pPr>
      <w:bookmarkStart w:id="594" w:name="_Tab_built_in_bytestring_tab2"/>
      <w:r>
        <w:t xml:space="preserve">Table </w:t>
      </w:r>
      <w:r>
        <w:fldChar w:fldCharType="begin"/>
      </w:r>
      <w:r>
        <w:instrText xml:space="preserve"> SEQ Table \* ARABIC </w:instrText>
      </w:r>
      <w:r>
        <w:fldChar w:fldCharType="separate"/>
      </w:r>
      <w:r>
        <w:rPr>
          <w:noProof/>
        </w:rPr>
        <w:t xml:space="preserve">45</w:t>
      </w:r>
      <w:r>
        <w:fldChar w:fldCharType="end"/>
      </w:r>
      <w:r>
        <w:t xml:space="preserve"> – Built-in ByteString (2)</w:t>
      </w:r>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00A848E7">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631B4DB3">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05D22ECD">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12DA1EEB">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DC9B4C4">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19824FA3">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40CB93D">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3F3AC6C1">
            <w:pPr>
              <w:pStyle w:val="TableText"/>
            </w:pPr>
            <w:r>
              <w:t xml:space="preserve">$: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08DFCA9">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6270120">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5B825DE">
            <w:pPr>
              <w:pStyle w:val="TableText"/>
            </w:pPr>
            <w:r>
              <w:rPr>
                <w:rStyle w:val="VARIABLE"/>
              </w:rPr>
              <w:t xml:space="preserve">10</w:t>
            </w:r>
          </w:p>
        </w:tc>
        <w:tc>
          <w:tcPr>
            <w:tcW w:w="2233" w:type="dxa"/>
            <w:tcBorders>
              <w:top w:val="single" w:sz="4" w:space="0" w:color="auto"/>
              <w:left w:val="single" w:sz="4" w:space="0" w:color="auto"/>
              <w:bottom w:val="single" w:sz="4" w:space="0" w:color="auto"/>
              <w:right w:val="single" w:sz="4" w:space="0" w:color="auto"/>
            </w:tcBorders>
          </w:tcPr>
          <w:p w14:paraId="18762C8F">
            <w:pPr>
              <w:pStyle w:val="TableText"/>
            </w:pPr>
            <w:r>
              <w:t xml:space="preserve">$: branch 1 (bytes): bytes length = 8</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BB787E5">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6D60DFAE">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3787F913">
            <w:pPr>
              <w:pStyle w:val="TableText"/>
            </w:pPr>
            <w:r>
              <w:rPr>
                <w:rStyle w:val="VARIABLE"/>
              </w:rPr>
              <w:t xml:space="preserve">00 01 02 03 04 05 06 07</w:t>
            </w:r>
          </w:p>
        </w:tc>
        <w:tc>
          <w:tcPr>
            <w:tcW w:w="2233" w:type="dxa"/>
            <w:tcBorders>
              <w:top w:val="single" w:sz="4" w:space="0" w:color="auto"/>
              <w:left w:val="single" w:sz="4" w:space="0" w:color="auto"/>
              <w:bottom w:val="single" w:sz="4" w:space="0" w:color="auto"/>
              <w:right w:val="single" w:sz="4" w:space="0" w:color="auto"/>
            </w:tcBorders>
          </w:tcPr>
          <w:p w14:paraId="39C3DFF4">
            <w:pPr>
              <w:pStyle w:val="TableText"/>
            </w:pPr>
            <w:r>
              <w:t xml:space="preserve">$: branch 1 (bytes): bytes data</w:t>
            </w:r>
          </w:p>
        </w:tc>
      </w:tr>
    </w:tbl>
    <w:p w14:paraId="16C2BABD">
      <w:pPr>
        <w:pStyle w:val="spacer"/>
      </w:pPr>
    </w:p>
    <w:p w14:paraId="3B0AD39C">
      <w:pPr>
        <w:pStyle w:val="ANNEX-heading2"/>
      </w:pPr>
      <w:bookmarkStart w:id="595" w:name="_Clause_cA_2_16"/>
      <w:r>
        <w:t xml:space="preserve">Built-in XmlElement</w:t>
      </w:r>
      <w:bookmarkEnd w:id="595"/>
    </w:p>
    <w:p w14:paraId="437FCB29">
      <w:pPr>
        <w:pStyle w:val="PARAGRAPH"/>
      </w:pPr>
      <w:r>
        <w:rPr>
          <w:b/>
        </w:rPr>
        <w:t xml:space="preserve">SchemaId</w:t>
      </w:r>
      <w:r>
        <w:t xml:space="preserve"> </w:t>
      </w:r>
      <w:r>
        <w:rPr>
          <w:rStyle w:val="VARIABLE"/>
        </w:rPr>
        <w:t xml:space="preserve">9dc47eb71ef24598</w:t>
      </w:r>
    </w:p>
    <w:p w14:paraId="30D4F3D9">
      <w:pPr>
        <w:pStyle w:val="TABLE-title"/>
        <w:keepNext/>
      </w:pPr>
      <w:bookmarkStart w:id="596" w:name="_Tab_built_in_xmlelement_tab1"/>
      <w:r>
        <w:t xml:space="preserve">Table </w:t>
      </w:r>
      <w:r>
        <w:fldChar w:fldCharType="begin"/>
      </w:r>
      <w:r>
        <w:instrText xml:space="preserve"> SEQ Table \* ARABIC </w:instrText>
      </w:r>
      <w:r>
        <w:fldChar w:fldCharType="separate"/>
      </w:r>
      <w:r>
        <w:rPr>
          <w:noProof/>
        </w:rPr>
        <w:t xml:space="preserve">46</w:t>
      </w:r>
      <w:r>
        <w:fldChar w:fldCharType="end"/>
      </w:r>
      <w:r>
        <w:t xml:space="preserve"> – Built-in XmlElement</w:t>
      </w:r>
      <w:bookmarkEnd w:id="5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677F360">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05B29C09">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095E752A">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0ABAC18E">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FE62C4A">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1C3D0D27">
            <w:pPr>
              <w:pStyle w:val="TableText"/>
            </w:pPr>
            <w:r>
              <w:rPr>
                <w:rStyle w:val="VARIABLE"/>
              </w:rPr>
              <w:t xml:space="preserve">["null", "string"]</w:t>
            </w:r>
          </w:p>
        </w:tc>
        <w:tc>
          <w:tcPr>
            <w:tcW w:w="2231" w:type="dxa"/>
            <w:tcBorders>
              <w:top w:val="single" w:sz="4" w:space="0" w:color="auto"/>
              <w:left w:val="single" w:sz="4" w:space="0" w:color="auto"/>
              <w:bottom w:val="single" w:sz="4" w:space="0" w:color="auto"/>
              <w:right w:val="single" w:sz="4" w:space="0" w:color="auto"/>
            </w:tcBorders>
          </w:tcPr>
          <w:p w14:paraId="038070FC">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C777831">
            <w:pPr>
              <w:pStyle w:val="TableText"/>
            </w:pPr>
            <w:r>
              <w:t xml:space="preserve">OPC UA BuiltInType 16.</w:t>
            </w:r>
          </w:p>
        </w:tc>
      </w:tr>
    </w:tbl>
    <w:p w14:paraId="2DE0EBAD">
      <w:pPr>
        <w:pStyle w:val="spacer"/>
      </w:pPr>
    </w:p>
    <w:p w14:paraId="1A286780">
      <w:pPr>
        <w:pStyle w:val="PARAGRAPH"/>
      </w:pPr>
      <w:r>
        <w:rPr>
          <w:b/>
        </w:rPr>
        <w:t xml:space="preserve">Avro schema fragment</w:t>
      </w:r>
    </w:p>
    <w:p w14:paraId="293223FA">
      <w:pPr>
        <w:pStyle w:val="CODE"/>
      </w:pPr>
      <w:r>
        <w:t xml:space="preserve">[</w:t>
      </w:r>
    </w:p>
    <w:p w14:paraId="65E8421D">
      <w:pPr>
        <w:pStyle w:val="CODE"/>
      </w:pPr>
      <w:r>
        <w:t xml:space="preserve">  "null",</w:t>
      </w:r>
    </w:p>
    <w:p w14:paraId="3313E7EC">
      <w:pPr>
        <w:pStyle w:val="CODE"/>
      </w:pPr>
      <w:r>
        <w:t xml:space="preserve">  "string"</w:t>
      </w:r>
    </w:p>
    <w:p w14:paraId="2D82E633">
      <w:pPr>
        <w:pStyle w:val="CODE"/>
      </w:pPr>
      <w:r>
        <w:t xml:space="preserve">]</w:t>
      </w:r>
    </w:p>
    <w:p w14:paraId="52E1BE06">
      <w:pPr>
        <w:pStyle w:val="PARAGRAPH"/>
      </w:pPr>
      <w:r>
        <w:rPr>
          <w:b/>
        </w:rPr>
        <w:t xml:space="preserve">Example value</w:t>
      </w:r>
      <w:r>
        <w:t xml:space="preserve"> (</w:t>
      </w:r>
      <w:r>
        <w:rPr>
          <w:rStyle w:val="VARIABLE"/>
        </w:rPr>
        <w:t xml:space="preserve">xml</w:t>
      </w:r>
      <w:r>
        <w:t xml:space="preserve">)</w:t>
      </w:r>
    </w:p>
    <w:p w14:paraId="3A2DFDF8">
      <w:pPr>
        <w:pStyle w:val="CODE"/>
      </w:pPr>
      <w:r>
        <w:t xml:space="preserve">{"value": "&lt;a x='1'&gt;t&lt;/a&gt;"}</w:t>
      </w:r>
    </w:p>
    <w:p w14:paraId="620E3CAE">
      <w:pPr>
        <w:pStyle w:val="PARAGRAPH"/>
      </w:pPr>
      <w:r>
        <w:rPr>
          <w:b/>
        </w:rPr>
        <w:t xml:space="preserve">Encoded bytes</w:t>
      </w:r>
      <w:r>
        <w:t xml:space="preserve"> (16 bytes)</w:t>
      </w:r>
    </w:p>
    <w:p w14:paraId="5CE16D73">
      <w:pPr>
        <w:pStyle w:val="CODE"/>
      </w:pPr>
      <w:r>
        <w:t xml:space="preserve">021c3c6120783d2731273e743c2f613e</w:t>
      </w:r>
    </w:p>
    <w:p w14:paraId="6DE0C489">
      <w:pPr>
        <w:pStyle w:val="PARAGRAPH"/>
      </w:pPr>
      <w:r>
        <w:rPr>
          <w:b/>
        </w:rPr>
        <w:t xml:space="preserve">Annotated byte-level breakdown</w:t>
      </w:r>
    </w:p>
    <w:p w14:paraId="555E2010">
      <w:pPr>
        <w:pStyle w:val="TABLE-title"/>
        <w:keepNext/>
      </w:pPr>
      <w:bookmarkStart w:id="597" w:name="_Tab_built_in_xmlelement_tab2"/>
      <w:r>
        <w:t xml:space="preserve">Table </w:t>
      </w:r>
      <w:r>
        <w:fldChar w:fldCharType="begin"/>
      </w:r>
      <w:r>
        <w:instrText xml:space="preserve"> SEQ Table \* ARABIC </w:instrText>
      </w:r>
      <w:r>
        <w:fldChar w:fldCharType="separate"/>
      </w:r>
      <w:r>
        <w:rPr>
          <w:noProof/>
        </w:rPr>
        <w:t xml:space="preserve">47</w:t>
      </w:r>
      <w:r>
        <w:fldChar w:fldCharType="end"/>
      </w:r>
      <w:r>
        <w:t xml:space="preserve"> – Built-in XmlElement (2)</w:t>
      </w:r>
      <w:bookmarkEnd w:id="5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78E5C0C">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54BBA86F">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7B67038C">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589F30E8">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40CCA90">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57B50CE1">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2DC8B228">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33BA31D1">
            <w:pPr>
              <w:pStyle w:val="TableText"/>
            </w:pPr>
            <w:r>
              <w:t xml:space="preserve">$: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BD3A48A">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C5C3B08">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7FCC100A">
            <w:pPr>
              <w:pStyle w:val="TableText"/>
            </w:pPr>
            <w:r>
              <w:rPr>
                <w:rStyle w:val="VARIABLE"/>
              </w:rPr>
              <w:t xml:space="preserve">1c</w:t>
            </w:r>
          </w:p>
        </w:tc>
        <w:tc>
          <w:tcPr>
            <w:tcW w:w="2233" w:type="dxa"/>
            <w:tcBorders>
              <w:top w:val="single" w:sz="4" w:space="0" w:color="auto"/>
              <w:left w:val="single" w:sz="4" w:space="0" w:color="auto"/>
              <w:bottom w:val="single" w:sz="4" w:space="0" w:color="auto"/>
              <w:right w:val="single" w:sz="4" w:space="0" w:color="auto"/>
            </w:tcBorders>
          </w:tcPr>
          <w:p w14:paraId="110B69AA">
            <w:pPr>
              <w:pStyle w:val="TableText"/>
            </w:pPr>
            <w:r>
              <w:t xml:space="preserve">$: branch 1 (string): string length = 14</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7C21EEE">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4A6CD079">
            <w:pPr>
              <w:pStyle w:val="TableText"/>
            </w:pPr>
            <w:r>
              <w:t xml:space="preserve">14</w:t>
            </w:r>
          </w:p>
        </w:tc>
        <w:tc>
          <w:tcPr>
            <w:tcW w:w="2231" w:type="dxa"/>
            <w:tcBorders>
              <w:top w:val="single" w:sz="4" w:space="0" w:color="auto"/>
              <w:left w:val="single" w:sz="4" w:space="0" w:color="auto"/>
              <w:bottom w:val="single" w:sz="4" w:space="0" w:color="auto"/>
              <w:right w:val="single" w:sz="4" w:space="0" w:color="auto"/>
            </w:tcBorders>
          </w:tcPr>
          <w:p w14:paraId="0BFF0BDB">
            <w:pPr>
              <w:pStyle w:val="TableText"/>
            </w:pPr>
            <w:r>
              <w:rPr>
                <w:rStyle w:val="VARIABLE"/>
              </w:rPr>
              <w:t xml:space="preserve">3c 61 20 78 3d 27 31 27 3e 74 3c 2f 61 3e</w:t>
            </w:r>
          </w:p>
        </w:tc>
        <w:tc>
          <w:tcPr>
            <w:tcW w:w="2233" w:type="dxa"/>
            <w:tcBorders>
              <w:top w:val="single" w:sz="4" w:space="0" w:color="auto"/>
              <w:left w:val="single" w:sz="4" w:space="0" w:color="auto"/>
              <w:bottom w:val="single" w:sz="4" w:space="0" w:color="auto"/>
              <w:right w:val="single" w:sz="4" w:space="0" w:color="auto"/>
            </w:tcBorders>
          </w:tcPr>
          <w:p w14:paraId="00990FF1">
            <w:pPr>
              <w:pStyle w:val="TableText"/>
            </w:pPr>
            <w:r>
              <w:t xml:space="preserve">$: branch 1 (string): string data</w:t>
            </w:r>
          </w:p>
        </w:tc>
      </w:tr>
    </w:tbl>
    <w:p w14:paraId="49A6F338">
      <w:pPr>
        <w:pStyle w:val="spacer"/>
      </w:pPr>
    </w:p>
    <w:p w14:paraId="3E8047D1">
      <w:pPr>
        <w:pStyle w:val="ANNEX-heading2"/>
      </w:pPr>
      <w:bookmarkStart w:id="598" w:name="_Clause_cA_2_17"/>
      <w:r>
        <w:t xml:space="preserve">Built-in NodeId</w:t>
      </w:r>
      <w:bookmarkEnd w:id="598"/>
    </w:p>
    <w:p w14:paraId="6EA264C1">
      <w:pPr>
        <w:pStyle w:val="PARAGRAPH"/>
      </w:pPr>
      <w:r>
        <w:rPr>
          <w:b/>
        </w:rPr>
        <w:t xml:space="preserve">SchemaId</w:t>
      </w:r>
      <w:r>
        <w:t xml:space="preserve"> </w:t>
      </w:r>
      <w:r>
        <w:rPr>
          <w:rStyle w:val="VARIABLE"/>
        </w:rPr>
        <w:t xml:space="preserve">7a72f202d5e8e102</w:t>
      </w:r>
    </w:p>
    <w:p w14:paraId="4522380F">
      <w:pPr>
        <w:pStyle w:val="TABLE-title"/>
        <w:keepNext/>
      </w:pPr>
      <w:bookmarkStart w:id="599" w:name="_Tab_built_in_nodeid_tab1"/>
      <w:r>
        <w:t xml:space="preserve">Table </w:t>
      </w:r>
      <w:r>
        <w:fldChar w:fldCharType="begin"/>
      </w:r>
      <w:r>
        <w:instrText xml:space="preserve"> SEQ Table \* ARABIC </w:instrText>
      </w:r>
      <w:r>
        <w:fldChar w:fldCharType="separate"/>
      </w:r>
      <w:r>
        <w:rPr>
          <w:noProof/>
        </w:rPr>
        <w:t xml:space="preserve">48</w:t>
      </w:r>
      <w:r>
        <w:fldChar w:fldCharType="end"/>
      </w:r>
      <w:r>
        <w:t xml:space="preserve"> – Built-in NodeId</w:t>
      </w:r>
      <w:bookmarkEnd w:id="5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5CC55E69">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0FA8F2F7">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2AC8DEEC">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4322759F">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2D2A868">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20E69650">
            <w:pPr>
              <w:pStyle w:val="TableText"/>
            </w:pPr>
            <w:r>
              <w:rPr>
                <w:rStyle w:val="VARIABLE"/>
              </w:rPr>
              <w:t xml:space="preserve">{"fields": [{"name": "namespace", "type": "int"}, {"name": "idType", "type": "int"}, {"default": null, "name": "numeric", "type": ["null", "long"]}, {"default": null, "name": "string", "type": ["null", "string"]}, {"default": null, "name": "guid", "type": ["null", {"logicalType": "opcua-guid", "name": "Guid", "namespace": "org.opcfoundation.ua.avro", "size": 16, "type": "fixed"}]}, {"default": null, "name": "opaque", "type": ["null", "bytes"]}], "name": "NodeId",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06E9D252">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2E895CC1">
            <w:pPr>
              <w:pStyle w:val="TableText"/>
            </w:pPr>
            <w:r>
              <w:t xml:space="preserve">OPC UA BuiltInType 17.</w:t>
            </w:r>
          </w:p>
        </w:tc>
      </w:tr>
    </w:tbl>
    <w:p w14:paraId="6E2B9A48">
      <w:pPr>
        <w:pStyle w:val="spacer"/>
      </w:pPr>
    </w:p>
    <w:p w14:paraId="0C54412F">
      <w:pPr>
        <w:pStyle w:val="PARAGRAPH"/>
      </w:pPr>
      <w:r>
        <w:rPr>
          <w:b/>
        </w:rPr>
        <w:t xml:space="preserve">Avro schema fragment</w:t>
      </w:r>
    </w:p>
    <w:p w14:paraId="6479518D">
      <w:pPr>
        <w:pStyle w:val="CODE"/>
      </w:pPr>
      <w:r>
        <w:t xml:space="preserve">{</w:t>
      </w:r>
    </w:p>
    <w:p w14:paraId="0D61AD1A">
      <w:pPr>
        <w:pStyle w:val="CODE"/>
      </w:pPr>
      <w:r>
        <w:t xml:space="preserve">  "fields": [</w:t>
      </w:r>
    </w:p>
    <w:p w14:paraId="1A2F1E61">
      <w:pPr>
        <w:pStyle w:val="CODE"/>
      </w:pPr>
      <w:r>
        <w:t xml:space="preserve">    {</w:t>
      </w:r>
    </w:p>
    <w:p w14:paraId="2DA4C709">
      <w:pPr>
        <w:pStyle w:val="CODE"/>
      </w:pPr>
      <w:r>
        <w:t xml:space="preserve">      "name": "namespace",</w:t>
      </w:r>
    </w:p>
    <w:p w14:paraId="26FEE836">
      <w:pPr>
        <w:pStyle w:val="CODE"/>
      </w:pPr>
      <w:r>
        <w:t xml:space="preserve">      "type": "int"</w:t>
      </w:r>
    </w:p>
    <w:p w14:paraId="60A249D8">
      <w:pPr>
        <w:pStyle w:val="CODE"/>
      </w:pPr>
      <w:r>
        <w:t xml:space="preserve">    },</w:t>
      </w:r>
    </w:p>
    <w:p w14:paraId="72D65EAC">
      <w:pPr>
        <w:pStyle w:val="CODE"/>
      </w:pPr>
      <w:r>
        <w:t xml:space="preserve">    {</w:t>
      </w:r>
    </w:p>
    <w:p w14:paraId="5BDDEE3B">
      <w:pPr>
        <w:pStyle w:val="CODE"/>
      </w:pPr>
      <w:r>
        <w:t xml:space="preserve">      "name": "idType",</w:t>
      </w:r>
    </w:p>
    <w:p w14:paraId="6DFF70D8">
      <w:pPr>
        <w:pStyle w:val="CODE"/>
      </w:pPr>
      <w:r>
        <w:t xml:space="preserve">      "type": "int"</w:t>
      </w:r>
    </w:p>
    <w:p w14:paraId="01C87EB1">
      <w:pPr>
        <w:pStyle w:val="CODE"/>
      </w:pPr>
      <w:r>
        <w:t xml:space="preserve">    },</w:t>
      </w:r>
    </w:p>
    <w:p w14:paraId="16A6D276">
      <w:pPr>
        <w:pStyle w:val="CODE"/>
      </w:pPr>
      <w:r>
        <w:t xml:space="preserve">    {</w:t>
      </w:r>
    </w:p>
    <w:p w14:paraId="3F6280B9">
      <w:pPr>
        <w:pStyle w:val="CODE"/>
      </w:pPr>
      <w:r>
        <w:t xml:space="preserve">      "default": null,</w:t>
      </w:r>
    </w:p>
    <w:p w14:paraId="37C43A6A">
      <w:pPr>
        <w:pStyle w:val="CODE"/>
      </w:pPr>
      <w:r>
        <w:t xml:space="preserve">      "name": "numeric",</w:t>
      </w:r>
    </w:p>
    <w:p w14:paraId="69BDC67C">
      <w:pPr>
        <w:pStyle w:val="CODE"/>
      </w:pPr>
      <w:r>
        <w:t xml:space="preserve">      "type": [</w:t>
      </w:r>
    </w:p>
    <w:p w14:paraId="4BFC9FFB">
      <w:pPr>
        <w:pStyle w:val="CODE"/>
      </w:pPr>
      <w:r>
        <w:t xml:space="preserve">        "null",</w:t>
      </w:r>
    </w:p>
    <w:p w14:paraId="5ADC71E3">
      <w:pPr>
        <w:pStyle w:val="CODE"/>
      </w:pPr>
      <w:r>
        <w:t xml:space="preserve">        "long"</w:t>
      </w:r>
    </w:p>
    <w:p w14:paraId="52BE8547">
      <w:pPr>
        <w:pStyle w:val="CODE"/>
      </w:pPr>
      <w:r>
        <w:t xml:space="preserve">      ]</w:t>
      </w:r>
    </w:p>
    <w:p w14:paraId="52905261">
      <w:pPr>
        <w:pStyle w:val="CODE"/>
      </w:pPr>
      <w:r>
        <w:t xml:space="preserve">    },</w:t>
      </w:r>
    </w:p>
    <w:p w14:paraId="5C5E565F">
      <w:pPr>
        <w:pStyle w:val="CODE"/>
      </w:pPr>
      <w:r>
        <w:t xml:space="preserve">    {</w:t>
      </w:r>
    </w:p>
    <w:p w14:paraId="321A9815">
      <w:pPr>
        <w:pStyle w:val="CODE"/>
      </w:pPr>
      <w:r>
        <w:t xml:space="preserve">      "default": null,</w:t>
      </w:r>
    </w:p>
    <w:p w14:paraId="6CE2C78A">
      <w:pPr>
        <w:pStyle w:val="CODE"/>
      </w:pPr>
      <w:r>
        <w:t xml:space="preserve">      "name": "string",</w:t>
      </w:r>
    </w:p>
    <w:p w14:paraId="2E376F58">
      <w:pPr>
        <w:pStyle w:val="CODE"/>
      </w:pPr>
      <w:r>
        <w:t xml:space="preserve">      "type": [</w:t>
      </w:r>
    </w:p>
    <w:p w14:paraId="0497D139">
      <w:pPr>
        <w:pStyle w:val="CODE"/>
      </w:pPr>
      <w:r>
        <w:t xml:space="preserve">        "null",</w:t>
      </w:r>
    </w:p>
    <w:p w14:paraId="06D3CC3D">
      <w:pPr>
        <w:pStyle w:val="CODE"/>
      </w:pPr>
      <w:r>
        <w:t xml:space="preserve">        "string"</w:t>
      </w:r>
    </w:p>
    <w:p w14:paraId="5E3683FB">
      <w:pPr>
        <w:pStyle w:val="CODE"/>
      </w:pPr>
      <w:r>
        <w:t xml:space="preserve">      ]</w:t>
      </w:r>
    </w:p>
    <w:p w14:paraId="6AF92FB3">
      <w:pPr>
        <w:pStyle w:val="CODE"/>
      </w:pPr>
      <w:r>
        <w:t xml:space="preserve">    },</w:t>
      </w:r>
    </w:p>
    <w:p w14:paraId="65E7F32F">
      <w:pPr>
        <w:pStyle w:val="CODE"/>
      </w:pPr>
      <w:r>
        <w:t xml:space="preserve">    {</w:t>
      </w:r>
    </w:p>
    <w:p w14:paraId="73CABB10">
      <w:pPr>
        <w:pStyle w:val="CODE"/>
      </w:pPr>
      <w:r>
        <w:t xml:space="preserve">      "default": null,</w:t>
      </w:r>
    </w:p>
    <w:p w14:paraId="60D76629">
      <w:pPr>
        <w:pStyle w:val="CODE"/>
      </w:pPr>
      <w:r>
        <w:t xml:space="preserve">      "name": "guid",</w:t>
      </w:r>
    </w:p>
    <w:p w14:paraId="1EE40561">
      <w:pPr>
        <w:pStyle w:val="CODE"/>
      </w:pPr>
      <w:r>
        <w:t xml:space="preserve">      "type": [</w:t>
      </w:r>
    </w:p>
    <w:p w14:paraId="6A40FA0E">
      <w:pPr>
        <w:pStyle w:val="CODE"/>
      </w:pPr>
      <w:r>
        <w:t xml:space="preserve">        "null",</w:t>
      </w:r>
    </w:p>
    <w:p w14:paraId="77214CC9">
      <w:pPr>
        <w:pStyle w:val="CODE"/>
      </w:pPr>
      <w:r>
        <w:t xml:space="preserve">        {</w:t>
      </w:r>
    </w:p>
    <w:p w14:paraId="76FA54C3">
      <w:pPr>
        <w:pStyle w:val="CODE"/>
      </w:pPr>
      <w:r>
        <w:t xml:space="preserve">          "logicalType": "opcua-guid",</w:t>
      </w:r>
    </w:p>
    <w:p w14:paraId="678E6FF8">
      <w:pPr>
        <w:pStyle w:val="CODE"/>
      </w:pPr>
      <w:r>
        <w:t xml:space="preserve">          "name": "Guid",</w:t>
      </w:r>
    </w:p>
    <w:p w14:paraId="4A9F9CD8">
      <w:pPr>
        <w:pStyle w:val="CODE"/>
      </w:pPr>
      <w:r>
        <w:t xml:space="preserve">          "namespace": "org.opcfoundation.ua.avro",</w:t>
      </w:r>
    </w:p>
    <w:p w14:paraId="38A26C5A">
      <w:pPr>
        <w:pStyle w:val="CODE"/>
      </w:pPr>
      <w:r>
        <w:t xml:space="preserve">          "size": 16,</w:t>
      </w:r>
    </w:p>
    <w:p w14:paraId="5DE0336D">
      <w:pPr>
        <w:pStyle w:val="CODE"/>
      </w:pPr>
      <w:r>
        <w:t xml:space="preserve">          "type": "fixed"</w:t>
      </w:r>
    </w:p>
    <w:p w14:paraId="6944683D">
      <w:pPr>
        <w:pStyle w:val="CODE"/>
      </w:pPr>
      <w:r>
        <w:t xml:space="preserve">        }</w:t>
      </w:r>
    </w:p>
    <w:p w14:paraId="6D6E6919">
      <w:pPr>
        <w:pStyle w:val="CODE"/>
      </w:pPr>
      <w:r>
        <w:t xml:space="preserve">      ]</w:t>
      </w:r>
    </w:p>
    <w:p w14:paraId="0AAF7968">
      <w:pPr>
        <w:pStyle w:val="CODE"/>
      </w:pPr>
      <w:r>
        <w:t xml:space="preserve">    },</w:t>
      </w:r>
    </w:p>
    <w:p w14:paraId="5E8ED6F4">
      <w:pPr>
        <w:pStyle w:val="CODE"/>
      </w:pPr>
      <w:r>
        <w:t xml:space="preserve">    {</w:t>
      </w:r>
    </w:p>
    <w:p w14:paraId="33C27856">
      <w:pPr>
        <w:pStyle w:val="CODE"/>
      </w:pPr>
      <w:r>
        <w:t xml:space="preserve">      "default": null,</w:t>
      </w:r>
    </w:p>
    <w:p w14:paraId="2E41079A">
      <w:pPr>
        <w:pStyle w:val="CODE"/>
      </w:pPr>
      <w:r>
        <w:t xml:space="preserve">      "name": "opaque",</w:t>
      </w:r>
    </w:p>
    <w:p w14:paraId="767EAE8D">
      <w:pPr>
        <w:pStyle w:val="CODE"/>
      </w:pPr>
      <w:r>
        <w:t xml:space="preserve">      "type": [</w:t>
      </w:r>
    </w:p>
    <w:p w14:paraId="01435EF8">
      <w:pPr>
        <w:pStyle w:val="CODE"/>
      </w:pPr>
      <w:r>
        <w:t xml:space="preserve">        "null",</w:t>
      </w:r>
    </w:p>
    <w:p w14:paraId="729320AA">
      <w:pPr>
        <w:pStyle w:val="CODE"/>
      </w:pPr>
      <w:r>
        <w:t xml:space="preserve">        "bytes"</w:t>
      </w:r>
    </w:p>
    <w:p w14:paraId="66F2CB4E">
      <w:pPr>
        <w:pStyle w:val="CODE"/>
      </w:pPr>
      <w:r>
        <w:t xml:space="preserve">      ]</w:t>
      </w:r>
    </w:p>
    <w:p w14:paraId="2B8AC9DD">
      <w:pPr>
        <w:pStyle w:val="CODE"/>
      </w:pPr>
      <w:r>
        <w:t xml:space="preserve">    }</w:t>
      </w:r>
    </w:p>
    <w:p w14:paraId="5A0392B3">
      <w:pPr>
        <w:pStyle w:val="CODE"/>
      </w:pPr>
      <w:r>
        <w:t xml:space="preserve">  ],</w:t>
      </w:r>
    </w:p>
    <w:p w14:paraId="219F37D7">
      <w:pPr>
        <w:pStyle w:val="CODE"/>
      </w:pPr>
      <w:r>
        <w:t xml:space="preserve">  "name": "NodeId",</w:t>
      </w:r>
    </w:p>
    <w:p w14:paraId="6B8E7F05">
      <w:pPr>
        <w:pStyle w:val="CODE"/>
      </w:pPr>
      <w:r>
        <w:t xml:space="preserve">  "namespace": "org.opcfoundation.ua.avro",</w:t>
      </w:r>
    </w:p>
    <w:p w14:paraId="427CDFB7">
      <w:pPr>
        <w:pStyle w:val="CODE"/>
      </w:pPr>
      <w:r>
        <w:t xml:space="preserve">  "type": "record"</w:t>
      </w:r>
    </w:p>
    <w:p w14:paraId="5B786676">
      <w:pPr>
        <w:pStyle w:val="CODE"/>
      </w:pPr>
      <w:r>
        <w:t xml:space="preserve">}</w:t>
      </w:r>
    </w:p>
    <w:p w14:paraId="16E6FF74">
      <w:pPr>
        <w:pStyle w:val="PARAGRAPH"/>
      </w:pPr>
      <w:r>
        <w:rPr>
          <w:b/>
        </w:rPr>
        <w:t xml:space="preserve">Example value</w:t>
      </w:r>
      <w:r>
        <w:t xml:space="preserve"> (</w:t>
      </w:r>
      <w:r>
        <w:rPr>
          <w:rStyle w:val="VARIABLE"/>
        </w:rPr>
        <w:t xml:space="preserve">nodeid_numeric</w:t>
      </w:r>
      <w:r>
        <w:t xml:space="preserve">)</w:t>
      </w:r>
    </w:p>
    <w:p w14:paraId="344F55B6">
      <w:pPr>
        <w:pStyle w:val="CODE"/>
      </w:pPr>
      <w:r>
        <w:t xml:space="preserve">{"id_type": 0, "identifier": 2258, "namespace": 0}</w:t>
      </w:r>
    </w:p>
    <w:p w14:paraId="6DD2A89F">
      <w:pPr>
        <w:pStyle w:val="PARAGRAPH"/>
      </w:pPr>
      <w:r>
        <w:rPr>
          <w:b/>
        </w:rPr>
        <w:t xml:space="preserve">Encoded bytes</w:t>
      </w:r>
      <w:r>
        <w:t xml:space="preserve"> (9 bytes)</w:t>
      </w:r>
    </w:p>
    <w:p w14:paraId="797FF91A">
      <w:pPr>
        <w:pStyle w:val="CODE"/>
      </w:pPr>
      <w:r>
        <w:t xml:space="preserve">02000002a423000000</w:t>
      </w:r>
    </w:p>
    <w:p w14:paraId="37330FD4">
      <w:pPr>
        <w:pStyle w:val="PARAGRAPH"/>
      </w:pPr>
      <w:r>
        <w:rPr>
          <w:b/>
        </w:rPr>
        <w:t xml:space="preserve">Annotated byte-level breakdown</w:t>
      </w:r>
    </w:p>
    <w:p w14:paraId="0C8C21D9">
      <w:pPr>
        <w:pStyle w:val="TABLE-title"/>
        <w:keepNext/>
      </w:pPr>
      <w:bookmarkStart w:id="600" w:name="_Tab_built_in_nodeid_tab2"/>
      <w:r>
        <w:t xml:space="preserve">Table </w:t>
      </w:r>
      <w:r>
        <w:fldChar w:fldCharType="begin"/>
      </w:r>
      <w:r>
        <w:instrText xml:space="preserve"> SEQ Table \* ARABIC </w:instrText>
      </w:r>
      <w:r>
        <w:fldChar w:fldCharType="separate"/>
      </w:r>
      <w:r>
        <w:rPr>
          <w:noProof/>
        </w:rPr>
        <w:t xml:space="preserve">49</w:t>
      </w:r>
      <w:r>
        <w:fldChar w:fldCharType="end"/>
      </w:r>
      <w:r>
        <w:t xml:space="preserve"> – Built-in NodeId (2)</w:t>
      </w:r>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8730525">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0AAABDE9">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29F6FA58">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0DA01A34">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028B1BF">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06480A5E">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3C49671B">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7ACE3140">
            <w:pPr>
              <w:pStyle w:val="TableText"/>
            </w:pPr>
            <w:r>
              <w:t xml:space="preserve">$: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FB49CEB">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784DF502">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6E0200C">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41F4F2FD">
            <w:pPr>
              <w:pStyle w:val="TableText"/>
            </w:pPr>
            <w:r>
              <w:t xml:space="preserve">$: branch 1 (org.opcfoundation.ua.avro.NodeId).namespace: int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535B475">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55B5C1F8">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0230409">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08DF4E1F">
            <w:pPr>
              <w:pStyle w:val="TableText"/>
            </w:pPr>
            <w:r>
              <w:t xml:space="preserve">$: branch 1 (org.opcfoundation.ua.avro.NodeId).idType: int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253A5D4">
            <w:pPr>
              <w:pStyle w:val="TableText"/>
            </w:pPr>
            <w:r>
              <w:t xml:space="preserve">3</w:t>
            </w:r>
          </w:p>
        </w:tc>
        <w:tc>
          <w:tcPr>
            <w:tcW w:w="2231" w:type="dxa"/>
            <w:tcBorders>
              <w:top w:val="single" w:sz="4" w:space="0" w:color="auto"/>
              <w:left w:val="single" w:sz="4" w:space="0" w:color="auto"/>
              <w:bottom w:val="single" w:sz="4" w:space="0" w:color="auto"/>
              <w:right w:val="single" w:sz="4" w:space="0" w:color="auto"/>
            </w:tcBorders>
          </w:tcPr>
          <w:p w14:paraId="3AB16D0C">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E945FAA">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436D7D27">
            <w:pPr>
              <w:pStyle w:val="TableText"/>
            </w:pPr>
            <w:r>
              <w:t xml:space="preserve">$: branch 1 (org.opcfoundation.ua.avro.NodeId).numeric: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D1C2609">
            <w:pPr>
              <w:pStyle w:val="TableText"/>
            </w:pPr>
            <w:r>
              <w:t xml:space="preserve">4</w:t>
            </w:r>
          </w:p>
        </w:tc>
        <w:tc>
          <w:tcPr>
            <w:tcW w:w="2231" w:type="dxa"/>
            <w:tcBorders>
              <w:top w:val="single" w:sz="4" w:space="0" w:color="auto"/>
              <w:left w:val="single" w:sz="4" w:space="0" w:color="auto"/>
              <w:bottom w:val="single" w:sz="4" w:space="0" w:color="auto"/>
              <w:right w:val="single" w:sz="4" w:space="0" w:color="auto"/>
            </w:tcBorders>
          </w:tcPr>
          <w:p w14:paraId="0997BDCD">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297EF28A">
            <w:pPr>
              <w:pStyle w:val="TableText"/>
            </w:pPr>
            <w:r>
              <w:rPr>
                <w:rStyle w:val="VARIABLE"/>
              </w:rPr>
              <w:t xml:space="preserve">a4 23</w:t>
            </w:r>
          </w:p>
        </w:tc>
        <w:tc>
          <w:tcPr>
            <w:tcW w:w="2233" w:type="dxa"/>
            <w:tcBorders>
              <w:top w:val="single" w:sz="4" w:space="0" w:color="auto"/>
              <w:left w:val="single" w:sz="4" w:space="0" w:color="auto"/>
              <w:bottom w:val="single" w:sz="4" w:space="0" w:color="auto"/>
              <w:right w:val="single" w:sz="4" w:space="0" w:color="auto"/>
            </w:tcBorders>
          </w:tcPr>
          <w:p w14:paraId="06772413">
            <w:pPr>
              <w:pStyle w:val="TableText"/>
            </w:pPr>
            <w:r>
              <w:t xml:space="preserve">$: branch 1 (org.opcfoundation.ua.avro.NodeId).numeric: branch 1 (long): long = 2258</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AFB8B6C">
            <w:pPr>
              <w:pStyle w:val="TableText"/>
            </w:pPr>
            <w:r>
              <w:t xml:space="preserve">6</w:t>
            </w:r>
          </w:p>
        </w:tc>
        <w:tc>
          <w:tcPr>
            <w:tcW w:w="2231" w:type="dxa"/>
            <w:tcBorders>
              <w:top w:val="single" w:sz="4" w:space="0" w:color="auto"/>
              <w:left w:val="single" w:sz="4" w:space="0" w:color="auto"/>
              <w:bottom w:val="single" w:sz="4" w:space="0" w:color="auto"/>
              <w:right w:val="single" w:sz="4" w:space="0" w:color="auto"/>
            </w:tcBorders>
          </w:tcPr>
          <w:p w14:paraId="27385C01">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C089285">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7856A76E">
            <w:pPr>
              <w:pStyle w:val="TableText"/>
            </w:pPr>
            <w:r>
              <w:t xml:space="preserve">$: branch 1 (org.opcfoundation.ua.avro.NodeId).string: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007BEC6">
            <w:pPr>
              <w:pStyle w:val="TableText"/>
            </w:pPr>
            <w:r>
              <w:t xml:space="preserve">7</w:t>
            </w:r>
          </w:p>
        </w:tc>
        <w:tc>
          <w:tcPr>
            <w:tcW w:w="2231" w:type="dxa"/>
            <w:tcBorders>
              <w:top w:val="single" w:sz="4" w:space="0" w:color="auto"/>
              <w:left w:val="single" w:sz="4" w:space="0" w:color="auto"/>
              <w:bottom w:val="single" w:sz="4" w:space="0" w:color="auto"/>
              <w:right w:val="single" w:sz="4" w:space="0" w:color="auto"/>
            </w:tcBorders>
          </w:tcPr>
          <w:p w14:paraId="47DE50CC">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53FA9495">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1F1D64F0">
            <w:pPr>
              <w:pStyle w:val="TableText"/>
            </w:pPr>
            <w:r>
              <w:t xml:space="preserve">$: branch 1 (org.opcfoundation.ua.avro.NodeId).string: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A6C0D9">
            <w:pPr>
              <w:pStyle w:val="TableText"/>
            </w:pPr>
            <w:r>
              <w:t xml:space="preserve">7</w:t>
            </w:r>
          </w:p>
        </w:tc>
        <w:tc>
          <w:tcPr>
            <w:tcW w:w="2231" w:type="dxa"/>
            <w:tcBorders>
              <w:top w:val="single" w:sz="4" w:space="0" w:color="auto"/>
              <w:left w:val="single" w:sz="4" w:space="0" w:color="auto"/>
              <w:bottom w:val="single" w:sz="4" w:space="0" w:color="auto"/>
              <w:right w:val="single" w:sz="4" w:space="0" w:color="auto"/>
            </w:tcBorders>
          </w:tcPr>
          <w:p w14:paraId="65275C07">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3F3533C">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3E6911EA">
            <w:pPr>
              <w:pStyle w:val="TableText"/>
            </w:pPr>
            <w:r>
              <w:t xml:space="preserve">$: branch 1 (org.opcfoundation.ua.avro.NodeId).guid: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8235CC4">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5837A59B">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0DB05243">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16955342">
            <w:pPr>
              <w:pStyle w:val="TableText"/>
            </w:pPr>
            <w:r>
              <w:t xml:space="preserve">$: branch 1 (org.opcfoundation.ua.avro.NodeId).guid: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89B0B4C">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5FD0436E">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20D4D8CA">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43120C90">
            <w:pPr>
              <w:pStyle w:val="TableText"/>
            </w:pPr>
            <w:r>
              <w:t xml:space="preserve">$: branch 1 (org.opcfoundation.ua.avro.NodeId).opaque: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0707182">
            <w:pPr>
              <w:pStyle w:val="TableText"/>
            </w:pPr>
            <w:r>
              <w:t xml:space="preserve">9</w:t>
            </w:r>
          </w:p>
        </w:tc>
        <w:tc>
          <w:tcPr>
            <w:tcW w:w="2231" w:type="dxa"/>
            <w:tcBorders>
              <w:top w:val="single" w:sz="4" w:space="0" w:color="auto"/>
              <w:left w:val="single" w:sz="4" w:space="0" w:color="auto"/>
              <w:bottom w:val="single" w:sz="4" w:space="0" w:color="auto"/>
              <w:right w:val="single" w:sz="4" w:space="0" w:color="auto"/>
            </w:tcBorders>
          </w:tcPr>
          <w:p w14:paraId="5D458AD2">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5EC397AA">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4E241B8E">
            <w:pPr>
              <w:pStyle w:val="TableText"/>
            </w:pPr>
            <w:r>
              <w:t xml:space="preserve">$: branch 1 (org.opcfoundation.ua.avro.NodeId).opaque: branch 0 (null): null</w:t>
            </w:r>
          </w:p>
        </w:tc>
      </w:tr>
    </w:tbl>
    <w:p w14:paraId="548B18DB">
      <w:pPr>
        <w:pStyle w:val="spacer"/>
      </w:pPr>
    </w:p>
    <w:p w14:paraId="5E306C74">
      <w:pPr>
        <w:pStyle w:val="ANNEX-heading2"/>
      </w:pPr>
      <w:bookmarkStart w:id="601" w:name="_Clause_cA_2_18"/>
      <w:r>
        <w:t xml:space="preserve">Built-in ExpandedNodeId</w:t>
      </w:r>
      <w:bookmarkEnd w:id="601"/>
    </w:p>
    <w:p w14:paraId="13EBAE6A">
      <w:pPr>
        <w:pStyle w:val="PARAGRAPH"/>
      </w:pPr>
      <w:r>
        <w:rPr>
          <w:b/>
        </w:rPr>
        <w:t xml:space="preserve">SchemaId</w:t>
      </w:r>
      <w:r>
        <w:t xml:space="preserve"> </w:t>
      </w:r>
      <w:r>
        <w:rPr>
          <w:rStyle w:val="VARIABLE"/>
        </w:rPr>
        <w:t xml:space="preserve">eff6df8ff05db838</w:t>
      </w:r>
    </w:p>
    <w:p w14:paraId="74990115">
      <w:pPr>
        <w:pStyle w:val="TABLE-title"/>
        <w:keepNext/>
      </w:pPr>
      <w:bookmarkStart w:id="602" w:name="_Tab_built_in_expandednodeid_tab1"/>
      <w:r>
        <w:t xml:space="preserve">Table </w:t>
      </w:r>
      <w:r>
        <w:fldChar w:fldCharType="begin"/>
      </w:r>
      <w:r>
        <w:instrText xml:space="preserve"> SEQ Table \* ARABIC </w:instrText>
      </w:r>
      <w:r>
        <w:fldChar w:fldCharType="separate"/>
      </w:r>
      <w:r>
        <w:rPr>
          <w:noProof/>
        </w:rPr>
        <w:t xml:space="preserve">50</w:t>
      </w:r>
      <w:r>
        <w:fldChar w:fldCharType="end"/>
      </w:r>
      <w:r>
        <w:t xml:space="preserve"> – Built-in ExpandedNodeId</w:t>
      </w:r>
      <w:bookmarkEnd w:id="6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3DBE2516">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29C8FFA1">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282CCCC8">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5A7C8D14">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5374B4A">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76D5D40C">
            <w:pPr>
              <w:pStyle w:val="TableText"/>
            </w:pPr>
            <w:r>
              <w:rPr>
                <w:rStyle w:val="VARIABLE"/>
              </w:rPr>
              <w:t xml:space="preserve">{"fields": [{"name": "nodeId", "type": "org.opcfoundation.ua.avro.NodeId"}, {"default": null, "name": "namespaceUri", "type": ["null", "string"]}, {"default": 0, "name": "serverIndex", "type": "long"}], "name": "ExpandedNodeId",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684D2D50">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70C9CDD4">
            <w:pPr>
              <w:pStyle w:val="TableText"/>
            </w:pPr>
            <w:r>
              <w:t xml:space="preserve">OPC UA BuiltInType 18.</w:t>
            </w:r>
          </w:p>
        </w:tc>
      </w:tr>
    </w:tbl>
    <w:p w14:paraId="28BD1043">
      <w:pPr>
        <w:pStyle w:val="spacer"/>
      </w:pPr>
    </w:p>
    <w:p w14:paraId="2C902685">
      <w:pPr>
        <w:pStyle w:val="PARAGRAPH"/>
      </w:pPr>
      <w:r>
        <w:rPr>
          <w:b/>
        </w:rPr>
        <w:t xml:space="preserve">Avro schema fragment</w:t>
      </w:r>
    </w:p>
    <w:p w14:paraId="1BE28236">
      <w:pPr>
        <w:pStyle w:val="CODE"/>
      </w:pPr>
      <w:r>
        <w:t xml:space="preserve">{</w:t>
      </w:r>
    </w:p>
    <w:p w14:paraId="29BF67EC">
      <w:pPr>
        <w:pStyle w:val="CODE"/>
      </w:pPr>
      <w:r>
        <w:t xml:space="preserve">  "fields": [</w:t>
      </w:r>
    </w:p>
    <w:p w14:paraId="0B400B6A">
      <w:pPr>
        <w:pStyle w:val="CODE"/>
      </w:pPr>
      <w:r>
        <w:t xml:space="preserve">    {</w:t>
      </w:r>
    </w:p>
    <w:p w14:paraId="159420A3">
      <w:pPr>
        <w:pStyle w:val="CODE"/>
      </w:pPr>
      <w:r>
        <w:t xml:space="preserve">      "name": "nodeId",</w:t>
      </w:r>
    </w:p>
    <w:p w14:paraId="6BD8FD90">
      <w:pPr>
        <w:pStyle w:val="CODE"/>
      </w:pPr>
      <w:r>
        <w:t xml:space="preserve">      "type": "org.opcfoundation.ua.avro.NodeId"</w:t>
      </w:r>
    </w:p>
    <w:p w14:paraId="40A89891">
      <w:pPr>
        <w:pStyle w:val="CODE"/>
      </w:pPr>
      <w:r>
        <w:t xml:space="preserve">    },</w:t>
      </w:r>
    </w:p>
    <w:p w14:paraId="055CD1C8">
      <w:pPr>
        <w:pStyle w:val="CODE"/>
      </w:pPr>
      <w:r>
        <w:t xml:space="preserve">    {</w:t>
      </w:r>
    </w:p>
    <w:p w14:paraId="1BFBA0F1">
      <w:pPr>
        <w:pStyle w:val="CODE"/>
      </w:pPr>
      <w:r>
        <w:t xml:space="preserve">      "default": null,</w:t>
      </w:r>
    </w:p>
    <w:p w14:paraId="2BD18C02">
      <w:pPr>
        <w:pStyle w:val="CODE"/>
      </w:pPr>
      <w:r>
        <w:t xml:space="preserve">      "name": "namespaceUri",</w:t>
      </w:r>
    </w:p>
    <w:p w14:paraId="3D7F6760">
      <w:pPr>
        <w:pStyle w:val="CODE"/>
      </w:pPr>
      <w:r>
        <w:t xml:space="preserve">      "type": [</w:t>
      </w:r>
    </w:p>
    <w:p w14:paraId="0F9660AA">
      <w:pPr>
        <w:pStyle w:val="CODE"/>
      </w:pPr>
      <w:r>
        <w:t xml:space="preserve">        "null",</w:t>
      </w:r>
    </w:p>
    <w:p w14:paraId="71CAAE34">
      <w:pPr>
        <w:pStyle w:val="CODE"/>
      </w:pPr>
      <w:r>
        <w:t xml:space="preserve">        "string"</w:t>
      </w:r>
    </w:p>
    <w:p w14:paraId="3497C581">
      <w:pPr>
        <w:pStyle w:val="CODE"/>
      </w:pPr>
      <w:r>
        <w:t xml:space="preserve">      ]</w:t>
      </w:r>
    </w:p>
    <w:p w14:paraId="2ED664AF">
      <w:pPr>
        <w:pStyle w:val="CODE"/>
      </w:pPr>
      <w:r>
        <w:t xml:space="preserve">    },</w:t>
      </w:r>
    </w:p>
    <w:p w14:paraId="2E384CD3">
      <w:pPr>
        <w:pStyle w:val="CODE"/>
      </w:pPr>
      <w:r>
        <w:t xml:space="preserve">    {</w:t>
      </w:r>
    </w:p>
    <w:p w14:paraId="52F384ED">
      <w:pPr>
        <w:pStyle w:val="CODE"/>
      </w:pPr>
      <w:r>
        <w:t xml:space="preserve">      "default": 0,</w:t>
      </w:r>
    </w:p>
    <w:p w14:paraId="4973067A">
      <w:pPr>
        <w:pStyle w:val="CODE"/>
      </w:pPr>
      <w:r>
        <w:t xml:space="preserve">      "name": "serverIndex",</w:t>
      </w:r>
    </w:p>
    <w:p w14:paraId="64D4659F">
      <w:pPr>
        <w:pStyle w:val="CODE"/>
      </w:pPr>
      <w:r>
        <w:t xml:space="preserve">      "type": "long"</w:t>
      </w:r>
    </w:p>
    <w:p w14:paraId="009A729D">
      <w:pPr>
        <w:pStyle w:val="CODE"/>
      </w:pPr>
      <w:r>
        <w:t xml:space="preserve">    }</w:t>
      </w:r>
    </w:p>
    <w:p w14:paraId="4DE9F489">
      <w:pPr>
        <w:pStyle w:val="CODE"/>
      </w:pPr>
      <w:r>
        <w:t xml:space="preserve">  ],</w:t>
      </w:r>
    </w:p>
    <w:p w14:paraId="319ED579">
      <w:pPr>
        <w:pStyle w:val="CODE"/>
      </w:pPr>
      <w:r>
        <w:t xml:space="preserve">  "name": "ExpandedNodeId",</w:t>
      </w:r>
    </w:p>
    <w:p w14:paraId="4BC799D4">
      <w:pPr>
        <w:pStyle w:val="CODE"/>
      </w:pPr>
      <w:r>
        <w:t xml:space="preserve">  "namespace": "org.opcfoundation.ua.avro",</w:t>
      </w:r>
    </w:p>
    <w:p w14:paraId="11EA3AE6">
      <w:pPr>
        <w:pStyle w:val="CODE"/>
      </w:pPr>
      <w:r>
        <w:t xml:space="preserve">  "type": "record"</w:t>
      </w:r>
    </w:p>
    <w:p w14:paraId="08E06DA6">
      <w:pPr>
        <w:pStyle w:val="CODE"/>
      </w:pPr>
      <w:r>
        <w:t xml:space="preserve">}</w:t>
      </w:r>
    </w:p>
    <w:p w14:paraId="365EC9C7">
      <w:pPr>
        <w:pStyle w:val="PARAGRAPH"/>
      </w:pPr>
      <w:r>
        <w:rPr>
          <w:b/>
        </w:rPr>
        <w:t xml:space="preserve">Example value</w:t>
      </w:r>
      <w:r>
        <w:t xml:space="preserve"> (</w:t>
      </w:r>
      <w:r>
        <w:rPr>
          <w:rStyle w:val="VARIABLE"/>
        </w:rPr>
        <w:t xml:space="preserve">expnodeid_full</w:t>
      </w:r>
      <w:r>
        <w:t xml:space="preserve">)</w:t>
      </w:r>
    </w:p>
    <w:p w14:paraId="21584E95">
      <w:pPr>
        <w:pStyle w:val="CODE"/>
      </w:pPr>
      <w:r>
        <w:t xml:space="preserve">{"namespace_uri": "http://example.org/UA/", "node_id": {"id_type": 1, "identifier": "X", "namespace": 1}, "server_index": 5}</w:t>
      </w:r>
    </w:p>
    <w:p w14:paraId="450387D2">
      <w:pPr>
        <w:pStyle w:val="PARAGRAPH"/>
      </w:pPr>
      <w:r>
        <w:rPr>
          <w:b/>
        </w:rPr>
        <w:t xml:space="preserve">Encoded bytes</w:t>
      </w:r>
      <w:r>
        <w:t xml:space="preserve"> (34 bytes)</w:t>
      </w:r>
    </w:p>
    <w:p w14:paraId="455654D3">
      <w:pPr>
        <w:pStyle w:val="CODE"/>
      </w:pPr>
      <w:r>
        <w:t xml:space="preserve">020202000202580000022c687474703a2f2f6578616d706c652e6f72672f55412f0a</w:t>
      </w:r>
    </w:p>
    <w:p w14:paraId="3A67EBF9">
      <w:pPr>
        <w:pStyle w:val="PARAGRAPH"/>
      </w:pPr>
      <w:r>
        <w:rPr>
          <w:b/>
        </w:rPr>
        <w:t xml:space="preserve">Annotated byte-level breakdown</w:t>
      </w:r>
    </w:p>
    <w:p w14:paraId="063D8087">
      <w:pPr>
        <w:pStyle w:val="TABLE-title"/>
        <w:keepNext/>
      </w:pPr>
      <w:bookmarkStart w:id="603" w:name="_Tab_built_in_expandednodeid_tab2"/>
      <w:r>
        <w:t xml:space="preserve">Table </w:t>
      </w:r>
      <w:r>
        <w:fldChar w:fldCharType="begin"/>
      </w:r>
      <w:r>
        <w:instrText xml:space="preserve"> SEQ Table \* ARABIC </w:instrText>
      </w:r>
      <w:r>
        <w:fldChar w:fldCharType="separate"/>
      </w:r>
      <w:r>
        <w:rPr>
          <w:noProof/>
        </w:rPr>
        <w:t xml:space="preserve">51</w:t>
      </w:r>
      <w:r>
        <w:fldChar w:fldCharType="end"/>
      </w:r>
      <w:r>
        <w:t xml:space="preserve"> – Built-in ExpandedNodeId (2)</w:t>
      </w:r>
      <w:bookmarkEnd w:id="6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083D5460">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34399250">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0D249262">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1CDBEFC8">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FF753FB">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16598D08">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15D6186">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40BFA62D">
            <w:pPr>
              <w:pStyle w:val="TableText"/>
            </w:pPr>
            <w:r>
              <w:t xml:space="preserve">$: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AC4F4BE">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376F879">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546995F">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329B3972">
            <w:pPr>
              <w:pStyle w:val="TableText"/>
            </w:pPr>
            <w:r>
              <w:t xml:space="preserve">$: branch 1 (org.opcfoundation.ua.avro.ExpandedNodeId).nodeId.namespace: int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7ACDC59">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73213648">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307EDACD">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77496774">
            <w:pPr>
              <w:pStyle w:val="TableText"/>
            </w:pPr>
            <w:r>
              <w:t xml:space="preserve">$: branch 1 (org.opcfoundation.ua.avro.ExpandedNodeId).nodeId.idType: int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05F6C08">
            <w:pPr>
              <w:pStyle w:val="TableText"/>
            </w:pPr>
            <w:r>
              <w:t xml:space="preserve">3</w:t>
            </w:r>
          </w:p>
        </w:tc>
        <w:tc>
          <w:tcPr>
            <w:tcW w:w="2231" w:type="dxa"/>
            <w:tcBorders>
              <w:top w:val="single" w:sz="4" w:space="0" w:color="auto"/>
              <w:left w:val="single" w:sz="4" w:space="0" w:color="auto"/>
              <w:bottom w:val="single" w:sz="4" w:space="0" w:color="auto"/>
              <w:right w:val="single" w:sz="4" w:space="0" w:color="auto"/>
            </w:tcBorders>
          </w:tcPr>
          <w:p w14:paraId="32696C40">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AF3F219">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45B78133">
            <w:pPr>
              <w:pStyle w:val="TableText"/>
            </w:pPr>
            <w:r>
              <w:t xml:space="preserve">$: branch 1 (org.opcfoundation.ua.avro.ExpandedNodeId).nodeId.numeric: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D04901">
            <w:pPr>
              <w:pStyle w:val="TableText"/>
            </w:pPr>
            <w:r>
              <w:t xml:space="preserve">4</w:t>
            </w:r>
          </w:p>
        </w:tc>
        <w:tc>
          <w:tcPr>
            <w:tcW w:w="2231" w:type="dxa"/>
            <w:tcBorders>
              <w:top w:val="single" w:sz="4" w:space="0" w:color="auto"/>
              <w:left w:val="single" w:sz="4" w:space="0" w:color="auto"/>
              <w:bottom w:val="single" w:sz="4" w:space="0" w:color="auto"/>
              <w:right w:val="single" w:sz="4" w:space="0" w:color="auto"/>
            </w:tcBorders>
          </w:tcPr>
          <w:p w14:paraId="44AD4569">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61E3865E">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4286143D">
            <w:pPr>
              <w:pStyle w:val="TableText"/>
            </w:pPr>
            <w:r>
              <w:t xml:space="preserve">$: branch 1 (org.opcfoundation.ua.avro.ExpandedNodeId).nodeId.numeric: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8745FBA">
            <w:pPr>
              <w:pStyle w:val="TableText"/>
            </w:pPr>
            <w:r>
              <w:t xml:space="preserve">4</w:t>
            </w:r>
          </w:p>
        </w:tc>
        <w:tc>
          <w:tcPr>
            <w:tcW w:w="2231" w:type="dxa"/>
            <w:tcBorders>
              <w:top w:val="single" w:sz="4" w:space="0" w:color="auto"/>
              <w:left w:val="single" w:sz="4" w:space="0" w:color="auto"/>
              <w:bottom w:val="single" w:sz="4" w:space="0" w:color="auto"/>
              <w:right w:val="single" w:sz="4" w:space="0" w:color="auto"/>
            </w:tcBorders>
          </w:tcPr>
          <w:p w14:paraId="1FAC7A12">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39391558">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20C4CE51">
            <w:pPr>
              <w:pStyle w:val="TableText"/>
            </w:pPr>
            <w:r>
              <w:t xml:space="preserve">$: branch 1 (org.opcfoundation.ua.avro.ExpandedNodeId).nodeId.string: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16C6193">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14:paraId="32C05049">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46B081E">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54789B28">
            <w:pPr>
              <w:pStyle w:val="TableText"/>
            </w:pPr>
            <w:r>
              <w:t xml:space="preserve">$: branch 1 (org.opcfoundation.ua.avro.ExpandedNodeId).nodeId.string: branch 1 (string): string length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37A733E">
            <w:pPr>
              <w:pStyle w:val="TableText"/>
            </w:pPr>
            <w:r>
              <w:t xml:space="preserve">6</w:t>
            </w:r>
          </w:p>
        </w:tc>
        <w:tc>
          <w:tcPr>
            <w:tcW w:w="2231" w:type="dxa"/>
            <w:tcBorders>
              <w:top w:val="single" w:sz="4" w:space="0" w:color="auto"/>
              <w:left w:val="single" w:sz="4" w:space="0" w:color="auto"/>
              <w:bottom w:val="single" w:sz="4" w:space="0" w:color="auto"/>
              <w:right w:val="single" w:sz="4" w:space="0" w:color="auto"/>
            </w:tcBorders>
          </w:tcPr>
          <w:p w14:paraId="346D95FC">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9890EFB">
            <w:pPr>
              <w:pStyle w:val="TableText"/>
            </w:pPr>
            <w:r>
              <w:rPr>
                <w:rStyle w:val="VARIABLE"/>
              </w:rPr>
              <w:t xml:space="preserve">58</w:t>
            </w:r>
          </w:p>
        </w:tc>
        <w:tc>
          <w:tcPr>
            <w:tcW w:w="2233" w:type="dxa"/>
            <w:tcBorders>
              <w:top w:val="single" w:sz="4" w:space="0" w:color="auto"/>
              <w:left w:val="single" w:sz="4" w:space="0" w:color="auto"/>
              <w:bottom w:val="single" w:sz="4" w:space="0" w:color="auto"/>
              <w:right w:val="single" w:sz="4" w:space="0" w:color="auto"/>
            </w:tcBorders>
          </w:tcPr>
          <w:p w14:paraId="675359FD">
            <w:pPr>
              <w:pStyle w:val="TableText"/>
            </w:pPr>
            <w:r>
              <w:t xml:space="preserve">$: branch 1 (org.opcfoundation.ua.avro.ExpandedNodeId).nodeId.string: branch 1 (string): string data</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6F55BC6">
            <w:pPr>
              <w:pStyle w:val="TableText"/>
            </w:pPr>
            <w:r>
              <w:t xml:space="preserve">7</w:t>
            </w:r>
          </w:p>
        </w:tc>
        <w:tc>
          <w:tcPr>
            <w:tcW w:w="2231" w:type="dxa"/>
            <w:tcBorders>
              <w:top w:val="single" w:sz="4" w:space="0" w:color="auto"/>
              <w:left w:val="single" w:sz="4" w:space="0" w:color="auto"/>
              <w:bottom w:val="single" w:sz="4" w:space="0" w:color="auto"/>
              <w:right w:val="single" w:sz="4" w:space="0" w:color="auto"/>
            </w:tcBorders>
          </w:tcPr>
          <w:p w14:paraId="6A04F0F5">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B0EE470">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2037C128">
            <w:pPr>
              <w:pStyle w:val="TableText"/>
            </w:pPr>
            <w:r>
              <w:t xml:space="preserve">$: branch 1 (org.opcfoundation.ua.avro.ExpandedNodeId).nodeId.guid: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8E1D740">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101B4572">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0B757CE2">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0DF52D92">
            <w:pPr>
              <w:pStyle w:val="TableText"/>
            </w:pPr>
            <w:r>
              <w:t xml:space="preserve">$: branch 1 (org.opcfoundation.ua.avro.ExpandedNodeId).nodeId.guid: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F0F87C1">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1AE059D9">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A4FCAAD">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20812F62">
            <w:pPr>
              <w:pStyle w:val="TableText"/>
            </w:pPr>
            <w:r>
              <w:t xml:space="preserve">$: branch 1 (org.opcfoundation.ua.avro.ExpandedNodeId).nodeId.opaque: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07F8515">
            <w:pPr>
              <w:pStyle w:val="TableText"/>
            </w:pPr>
            <w:r>
              <w:t xml:space="preserve">9</w:t>
            </w:r>
          </w:p>
        </w:tc>
        <w:tc>
          <w:tcPr>
            <w:tcW w:w="2231" w:type="dxa"/>
            <w:tcBorders>
              <w:top w:val="single" w:sz="4" w:space="0" w:color="auto"/>
              <w:left w:val="single" w:sz="4" w:space="0" w:color="auto"/>
              <w:bottom w:val="single" w:sz="4" w:space="0" w:color="auto"/>
              <w:right w:val="single" w:sz="4" w:space="0" w:color="auto"/>
            </w:tcBorders>
          </w:tcPr>
          <w:p w14:paraId="1EBE1421">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7894460A">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30F85EEC">
            <w:pPr>
              <w:pStyle w:val="TableText"/>
            </w:pPr>
            <w:r>
              <w:t xml:space="preserve">$: branch 1 (org.opcfoundation.ua.avro.ExpandedNodeId).nodeId.opaque: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06688A1">
            <w:pPr>
              <w:pStyle w:val="TableText"/>
            </w:pPr>
            <w:r>
              <w:t xml:space="preserve">9</w:t>
            </w:r>
          </w:p>
        </w:tc>
        <w:tc>
          <w:tcPr>
            <w:tcW w:w="2231" w:type="dxa"/>
            <w:tcBorders>
              <w:top w:val="single" w:sz="4" w:space="0" w:color="auto"/>
              <w:left w:val="single" w:sz="4" w:space="0" w:color="auto"/>
              <w:bottom w:val="single" w:sz="4" w:space="0" w:color="auto"/>
              <w:right w:val="single" w:sz="4" w:space="0" w:color="auto"/>
            </w:tcBorders>
          </w:tcPr>
          <w:p w14:paraId="5410FCEC">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3541B09">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6EE291B6">
            <w:pPr>
              <w:pStyle w:val="TableText"/>
            </w:pPr>
            <w:r>
              <w:t xml:space="preserve">$: branch 1 (org.opcfoundation.ua.avro.ExpandedNodeId).namespaceUri: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B5C7622">
            <w:pPr>
              <w:pStyle w:val="TableText"/>
            </w:pPr>
            <w:r>
              <w:t xml:space="preserve">10</w:t>
            </w:r>
          </w:p>
        </w:tc>
        <w:tc>
          <w:tcPr>
            <w:tcW w:w="2231" w:type="dxa"/>
            <w:tcBorders>
              <w:top w:val="single" w:sz="4" w:space="0" w:color="auto"/>
              <w:left w:val="single" w:sz="4" w:space="0" w:color="auto"/>
              <w:bottom w:val="single" w:sz="4" w:space="0" w:color="auto"/>
              <w:right w:val="single" w:sz="4" w:space="0" w:color="auto"/>
            </w:tcBorders>
          </w:tcPr>
          <w:p w14:paraId="12DF4A3A">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C297414">
            <w:pPr>
              <w:pStyle w:val="TableText"/>
            </w:pPr>
            <w:r>
              <w:rPr>
                <w:rStyle w:val="VARIABLE"/>
              </w:rPr>
              <w:t xml:space="preserve">2c</w:t>
            </w:r>
          </w:p>
        </w:tc>
        <w:tc>
          <w:tcPr>
            <w:tcW w:w="2233" w:type="dxa"/>
            <w:tcBorders>
              <w:top w:val="single" w:sz="4" w:space="0" w:color="auto"/>
              <w:left w:val="single" w:sz="4" w:space="0" w:color="auto"/>
              <w:bottom w:val="single" w:sz="4" w:space="0" w:color="auto"/>
              <w:right w:val="single" w:sz="4" w:space="0" w:color="auto"/>
            </w:tcBorders>
          </w:tcPr>
          <w:p w14:paraId="54F555E5">
            <w:pPr>
              <w:pStyle w:val="TableText"/>
            </w:pPr>
            <w:r>
              <w:t xml:space="preserve">$: branch 1 (org.opcfoundation.ua.avro.ExpandedNodeId).namespaceUri: branch 1 (string): string length = 22</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128770C">
            <w:pPr>
              <w:pStyle w:val="TableText"/>
            </w:pPr>
            <w:r>
              <w:t xml:space="preserve">11</w:t>
            </w:r>
          </w:p>
        </w:tc>
        <w:tc>
          <w:tcPr>
            <w:tcW w:w="2231" w:type="dxa"/>
            <w:tcBorders>
              <w:top w:val="single" w:sz="4" w:space="0" w:color="auto"/>
              <w:left w:val="single" w:sz="4" w:space="0" w:color="auto"/>
              <w:bottom w:val="single" w:sz="4" w:space="0" w:color="auto"/>
              <w:right w:val="single" w:sz="4" w:space="0" w:color="auto"/>
            </w:tcBorders>
          </w:tcPr>
          <w:p w14:paraId="5823F3D5">
            <w:pPr>
              <w:pStyle w:val="TableText"/>
            </w:pPr>
            <w:r>
              <w:t xml:space="preserve">22</w:t>
            </w:r>
          </w:p>
        </w:tc>
        <w:tc>
          <w:tcPr>
            <w:tcW w:w="2231" w:type="dxa"/>
            <w:tcBorders>
              <w:top w:val="single" w:sz="4" w:space="0" w:color="auto"/>
              <w:left w:val="single" w:sz="4" w:space="0" w:color="auto"/>
              <w:bottom w:val="single" w:sz="4" w:space="0" w:color="auto"/>
              <w:right w:val="single" w:sz="4" w:space="0" w:color="auto"/>
            </w:tcBorders>
          </w:tcPr>
          <w:p w14:paraId="483A60A8">
            <w:pPr>
              <w:pStyle w:val="TableText"/>
            </w:pPr>
            <w:r>
              <w:rPr>
                <w:rStyle w:val="VARIABLE"/>
              </w:rPr>
              <w:t xml:space="preserve">68 74 74 70 3a 2f 2f 65 78 61 6d 70 6c 65 2e 6f … (+6 B)</w:t>
            </w:r>
          </w:p>
        </w:tc>
        <w:tc>
          <w:tcPr>
            <w:tcW w:w="2233" w:type="dxa"/>
            <w:tcBorders>
              <w:top w:val="single" w:sz="4" w:space="0" w:color="auto"/>
              <w:left w:val="single" w:sz="4" w:space="0" w:color="auto"/>
              <w:bottom w:val="single" w:sz="4" w:space="0" w:color="auto"/>
              <w:right w:val="single" w:sz="4" w:space="0" w:color="auto"/>
            </w:tcBorders>
          </w:tcPr>
          <w:p w14:paraId="46B5CFDB">
            <w:pPr>
              <w:pStyle w:val="TableText"/>
            </w:pPr>
            <w:r>
              <w:t xml:space="preserve">$: branch 1 (org.opcfoundation.ua.avro.ExpandedNodeId).namespaceUri: branch 1 (string): string data</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AC1B1A4">
            <w:pPr>
              <w:pStyle w:val="TableText"/>
            </w:pPr>
            <w:r>
              <w:t xml:space="preserve">33</w:t>
            </w:r>
          </w:p>
        </w:tc>
        <w:tc>
          <w:tcPr>
            <w:tcW w:w="2231" w:type="dxa"/>
            <w:tcBorders>
              <w:top w:val="single" w:sz="4" w:space="0" w:color="auto"/>
              <w:left w:val="single" w:sz="4" w:space="0" w:color="auto"/>
              <w:bottom w:val="single" w:sz="4" w:space="0" w:color="auto"/>
              <w:right w:val="single" w:sz="4" w:space="0" w:color="auto"/>
            </w:tcBorders>
          </w:tcPr>
          <w:p w14:paraId="23BF4E20">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F7B9054">
            <w:pPr>
              <w:pStyle w:val="TableText"/>
            </w:pPr>
            <w:r>
              <w:rPr>
                <w:rStyle w:val="VARIABLE"/>
              </w:rPr>
              <w:t xml:space="preserve">0a</w:t>
            </w:r>
          </w:p>
        </w:tc>
        <w:tc>
          <w:tcPr>
            <w:tcW w:w="2233" w:type="dxa"/>
            <w:tcBorders>
              <w:top w:val="single" w:sz="4" w:space="0" w:color="auto"/>
              <w:left w:val="single" w:sz="4" w:space="0" w:color="auto"/>
              <w:bottom w:val="single" w:sz="4" w:space="0" w:color="auto"/>
              <w:right w:val="single" w:sz="4" w:space="0" w:color="auto"/>
            </w:tcBorders>
          </w:tcPr>
          <w:p w14:paraId="52793F6F">
            <w:pPr>
              <w:pStyle w:val="TableText"/>
            </w:pPr>
            <w:r>
              <w:t xml:space="preserve">$: branch 1 (org.opcfoundation.ua.avro.ExpandedNodeId).serverIndex: long = 5</w:t>
            </w:r>
          </w:p>
        </w:tc>
      </w:tr>
    </w:tbl>
    <w:p w14:paraId="6BBD69E6">
      <w:pPr>
        <w:pStyle w:val="spacer"/>
      </w:pPr>
    </w:p>
    <w:p w14:paraId="50B81169">
      <w:pPr>
        <w:pStyle w:val="ANNEX-heading2"/>
      </w:pPr>
      <w:bookmarkStart w:id="604" w:name="_Clause_cA_2_19"/>
      <w:r>
        <w:t xml:space="preserve">Built-in StatusCode</w:t>
      </w:r>
      <w:bookmarkEnd w:id="604"/>
    </w:p>
    <w:p w14:paraId="17957BBB">
      <w:pPr>
        <w:pStyle w:val="PARAGRAPH"/>
      </w:pPr>
      <w:r>
        <w:rPr>
          <w:b/>
        </w:rPr>
        <w:t xml:space="preserve">SchemaId</w:t>
      </w:r>
      <w:r>
        <w:t xml:space="preserve"> </w:t>
      </w:r>
      <w:r>
        <w:rPr>
          <w:rStyle w:val="VARIABLE"/>
        </w:rPr>
        <w:t xml:space="preserve">8f5c393f1ad57572</w:t>
      </w:r>
    </w:p>
    <w:p w14:paraId="1BD55AD2">
      <w:pPr>
        <w:pStyle w:val="TABLE-title"/>
        <w:keepNext/>
      </w:pPr>
      <w:bookmarkStart w:id="605" w:name="_Tab_built_in_statuscode_tab1"/>
      <w:r>
        <w:t xml:space="preserve">Table </w:t>
      </w:r>
      <w:r>
        <w:fldChar w:fldCharType="begin"/>
      </w:r>
      <w:r>
        <w:instrText xml:space="preserve"> SEQ Table \* ARABIC </w:instrText>
      </w:r>
      <w:r>
        <w:fldChar w:fldCharType="separate"/>
      </w:r>
      <w:r>
        <w:rPr>
          <w:noProof/>
        </w:rPr>
        <w:t xml:space="preserve">52</w:t>
      </w:r>
      <w:r>
        <w:fldChar w:fldCharType="end"/>
      </w:r>
      <w:r>
        <w:t xml:space="preserve"> – Built-in StatusCode</w:t>
      </w:r>
      <w:bookmarkEnd w:id="6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28A7F16B">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61E66E3B">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17F44868">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3BBEDE56">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9D118C4">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59A81D81">
            <w:pPr>
              <w:pStyle w:val="TableText"/>
            </w:pPr>
            <w:r>
              <w:rPr>
                <w:rStyle w:val="VARIABLE"/>
              </w:rPr>
              <w:t xml:space="preserve">"int"</w:t>
            </w:r>
          </w:p>
        </w:tc>
        <w:tc>
          <w:tcPr>
            <w:tcW w:w="2231" w:type="dxa"/>
            <w:tcBorders>
              <w:top w:val="single" w:sz="4" w:space="0" w:color="auto"/>
              <w:left w:val="single" w:sz="4" w:space="0" w:color="auto"/>
              <w:bottom w:val="single" w:sz="4" w:space="0" w:color="auto"/>
              <w:right w:val="single" w:sz="4" w:space="0" w:color="auto"/>
            </w:tcBorders>
          </w:tcPr>
          <w:p w14:paraId="696F807A">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4F9ED79">
            <w:pPr>
              <w:pStyle w:val="TableText"/>
            </w:pPr>
            <w:r>
              <w:t xml:space="preserve">OPC UA BuiltInType 19.</w:t>
            </w:r>
          </w:p>
        </w:tc>
      </w:tr>
    </w:tbl>
    <w:p w14:paraId="1E96DD71">
      <w:pPr>
        <w:pStyle w:val="spacer"/>
      </w:pPr>
    </w:p>
    <w:p w14:paraId="7176676D">
      <w:pPr>
        <w:pStyle w:val="PARAGRAPH"/>
      </w:pPr>
      <w:r>
        <w:rPr>
          <w:b/>
        </w:rPr>
        <w:t xml:space="preserve">Avro schema fragment</w:t>
      </w:r>
    </w:p>
    <w:p w14:paraId="62D9C013">
      <w:pPr>
        <w:pStyle w:val="CODE"/>
      </w:pPr>
      <w:r>
        <w:t xml:space="preserve">"int"</w:t>
      </w:r>
    </w:p>
    <w:p w14:paraId="32723629">
      <w:pPr>
        <w:pStyle w:val="PARAGRAPH"/>
      </w:pPr>
      <w:r>
        <w:rPr>
          <w:b/>
        </w:rPr>
        <w:t xml:space="preserve">Example value</w:t>
      </w:r>
      <w:r>
        <w:t xml:space="preserve"> (</w:t>
      </w:r>
      <w:r>
        <w:rPr>
          <w:rStyle w:val="VARIABLE"/>
        </w:rPr>
        <w:t xml:space="preserve">status_bad</w:t>
      </w:r>
      <w:r>
        <w:t xml:space="preserve">)</w:t>
      </w:r>
    </w:p>
    <w:p w14:paraId="28DC310C">
      <w:pPr>
        <w:pStyle w:val="CODE"/>
      </w:pPr>
      <w:r>
        <w:t xml:space="preserve">{"value": 2158755840}</w:t>
      </w:r>
    </w:p>
    <w:p w14:paraId="26BBF7A9">
      <w:pPr>
        <w:pStyle w:val="PARAGRAPH"/>
      </w:pPr>
      <w:r>
        <w:rPr>
          <w:b/>
        </w:rPr>
        <w:t xml:space="preserve">Encoded bytes</w:t>
      </w:r>
      <w:r>
        <w:t xml:space="preserve"> (5 bytes)</w:t>
      </w:r>
    </w:p>
    <w:p w14:paraId="4FA9F763">
      <w:pPr>
        <w:pStyle w:val="CODE"/>
      </w:pPr>
      <w:r>
        <w:t xml:space="preserve">ffff9ff50f</w:t>
      </w:r>
    </w:p>
    <w:p w14:paraId="318D8D13">
      <w:pPr>
        <w:pStyle w:val="PARAGRAPH"/>
      </w:pPr>
      <w:r>
        <w:rPr>
          <w:b/>
        </w:rPr>
        <w:t xml:space="preserve">Annotated byte-level breakdown</w:t>
      </w:r>
    </w:p>
    <w:p w14:paraId="7299AC5B">
      <w:pPr>
        <w:pStyle w:val="TABLE-title"/>
        <w:keepNext/>
      </w:pPr>
      <w:bookmarkStart w:id="606" w:name="_Tab_built_in_statuscode_tab2"/>
      <w:r>
        <w:t xml:space="preserve">Table </w:t>
      </w:r>
      <w:r>
        <w:fldChar w:fldCharType="begin"/>
      </w:r>
      <w:r>
        <w:instrText xml:space="preserve"> SEQ Table \* ARABIC </w:instrText>
      </w:r>
      <w:r>
        <w:fldChar w:fldCharType="separate"/>
      </w:r>
      <w:r>
        <w:rPr>
          <w:noProof/>
        </w:rPr>
        <w:t xml:space="preserve">53</w:t>
      </w:r>
      <w:r>
        <w:fldChar w:fldCharType="end"/>
      </w:r>
      <w:r>
        <w:t xml:space="preserve"> – Built-in StatusCode (2)</w:t>
      </w:r>
      <w:bookmarkEnd w:id="6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58323A24">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2E38654D">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348B5C68">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3FE25E31">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FA05123">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059B78F1">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14:paraId="2AB2E6D0">
            <w:pPr>
              <w:pStyle w:val="TableText"/>
            </w:pPr>
            <w:r>
              <w:rPr>
                <w:rStyle w:val="VARIABLE"/>
              </w:rPr>
              <w:t xml:space="preserve">ff ff 9f f5 0f</w:t>
            </w:r>
          </w:p>
        </w:tc>
        <w:tc>
          <w:tcPr>
            <w:tcW w:w="2233" w:type="dxa"/>
            <w:tcBorders>
              <w:top w:val="single" w:sz="4" w:space="0" w:color="auto"/>
              <w:left w:val="single" w:sz="4" w:space="0" w:color="auto"/>
              <w:bottom w:val="single" w:sz="4" w:space="0" w:color="auto"/>
              <w:right w:val="single" w:sz="4" w:space="0" w:color="auto"/>
            </w:tcBorders>
          </w:tcPr>
          <w:p w14:paraId="169C8506">
            <w:pPr>
              <w:pStyle w:val="TableText"/>
            </w:pPr>
            <w:r>
              <w:t xml:space="preserve">$: int = -2136211456</w:t>
            </w:r>
          </w:p>
        </w:tc>
      </w:tr>
    </w:tbl>
    <w:p w14:paraId="3963393A">
      <w:pPr>
        <w:pStyle w:val="spacer"/>
      </w:pPr>
    </w:p>
    <w:p w14:paraId="563F6145">
      <w:pPr>
        <w:pStyle w:val="ANNEX-heading2"/>
      </w:pPr>
      <w:bookmarkStart w:id="607" w:name="_Clause_cA_2_20"/>
      <w:r>
        <w:t xml:space="preserve">Built-in QualifiedName</w:t>
      </w:r>
      <w:bookmarkEnd w:id="607"/>
    </w:p>
    <w:p w14:paraId="4B6A06F3">
      <w:pPr>
        <w:pStyle w:val="PARAGRAPH"/>
      </w:pPr>
      <w:r>
        <w:rPr>
          <w:b/>
        </w:rPr>
        <w:t xml:space="preserve">SchemaId</w:t>
      </w:r>
      <w:r>
        <w:t xml:space="preserve"> </w:t>
      </w:r>
      <w:r>
        <w:rPr>
          <w:rStyle w:val="VARIABLE"/>
        </w:rPr>
        <w:t xml:space="preserve">5ea7a40e898d19ec</w:t>
      </w:r>
    </w:p>
    <w:p w14:paraId="77DD92BD">
      <w:pPr>
        <w:pStyle w:val="TABLE-title"/>
        <w:keepNext/>
      </w:pPr>
      <w:bookmarkStart w:id="608" w:name="_Tab_built_in_qualifiedname_tab1"/>
      <w:r>
        <w:t xml:space="preserve">Table </w:t>
      </w:r>
      <w:r>
        <w:fldChar w:fldCharType="begin"/>
      </w:r>
      <w:r>
        <w:instrText xml:space="preserve"> SEQ Table \* ARABIC </w:instrText>
      </w:r>
      <w:r>
        <w:fldChar w:fldCharType="separate"/>
      </w:r>
      <w:r>
        <w:rPr>
          <w:noProof/>
        </w:rPr>
        <w:t xml:space="preserve">54</w:t>
      </w:r>
      <w:r>
        <w:fldChar w:fldCharType="end"/>
      </w:r>
      <w:r>
        <w:t xml:space="preserve"> – Built-in QualifiedName</w:t>
      </w:r>
      <w:bookmarkEnd w:id="6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0E1B0118">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4E631044">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431E3475">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5FF94C31">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23D912D">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272BA1E8">
            <w:pPr>
              <w:pStyle w:val="TableText"/>
            </w:pPr>
            <w:r>
              <w:rPr>
                <w:rStyle w:val="VARIABLE"/>
              </w:rPr>
              <w:t xml:space="preserve">{"fields": [{"name": "namespace", "type": "int"}, {"default": null, "name": "name", "type": ["null", "string"]}], "name": "QualifiedName",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74B6BCE0">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6426DBB">
            <w:pPr>
              <w:pStyle w:val="TableText"/>
            </w:pPr>
            <w:r>
              <w:t xml:space="preserve">OPC UA BuiltInType 20.</w:t>
            </w:r>
          </w:p>
        </w:tc>
      </w:tr>
    </w:tbl>
    <w:p w14:paraId="3E521B6C">
      <w:pPr>
        <w:pStyle w:val="spacer"/>
      </w:pPr>
    </w:p>
    <w:p w14:paraId="7C5DB3F7">
      <w:pPr>
        <w:pStyle w:val="PARAGRAPH"/>
      </w:pPr>
      <w:r>
        <w:rPr>
          <w:b/>
        </w:rPr>
        <w:t xml:space="preserve">Avro schema fragment</w:t>
      </w:r>
    </w:p>
    <w:p w14:paraId="4FC4879D">
      <w:pPr>
        <w:pStyle w:val="CODE"/>
      </w:pPr>
      <w:r>
        <w:t xml:space="preserve">{</w:t>
      </w:r>
    </w:p>
    <w:p w14:paraId="5347AA61">
      <w:pPr>
        <w:pStyle w:val="CODE"/>
      </w:pPr>
      <w:r>
        <w:t xml:space="preserve">  "fields": [</w:t>
      </w:r>
    </w:p>
    <w:p w14:paraId="25330BD5">
      <w:pPr>
        <w:pStyle w:val="CODE"/>
      </w:pPr>
      <w:r>
        <w:t xml:space="preserve">    {</w:t>
      </w:r>
    </w:p>
    <w:p w14:paraId="4CF50B9E">
      <w:pPr>
        <w:pStyle w:val="CODE"/>
      </w:pPr>
      <w:r>
        <w:t xml:space="preserve">      "name": "namespace",</w:t>
      </w:r>
    </w:p>
    <w:p w14:paraId="19692CE8">
      <w:pPr>
        <w:pStyle w:val="CODE"/>
      </w:pPr>
      <w:r>
        <w:t xml:space="preserve">      "type": "int"</w:t>
      </w:r>
    </w:p>
    <w:p w14:paraId="15075296">
      <w:pPr>
        <w:pStyle w:val="CODE"/>
      </w:pPr>
      <w:r>
        <w:t xml:space="preserve">    },</w:t>
      </w:r>
    </w:p>
    <w:p w14:paraId="4A32F4A5">
      <w:pPr>
        <w:pStyle w:val="CODE"/>
      </w:pPr>
      <w:r>
        <w:t xml:space="preserve">    {</w:t>
      </w:r>
    </w:p>
    <w:p w14:paraId="58E90C33">
      <w:pPr>
        <w:pStyle w:val="CODE"/>
      </w:pPr>
      <w:r>
        <w:t xml:space="preserve">      "default": null,</w:t>
      </w:r>
    </w:p>
    <w:p w14:paraId="2D554087">
      <w:pPr>
        <w:pStyle w:val="CODE"/>
      </w:pPr>
      <w:r>
        <w:t xml:space="preserve">      "name": "name",</w:t>
      </w:r>
    </w:p>
    <w:p w14:paraId="4C6F0E29">
      <w:pPr>
        <w:pStyle w:val="CODE"/>
      </w:pPr>
      <w:r>
        <w:t xml:space="preserve">      "type": [</w:t>
      </w:r>
    </w:p>
    <w:p w14:paraId="548D37F0">
      <w:pPr>
        <w:pStyle w:val="CODE"/>
      </w:pPr>
      <w:r>
        <w:t xml:space="preserve">        "null",</w:t>
      </w:r>
    </w:p>
    <w:p w14:paraId="6D3B829C">
      <w:pPr>
        <w:pStyle w:val="CODE"/>
      </w:pPr>
      <w:r>
        <w:t xml:space="preserve">        "string"</w:t>
      </w:r>
    </w:p>
    <w:p w14:paraId="6A05F8C3">
      <w:pPr>
        <w:pStyle w:val="CODE"/>
      </w:pPr>
      <w:r>
        <w:t xml:space="preserve">      ]</w:t>
      </w:r>
    </w:p>
    <w:p w14:paraId="2DA2806C">
      <w:pPr>
        <w:pStyle w:val="CODE"/>
      </w:pPr>
      <w:r>
        <w:t xml:space="preserve">    }</w:t>
      </w:r>
    </w:p>
    <w:p w14:paraId="676F3F64">
      <w:pPr>
        <w:pStyle w:val="CODE"/>
      </w:pPr>
      <w:r>
        <w:t xml:space="preserve">  ],</w:t>
      </w:r>
    </w:p>
    <w:p w14:paraId="05949183">
      <w:pPr>
        <w:pStyle w:val="CODE"/>
      </w:pPr>
      <w:r>
        <w:t xml:space="preserve">  "name": "QualifiedName",</w:t>
      </w:r>
    </w:p>
    <w:p w14:paraId="028E8A8D">
      <w:pPr>
        <w:pStyle w:val="CODE"/>
      </w:pPr>
      <w:r>
        <w:t xml:space="preserve">  "namespace": "org.opcfoundation.ua.avro",</w:t>
      </w:r>
    </w:p>
    <w:p w14:paraId="7CDC907C">
      <w:pPr>
        <w:pStyle w:val="CODE"/>
      </w:pPr>
      <w:r>
        <w:t xml:space="preserve">  "type": "record"</w:t>
      </w:r>
    </w:p>
    <w:p w14:paraId="0D13B504">
      <w:pPr>
        <w:pStyle w:val="CODE"/>
      </w:pPr>
      <w:r>
        <w:t xml:space="preserve">}</w:t>
      </w:r>
    </w:p>
    <w:p w14:paraId="1177A724">
      <w:pPr>
        <w:pStyle w:val="PARAGRAPH"/>
      </w:pPr>
      <w:r>
        <w:rPr>
          <w:b/>
        </w:rPr>
        <w:t xml:space="preserve">Example value</w:t>
      </w:r>
      <w:r>
        <w:t xml:space="preserve"> (</w:t>
      </w:r>
      <w:r>
        <w:rPr>
          <w:rStyle w:val="VARIABLE"/>
        </w:rPr>
        <w:t xml:space="preserve">qname</w:t>
      </w:r>
      <w:r>
        <w:t xml:space="preserve">)</w:t>
      </w:r>
    </w:p>
    <w:p w14:paraId="79DC7BC5">
      <w:pPr>
        <w:pStyle w:val="CODE"/>
      </w:pPr>
      <w:r>
        <w:t xml:space="preserve">{"name": "Temp", "namespace": 1}</w:t>
      </w:r>
    </w:p>
    <w:p w14:paraId="48538203">
      <w:pPr>
        <w:pStyle w:val="PARAGRAPH"/>
      </w:pPr>
      <w:r>
        <w:rPr>
          <w:b/>
        </w:rPr>
        <w:t xml:space="preserve">Encoded bytes</w:t>
      </w:r>
      <w:r>
        <w:t xml:space="preserve"> (8 bytes)</w:t>
      </w:r>
    </w:p>
    <w:p w14:paraId="3DB476D4">
      <w:pPr>
        <w:pStyle w:val="CODE"/>
      </w:pPr>
      <w:r>
        <w:t xml:space="preserve">0202020854656d70</w:t>
      </w:r>
    </w:p>
    <w:p w14:paraId="2604FE47">
      <w:pPr>
        <w:pStyle w:val="PARAGRAPH"/>
      </w:pPr>
      <w:r>
        <w:rPr>
          <w:b/>
        </w:rPr>
        <w:t xml:space="preserve">Annotated byte-level breakdown</w:t>
      </w:r>
    </w:p>
    <w:p w14:paraId="6A87A212">
      <w:pPr>
        <w:pStyle w:val="TABLE-title"/>
        <w:keepNext/>
      </w:pPr>
      <w:bookmarkStart w:id="609" w:name="_Tab_built_in_qualifiedname_tab2"/>
      <w:r>
        <w:t xml:space="preserve">Table </w:t>
      </w:r>
      <w:r>
        <w:fldChar w:fldCharType="begin"/>
      </w:r>
      <w:r>
        <w:instrText xml:space="preserve"> SEQ Table \* ARABIC </w:instrText>
      </w:r>
      <w:r>
        <w:fldChar w:fldCharType="separate"/>
      </w:r>
      <w:r>
        <w:rPr>
          <w:noProof/>
        </w:rPr>
        <w:t xml:space="preserve">55</w:t>
      </w:r>
      <w:r>
        <w:fldChar w:fldCharType="end"/>
      </w:r>
      <w:r>
        <w:t xml:space="preserve"> – Built-in QualifiedName (2)</w:t>
      </w:r>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3D90609C">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76ED90EF">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4F22F636">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05D39F8B">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72051E2">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7289F080">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7DB80F4B">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1A1299CF">
            <w:pPr>
              <w:pStyle w:val="TableText"/>
            </w:pPr>
            <w:r>
              <w:t xml:space="preserve">$: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75BDA37">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D75DF60">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15F8A3F">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0D632AA7">
            <w:pPr>
              <w:pStyle w:val="TableText"/>
            </w:pPr>
            <w:r>
              <w:t xml:space="preserve">$: branch 1 (org.opcfoundation.ua.avro.QualifiedName).namespace: int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3FAD678">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308D8D31">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2145E7AC">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2B9B4BD0">
            <w:pPr>
              <w:pStyle w:val="TableText"/>
            </w:pPr>
            <w:r>
              <w:t xml:space="preserve">$: branch 1 (org.opcfoundation.ua.avro.QualifiedName).name: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AA46469">
            <w:pPr>
              <w:pStyle w:val="TableText"/>
            </w:pPr>
            <w:r>
              <w:t xml:space="preserve">3</w:t>
            </w:r>
          </w:p>
        </w:tc>
        <w:tc>
          <w:tcPr>
            <w:tcW w:w="2231" w:type="dxa"/>
            <w:tcBorders>
              <w:top w:val="single" w:sz="4" w:space="0" w:color="auto"/>
              <w:left w:val="single" w:sz="4" w:space="0" w:color="auto"/>
              <w:bottom w:val="single" w:sz="4" w:space="0" w:color="auto"/>
              <w:right w:val="single" w:sz="4" w:space="0" w:color="auto"/>
            </w:tcBorders>
          </w:tcPr>
          <w:p w14:paraId="47C6078B">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395C7443">
            <w:pPr>
              <w:pStyle w:val="TableText"/>
            </w:pPr>
            <w:r>
              <w:rPr>
                <w:rStyle w:val="VARIABLE"/>
              </w:rPr>
              <w:t xml:space="preserve">08</w:t>
            </w:r>
          </w:p>
        </w:tc>
        <w:tc>
          <w:tcPr>
            <w:tcW w:w="2233" w:type="dxa"/>
            <w:tcBorders>
              <w:top w:val="single" w:sz="4" w:space="0" w:color="auto"/>
              <w:left w:val="single" w:sz="4" w:space="0" w:color="auto"/>
              <w:bottom w:val="single" w:sz="4" w:space="0" w:color="auto"/>
              <w:right w:val="single" w:sz="4" w:space="0" w:color="auto"/>
            </w:tcBorders>
          </w:tcPr>
          <w:p w14:paraId="5560A0AA">
            <w:pPr>
              <w:pStyle w:val="TableText"/>
            </w:pPr>
            <w:r>
              <w:t xml:space="preserve">$: branch 1 (org.opcfoundation.ua.avro.QualifiedName).name: branch 1 (string): string length = 4</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C7AC3A0">
            <w:pPr>
              <w:pStyle w:val="TableText"/>
            </w:pPr>
            <w:r>
              <w:t xml:space="preserve">4</w:t>
            </w:r>
          </w:p>
        </w:tc>
        <w:tc>
          <w:tcPr>
            <w:tcW w:w="2231" w:type="dxa"/>
            <w:tcBorders>
              <w:top w:val="single" w:sz="4" w:space="0" w:color="auto"/>
              <w:left w:val="single" w:sz="4" w:space="0" w:color="auto"/>
              <w:bottom w:val="single" w:sz="4" w:space="0" w:color="auto"/>
              <w:right w:val="single" w:sz="4" w:space="0" w:color="auto"/>
            </w:tcBorders>
          </w:tcPr>
          <w:p w14:paraId="535B1B20">
            <w:pPr>
              <w:pStyle w:val="TableText"/>
            </w:pPr>
            <w:r>
              <w:t xml:space="preserve">4</w:t>
            </w:r>
          </w:p>
        </w:tc>
        <w:tc>
          <w:tcPr>
            <w:tcW w:w="2231" w:type="dxa"/>
            <w:tcBorders>
              <w:top w:val="single" w:sz="4" w:space="0" w:color="auto"/>
              <w:left w:val="single" w:sz="4" w:space="0" w:color="auto"/>
              <w:bottom w:val="single" w:sz="4" w:space="0" w:color="auto"/>
              <w:right w:val="single" w:sz="4" w:space="0" w:color="auto"/>
            </w:tcBorders>
          </w:tcPr>
          <w:p w14:paraId="7252BC55">
            <w:pPr>
              <w:pStyle w:val="TableText"/>
            </w:pPr>
            <w:r>
              <w:rPr>
                <w:rStyle w:val="VARIABLE"/>
              </w:rPr>
              <w:t xml:space="preserve">54 65 6d 70</w:t>
            </w:r>
          </w:p>
        </w:tc>
        <w:tc>
          <w:tcPr>
            <w:tcW w:w="2233" w:type="dxa"/>
            <w:tcBorders>
              <w:top w:val="single" w:sz="4" w:space="0" w:color="auto"/>
              <w:left w:val="single" w:sz="4" w:space="0" w:color="auto"/>
              <w:bottom w:val="single" w:sz="4" w:space="0" w:color="auto"/>
              <w:right w:val="single" w:sz="4" w:space="0" w:color="auto"/>
            </w:tcBorders>
          </w:tcPr>
          <w:p w14:paraId="7B4B22E4">
            <w:pPr>
              <w:pStyle w:val="TableText"/>
            </w:pPr>
            <w:r>
              <w:t xml:space="preserve">$: branch 1 (org.opcfoundation.ua.avro.QualifiedName).name: branch 1 (string): string data</w:t>
            </w:r>
          </w:p>
        </w:tc>
      </w:tr>
    </w:tbl>
    <w:p w14:paraId="57B529C6">
      <w:pPr>
        <w:pStyle w:val="spacer"/>
      </w:pPr>
    </w:p>
    <w:p w14:paraId="54EDA850">
      <w:pPr>
        <w:pStyle w:val="ANNEX-heading2"/>
      </w:pPr>
      <w:bookmarkStart w:id="610" w:name="_Clause_cA_2_21"/>
      <w:r>
        <w:t xml:space="preserve">Built-in LocalizedText</w:t>
      </w:r>
      <w:bookmarkEnd w:id="610"/>
    </w:p>
    <w:p w14:paraId="27561FB7">
      <w:pPr>
        <w:pStyle w:val="PARAGRAPH"/>
      </w:pPr>
      <w:r>
        <w:rPr>
          <w:b/>
        </w:rPr>
        <w:t xml:space="preserve">SchemaId</w:t>
      </w:r>
      <w:r>
        <w:t xml:space="preserve"> </w:t>
      </w:r>
      <w:r>
        <w:rPr>
          <w:rStyle w:val="VARIABLE"/>
        </w:rPr>
        <w:t xml:space="preserve">2d8ba35586039a65</w:t>
      </w:r>
    </w:p>
    <w:p w14:paraId="4AF9EE43">
      <w:pPr>
        <w:pStyle w:val="TABLE-title"/>
        <w:keepNext/>
      </w:pPr>
      <w:bookmarkStart w:id="611" w:name="_Tab_built_in_localizedtext_tab1"/>
      <w:r>
        <w:t xml:space="preserve">Table </w:t>
      </w:r>
      <w:r>
        <w:fldChar w:fldCharType="begin"/>
      </w:r>
      <w:r>
        <w:instrText xml:space="preserve"> SEQ Table \* ARABIC </w:instrText>
      </w:r>
      <w:r>
        <w:fldChar w:fldCharType="separate"/>
      </w:r>
      <w:r>
        <w:rPr>
          <w:noProof/>
        </w:rPr>
        <w:t xml:space="preserve">56</w:t>
      </w:r>
      <w:r>
        <w:fldChar w:fldCharType="end"/>
      </w:r>
      <w:r>
        <w:t xml:space="preserve"> – Built-in LocalizedText</w:t>
      </w:r>
      <w:bookmarkEnd w:id="6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3F0AAB81">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0708593E">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656B60F3">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13F51562">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C4CA3AD">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6A1AB6CA">
            <w:pPr>
              <w:pStyle w:val="TableText"/>
            </w:pPr>
            <w:r>
              <w:rPr>
                <w:rStyle w:val="VARIABLE"/>
              </w:rPr>
              <w:t xml:space="preserve">{"fields": [{"default": null, "name": "locale", "type": ["null", "string"]}, {"default": null, "name": "text", "type": ["null", "string"]}], "name": "LocalizedText",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1EC7D1E6">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7328C10">
            <w:pPr>
              <w:pStyle w:val="TableText"/>
            </w:pPr>
            <w:r>
              <w:t xml:space="preserve">OPC UA BuiltInType 21.</w:t>
            </w:r>
          </w:p>
        </w:tc>
      </w:tr>
    </w:tbl>
    <w:p w14:paraId="285074CC">
      <w:pPr>
        <w:pStyle w:val="spacer"/>
      </w:pPr>
    </w:p>
    <w:p w14:paraId="7BC832A0">
      <w:pPr>
        <w:pStyle w:val="PARAGRAPH"/>
      </w:pPr>
      <w:r>
        <w:rPr>
          <w:b/>
        </w:rPr>
        <w:t xml:space="preserve">Avro schema fragment</w:t>
      </w:r>
    </w:p>
    <w:p w14:paraId="478A8414">
      <w:pPr>
        <w:pStyle w:val="CODE"/>
      </w:pPr>
      <w:r>
        <w:t xml:space="preserve">{</w:t>
      </w:r>
    </w:p>
    <w:p w14:paraId="637D3360">
      <w:pPr>
        <w:pStyle w:val="CODE"/>
      </w:pPr>
      <w:r>
        <w:t xml:space="preserve">  "fields": [</w:t>
      </w:r>
    </w:p>
    <w:p w14:paraId="0628521D">
      <w:pPr>
        <w:pStyle w:val="CODE"/>
      </w:pPr>
      <w:r>
        <w:t xml:space="preserve">    {</w:t>
      </w:r>
    </w:p>
    <w:p w14:paraId="2AC6793A">
      <w:pPr>
        <w:pStyle w:val="CODE"/>
      </w:pPr>
      <w:r>
        <w:t xml:space="preserve">      "default": null,</w:t>
      </w:r>
    </w:p>
    <w:p w14:paraId="458D2AFE">
      <w:pPr>
        <w:pStyle w:val="CODE"/>
      </w:pPr>
      <w:r>
        <w:t xml:space="preserve">      "name": "locale",</w:t>
      </w:r>
    </w:p>
    <w:p w14:paraId="5E1AC2B5">
      <w:pPr>
        <w:pStyle w:val="CODE"/>
      </w:pPr>
      <w:r>
        <w:t xml:space="preserve">      "type": [</w:t>
      </w:r>
    </w:p>
    <w:p w14:paraId="71042001">
      <w:pPr>
        <w:pStyle w:val="CODE"/>
      </w:pPr>
      <w:r>
        <w:t xml:space="preserve">        "null",</w:t>
      </w:r>
    </w:p>
    <w:p w14:paraId="1912A029">
      <w:pPr>
        <w:pStyle w:val="CODE"/>
      </w:pPr>
      <w:r>
        <w:t xml:space="preserve">        "string"</w:t>
      </w:r>
    </w:p>
    <w:p w14:paraId="5E58E207">
      <w:pPr>
        <w:pStyle w:val="CODE"/>
      </w:pPr>
      <w:r>
        <w:t xml:space="preserve">      ]</w:t>
      </w:r>
    </w:p>
    <w:p w14:paraId="4A05E7FD">
      <w:pPr>
        <w:pStyle w:val="CODE"/>
      </w:pPr>
      <w:r>
        <w:t xml:space="preserve">    },</w:t>
      </w:r>
    </w:p>
    <w:p w14:paraId="5FE671FF">
      <w:pPr>
        <w:pStyle w:val="CODE"/>
      </w:pPr>
      <w:r>
        <w:t xml:space="preserve">    {</w:t>
      </w:r>
    </w:p>
    <w:p w14:paraId="7B72E492">
      <w:pPr>
        <w:pStyle w:val="CODE"/>
      </w:pPr>
      <w:r>
        <w:t xml:space="preserve">      "default": null,</w:t>
      </w:r>
    </w:p>
    <w:p w14:paraId="167B9FF7">
      <w:pPr>
        <w:pStyle w:val="CODE"/>
      </w:pPr>
      <w:r>
        <w:t xml:space="preserve">      "name": "text",</w:t>
      </w:r>
    </w:p>
    <w:p w14:paraId="0AB5D709">
      <w:pPr>
        <w:pStyle w:val="CODE"/>
      </w:pPr>
      <w:r>
        <w:t xml:space="preserve">      "type": [</w:t>
      </w:r>
    </w:p>
    <w:p w14:paraId="4BAADF09">
      <w:pPr>
        <w:pStyle w:val="CODE"/>
      </w:pPr>
      <w:r>
        <w:t xml:space="preserve">        "null",</w:t>
      </w:r>
    </w:p>
    <w:p w14:paraId="78020A44">
      <w:pPr>
        <w:pStyle w:val="CODE"/>
      </w:pPr>
      <w:r>
        <w:t xml:space="preserve">        "string"</w:t>
      </w:r>
    </w:p>
    <w:p w14:paraId="3473E3DF">
      <w:pPr>
        <w:pStyle w:val="CODE"/>
      </w:pPr>
      <w:r>
        <w:t xml:space="preserve">      ]</w:t>
      </w:r>
    </w:p>
    <w:p w14:paraId="344DDB81">
      <w:pPr>
        <w:pStyle w:val="CODE"/>
      </w:pPr>
      <w:r>
        <w:t xml:space="preserve">    }</w:t>
      </w:r>
    </w:p>
    <w:p w14:paraId="260EE728">
      <w:pPr>
        <w:pStyle w:val="CODE"/>
      </w:pPr>
      <w:r>
        <w:t xml:space="preserve">  ],</w:t>
      </w:r>
    </w:p>
    <w:p w14:paraId="36A80D9F">
      <w:pPr>
        <w:pStyle w:val="CODE"/>
      </w:pPr>
      <w:r>
        <w:t xml:space="preserve">  "name": "LocalizedText",</w:t>
      </w:r>
    </w:p>
    <w:p w14:paraId="58A6EEF5">
      <w:pPr>
        <w:pStyle w:val="CODE"/>
      </w:pPr>
      <w:r>
        <w:t xml:space="preserve">  "namespace": "org.opcfoundation.ua.avro",</w:t>
      </w:r>
    </w:p>
    <w:p w14:paraId="0816A026">
      <w:pPr>
        <w:pStyle w:val="CODE"/>
      </w:pPr>
      <w:r>
        <w:t xml:space="preserve">  "type": "record"</w:t>
      </w:r>
    </w:p>
    <w:p w14:paraId="37749028">
      <w:pPr>
        <w:pStyle w:val="CODE"/>
      </w:pPr>
      <w:r>
        <w:t xml:space="preserve">}</w:t>
      </w:r>
    </w:p>
    <w:p w14:paraId="3FA3BF89">
      <w:pPr>
        <w:pStyle w:val="PARAGRAPH"/>
      </w:pPr>
      <w:r>
        <w:rPr>
          <w:b/>
        </w:rPr>
        <w:t xml:space="preserve">Example value</w:t>
      </w:r>
      <w:r>
        <w:t xml:space="preserve"> (</w:t>
      </w:r>
      <w:r>
        <w:rPr>
          <w:rStyle w:val="VARIABLE"/>
        </w:rPr>
        <w:t xml:space="preserve">ltext_full</w:t>
      </w:r>
      <w:r>
        <w:t xml:space="preserve">)</w:t>
      </w:r>
    </w:p>
    <w:p w14:paraId="3538D113">
      <w:pPr>
        <w:pStyle w:val="CODE"/>
      </w:pPr>
      <w:r>
        <w:t xml:space="preserve">{"locale": "en", "text": "Hello"}</w:t>
      </w:r>
    </w:p>
    <w:p w14:paraId="1AED0D6A">
      <w:pPr>
        <w:pStyle w:val="PARAGRAPH"/>
      </w:pPr>
      <w:r>
        <w:rPr>
          <w:b/>
        </w:rPr>
        <w:t xml:space="preserve">Encoded bytes</w:t>
      </w:r>
      <w:r>
        <w:t xml:space="preserve"> (12 bytes)</w:t>
      </w:r>
    </w:p>
    <w:p w14:paraId="78B9A821">
      <w:pPr>
        <w:pStyle w:val="CODE"/>
      </w:pPr>
      <w:r>
        <w:t xml:space="preserve">020204656e020a48656c6c6f</w:t>
      </w:r>
    </w:p>
    <w:p w14:paraId="4738B28E">
      <w:pPr>
        <w:pStyle w:val="PARAGRAPH"/>
      </w:pPr>
      <w:r>
        <w:rPr>
          <w:b/>
        </w:rPr>
        <w:t xml:space="preserve">Annotated byte-level breakdown</w:t>
      </w:r>
    </w:p>
    <w:p w14:paraId="4C3BFEB9">
      <w:pPr>
        <w:pStyle w:val="TABLE-title"/>
        <w:keepNext/>
      </w:pPr>
      <w:bookmarkStart w:id="612" w:name="_Tab_built_in_localizedtext_tab2"/>
      <w:r>
        <w:t xml:space="preserve">Table </w:t>
      </w:r>
      <w:r>
        <w:fldChar w:fldCharType="begin"/>
      </w:r>
      <w:r>
        <w:instrText xml:space="preserve"> SEQ Table \* ARABIC </w:instrText>
      </w:r>
      <w:r>
        <w:fldChar w:fldCharType="separate"/>
      </w:r>
      <w:r>
        <w:rPr>
          <w:noProof/>
        </w:rPr>
        <w:t xml:space="preserve">57</w:t>
      </w:r>
      <w:r>
        <w:fldChar w:fldCharType="end"/>
      </w:r>
      <w:r>
        <w:t xml:space="preserve"> – Built-in LocalizedText (2)</w:t>
      </w:r>
      <w:bookmarkEnd w:id="6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9D097EE">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7E46364D">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670F9018">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14C88A37">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70093BF">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2A3277E9">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3F16DD1">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1085F8FC">
            <w:pPr>
              <w:pStyle w:val="TableText"/>
            </w:pPr>
            <w:r>
              <w:t xml:space="preserve">$: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35B4E8B">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65236C5">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24826C69">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4903A306">
            <w:pPr>
              <w:pStyle w:val="TableText"/>
            </w:pPr>
            <w:r>
              <w:t xml:space="preserve">$: branch 1 (org.opcfoundation.ua.avro.LocalizedText).locale: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FA7AC0C">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7548A606">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2C942150">
            <w:pPr>
              <w:pStyle w:val="TableText"/>
            </w:pPr>
            <w:r>
              <w:rPr>
                <w:rStyle w:val="VARIABLE"/>
              </w:rPr>
              <w:t xml:space="preserve">04</w:t>
            </w:r>
          </w:p>
        </w:tc>
        <w:tc>
          <w:tcPr>
            <w:tcW w:w="2233" w:type="dxa"/>
            <w:tcBorders>
              <w:top w:val="single" w:sz="4" w:space="0" w:color="auto"/>
              <w:left w:val="single" w:sz="4" w:space="0" w:color="auto"/>
              <w:bottom w:val="single" w:sz="4" w:space="0" w:color="auto"/>
              <w:right w:val="single" w:sz="4" w:space="0" w:color="auto"/>
            </w:tcBorders>
          </w:tcPr>
          <w:p w14:paraId="0A2A74F0">
            <w:pPr>
              <w:pStyle w:val="TableText"/>
            </w:pPr>
            <w:r>
              <w:t xml:space="preserve">$: branch 1 (org.opcfoundation.ua.avro.LocalizedText).locale: branch 1 (string): string length = 2</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58B2421">
            <w:pPr>
              <w:pStyle w:val="TableText"/>
            </w:pPr>
            <w:r>
              <w:t xml:space="preserve">3</w:t>
            </w:r>
          </w:p>
        </w:tc>
        <w:tc>
          <w:tcPr>
            <w:tcW w:w="2231" w:type="dxa"/>
            <w:tcBorders>
              <w:top w:val="single" w:sz="4" w:space="0" w:color="auto"/>
              <w:left w:val="single" w:sz="4" w:space="0" w:color="auto"/>
              <w:bottom w:val="single" w:sz="4" w:space="0" w:color="auto"/>
              <w:right w:val="single" w:sz="4" w:space="0" w:color="auto"/>
            </w:tcBorders>
          </w:tcPr>
          <w:p w14:paraId="12002497">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4FBA2F9D">
            <w:pPr>
              <w:pStyle w:val="TableText"/>
            </w:pPr>
            <w:r>
              <w:rPr>
                <w:rStyle w:val="VARIABLE"/>
              </w:rPr>
              <w:t xml:space="preserve">65 6e</w:t>
            </w:r>
          </w:p>
        </w:tc>
        <w:tc>
          <w:tcPr>
            <w:tcW w:w="2233" w:type="dxa"/>
            <w:tcBorders>
              <w:top w:val="single" w:sz="4" w:space="0" w:color="auto"/>
              <w:left w:val="single" w:sz="4" w:space="0" w:color="auto"/>
              <w:bottom w:val="single" w:sz="4" w:space="0" w:color="auto"/>
              <w:right w:val="single" w:sz="4" w:space="0" w:color="auto"/>
            </w:tcBorders>
          </w:tcPr>
          <w:p w14:paraId="35844125">
            <w:pPr>
              <w:pStyle w:val="TableText"/>
            </w:pPr>
            <w:r>
              <w:t xml:space="preserve">$: branch 1 (org.opcfoundation.ua.avro.LocalizedText).locale: branch 1 (string): string data</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F51F9B1">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14:paraId="6C619B30">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7C0A9BF">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010BA687">
            <w:pPr>
              <w:pStyle w:val="TableText"/>
            </w:pPr>
            <w:r>
              <w:t xml:space="preserve">$: branch 1 (org.opcfoundation.ua.avro.LocalizedText).text: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36D8489">
            <w:pPr>
              <w:pStyle w:val="TableText"/>
            </w:pPr>
            <w:r>
              <w:t xml:space="preserve">6</w:t>
            </w:r>
          </w:p>
        </w:tc>
        <w:tc>
          <w:tcPr>
            <w:tcW w:w="2231" w:type="dxa"/>
            <w:tcBorders>
              <w:top w:val="single" w:sz="4" w:space="0" w:color="auto"/>
              <w:left w:val="single" w:sz="4" w:space="0" w:color="auto"/>
              <w:bottom w:val="single" w:sz="4" w:space="0" w:color="auto"/>
              <w:right w:val="single" w:sz="4" w:space="0" w:color="auto"/>
            </w:tcBorders>
          </w:tcPr>
          <w:p w14:paraId="4DECDDB7">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2122119B">
            <w:pPr>
              <w:pStyle w:val="TableText"/>
            </w:pPr>
            <w:r>
              <w:rPr>
                <w:rStyle w:val="VARIABLE"/>
              </w:rPr>
              <w:t xml:space="preserve">0a</w:t>
            </w:r>
          </w:p>
        </w:tc>
        <w:tc>
          <w:tcPr>
            <w:tcW w:w="2233" w:type="dxa"/>
            <w:tcBorders>
              <w:top w:val="single" w:sz="4" w:space="0" w:color="auto"/>
              <w:left w:val="single" w:sz="4" w:space="0" w:color="auto"/>
              <w:bottom w:val="single" w:sz="4" w:space="0" w:color="auto"/>
              <w:right w:val="single" w:sz="4" w:space="0" w:color="auto"/>
            </w:tcBorders>
          </w:tcPr>
          <w:p w14:paraId="5FAFE07B">
            <w:pPr>
              <w:pStyle w:val="TableText"/>
            </w:pPr>
            <w:r>
              <w:t xml:space="preserve">$: branch 1 (org.opcfoundation.ua.avro.LocalizedText).text: branch 1 (string): string length = 5</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5C347FE">
            <w:pPr>
              <w:pStyle w:val="TableText"/>
            </w:pPr>
            <w:r>
              <w:t xml:space="preserve">7</w:t>
            </w:r>
          </w:p>
        </w:tc>
        <w:tc>
          <w:tcPr>
            <w:tcW w:w="2231" w:type="dxa"/>
            <w:tcBorders>
              <w:top w:val="single" w:sz="4" w:space="0" w:color="auto"/>
              <w:left w:val="single" w:sz="4" w:space="0" w:color="auto"/>
              <w:bottom w:val="single" w:sz="4" w:space="0" w:color="auto"/>
              <w:right w:val="single" w:sz="4" w:space="0" w:color="auto"/>
            </w:tcBorders>
          </w:tcPr>
          <w:p w14:paraId="4D7371C4">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14:paraId="1BF3BB46">
            <w:pPr>
              <w:pStyle w:val="TableText"/>
            </w:pPr>
            <w:r>
              <w:rPr>
                <w:rStyle w:val="VARIABLE"/>
              </w:rPr>
              <w:t xml:space="preserve">48 65 6c 6c 6f</w:t>
            </w:r>
          </w:p>
        </w:tc>
        <w:tc>
          <w:tcPr>
            <w:tcW w:w="2233" w:type="dxa"/>
            <w:tcBorders>
              <w:top w:val="single" w:sz="4" w:space="0" w:color="auto"/>
              <w:left w:val="single" w:sz="4" w:space="0" w:color="auto"/>
              <w:bottom w:val="single" w:sz="4" w:space="0" w:color="auto"/>
              <w:right w:val="single" w:sz="4" w:space="0" w:color="auto"/>
            </w:tcBorders>
          </w:tcPr>
          <w:p w14:paraId="4111FD3A">
            <w:pPr>
              <w:pStyle w:val="TableText"/>
            </w:pPr>
            <w:r>
              <w:t xml:space="preserve">$: branch 1 (org.opcfoundation.ua.avro.LocalizedText).text: branch 1 (string): string data</w:t>
            </w:r>
          </w:p>
        </w:tc>
      </w:tr>
    </w:tbl>
    <w:p w14:paraId="6E76483D">
      <w:pPr>
        <w:pStyle w:val="spacer"/>
      </w:pPr>
    </w:p>
    <w:p w14:paraId="219D0D06">
      <w:pPr>
        <w:pStyle w:val="ANNEX-heading2"/>
      </w:pPr>
      <w:bookmarkStart w:id="613" w:name="_Clause_cA_2_22"/>
      <w:r>
        <w:t xml:space="preserve">Built-in ExtensionObject</w:t>
      </w:r>
      <w:bookmarkEnd w:id="613"/>
    </w:p>
    <w:p w14:paraId="1C87C1BB">
      <w:pPr>
        <w:pStyle w:val="PARAGRAPH"/>
      </w:pPr>
      <w:r>
        <w:rPr>
          <w:b/>
        </w:rPr>
        <w:t xml:space="preserve">SchemaId</w:t>
      </w:r>
      <w:r>
        <w:t xml:space="preserve"> </w:t>
      </w:r>
      <w:r>
        <w:rPr>
          <w:rStyle w:val="VARIABLE"/>
        </w:rPr>
        <w:t xml:space="preserve">f50df9bab1852efe</w:t>
      </w:r>
    </w:p>
    <w:p w14:paraId="66183966">
      <w:pPr>
        <w:pStyle w:val="TABLE-title"/>
        <w:keepNext/>
      </w:pPr>
      <w:bookmarkStart w:id="614" w:name="_Tab_built_in_extensionobject_tab1"/>
      <w:r>
        <w:t xml:space="preserve">Table </w:t>
      </w:r>
      <w:r>
        <w:fldChar w:fldCharType="begin"/>
      </w:r>
      <w:r>
        <w:instrText xml:space="preserve"> SEQ Table \* ARABIC </w:instrText>
      </w:r>
      <w:r>
        <w:fldChar w:fldCharType="separate"/>
      </w:r>
      <w:r>
        <w:rPr>
          <w:noProof/>
        </w:rPr>
        <w:t xml:space="preserve">58</w:t>
      </w:r>
      <w:r>
        <w:fldChar w:fldCharType="end"/>
      </w:r>
      <w:r>
        <w:t xml:space="preserve"> – Built-in ExtensionObject</w:t>
      </w:r>
      <w:bookmarkEnd w:id="6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07C7639B">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7DF0F416">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16882A98">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5C27510C">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B4FDEC8">
            <w:pPr>
              <w:pStyle w:val="TableText"/>
            </w:pPr>
            <w:r>
              <w:rPr>
                <w:rStyle w:val="VARIABLE"/>
              </w:rPr>
              <w:t xml:space="preserve">typeId</w:t>
            </w:r>
          </w:p>
        </w:tc>
        <w:tc>
          <w:tcPr>
            <w:tcW w:w="2231" w:type="dxa"/>
            <w:tcBorders>
              <w:top w:val="single" w:sz="4" w:space="0" w:color="auto"/>
              <w:left w:val="single" w:sz="4" w:space="0" w:color="auto"/>
              <w:bottom w:val="single" w:sz="4" w:space="0" w:color="auto"/>
              <w:right w:val="single" w:sz="4" w:space="0" w:color="auto"/>
            </w:tcBorders>
          </w:tcPr>
          <w:p w14:paraId="2B20BDC1">
            <w:pPr>
              <w:pStyle w:val="TableText"/>
            </w:pPr>
            <w:r>
              <w:rPr>
                <w:rStyle w:val="VARIABLE"/>
              </w:rPr>
              <w:t xml:space="preserve">"org.opcfoundation.ua.avro.NodeId"</w:t>
            </w:r>
          </w:p>
        </w:tc>
        <w:tc>
          <w:tcPr>
            <w:tcW w:w="2231" w:type="dxa"/>
            <w:tcBorders>
              <w:top w:val="single" w:sz="4" w:space="0" w:color="auto"/>
              <w:left w:val="single" w:sz="4" w:space="0" w:color="auto"/>
              <w:bottom w:val="single" w:sz="4" w:space="0" w:color="auto"/>
              <w:right w:val="single" w:sz="4" w:space="0" w:color="auto"/>
            </w:tcBorders>
          </w:tcPr>
          <w:p w14:paraId="3A9FE05E">
            <w:pPr>
              <w:pStyle w:val="TableText"/>
            </w:pPr>
            <w:r>
              <w:t xml:space="preserve">present</w:t>
            </w:r>
          </w:p>
        </w:tc>
        <w:tc>
          <w:tcPr>
            <w:tcW w:w="2233" w:type="dxa"/>
            <w:tcBorders>
              <w:top w:val="single" w:sz="4" w:space="0" w:color="auto"/>
              <w:left w:val="single" w:sz="4" w:space="0" w:color="auto"/>
              <w:bottom w:val="single" w:sz="4" w:space="0" w:color="auto"/>
              <w:right w:val="single" w:sz="4" w:space="0" w:color="auto"/>
            </w:tcBorders>
          </w:tcPr>
          <w:p w14:paraId="5104E14F">
            <w:pPr>
              <w:pStyle w:val="TableText"/>
            </w:pPr>
            <w:r>
              <w:t xml:space="preserve">Fixed member of the record shape.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EE43977">
            <w:pPr>
              <w:pStyle w:val="TableText"/>
            </w:pPr>
            <w:r>
              <w:rPr>
                <w:rStyle w:val="VARIABLE"/>
              </w:rPr>
              <w:t xml:space="preserve">body</w:t>
            </w:r>
          </w:p>
        </w:tc>
        <w:tc>
          <w:tcPr>
            <w:tcW w:w="2231" w:type="dxa"/>
            <w:tcBorders>
              <w:top w:val="single" w:sz="4" w:space="0" w:color="auto"/>
              <w:left w:val="single" w:sz="4" w:space="0" w:color="auto"/>
              <w:bottom w:val="single" w:sz="4" w:space="0" w:color="auto"/>
              <w:right w:val="single" w:sz="4" w:space="0" w:color="auto"/>
            </w:tcBorders>
          </w:tcPr>
          <w:p w14:paraId="0CDCF2FB">
            <w:pPr>
              <w:pStyle w:val="TableText"/>
            </w:pPr>
            <w:r>
              <w:t xml:space="preserve">append-only growing union — see </w:t>
            </w:r>
            <w:r>
              <w:fldChar w:fldCharType="begin"/>
            </w:r>
            <w:r>
              <w:instrText xml:space="preserve"> REF _Clause_c6_6_4 \r \h </w:instrText>
            </w:r>
            <w:r>
              <w:fldChar w:fldCharType="separate"/>
            </w:r>
            <w:r>
              <w:rPr>
                <w:noProof/>
              </w:rPr>
              <w:t xml:space="preserve">6.6.4</w:t>
            </w:r>
            <w:r>
              <w:fldChar w:fldCharType="end"/>
            </w:r>
          </w:p>
        </w:tc>
        <w:tc>
          <w:tcPr>
            <w:tcW w:w="2231" w:type="dxa"/>
            <w:tcBorders>
              <w:top w:val="single" w:sz="4" w:space="0" w:color="auto"/>
              <w:left w:val="single" w:sz="4" w:space="0" w:color="auto"/>
              <w:bottom w:val="single" w:sz="4" w:space="0" w:color="auto"/>
              <w:right w:val="single" w:sz="4" w:space="0" w:color="auto"/>
            </w:tcBorders>
          </w:tcPr>
          <w:p w14:paraId="79752476">
            <w:pPr>
              <w:pStyle w:val="TableText"/>
            </w:pPr>
            <w:r>
              <w:t xml:space="preserve">nullable</w:t>
            </w:r>
          </w:p>
        </w:tc>
        <w:tc>
          <w:tcPr>
            <w:tcW w:w="2233" w:type="dxa"/>
            <w:tcBorders>
              <w:top w:val="single" w:sz="4" w:space="0" w:color="auto"/>
              <w:left w:val="single" w:sz="4" w:space="0" w:color="auto"/>
              <w:bottom w:val="single" w:sz="4" w:space="0" w:color="auto"/>
              <w:right w:val="single" w:sz="4" w:space="0" w:color="auto"/>
            </w:tcBorders>
          </w:tcPr>
          <w:p w14:paraId="673E3105">
            <w:pPr>
              <w:pStyle w:val="TableText"/>
            </w:pPr>
            <w:r>
              <w:t xml:space="preserve">Not expanded here; the full published aggregation is </w:t>
            </w:r>
            <w:r>
              <w:rPr>
                <w:rStyle w:val="VARIABLE"/>
              </w:rPr>
              <w:t xml:space="preserve">../extras/avro-encoding/schemas/opcua.builtins.avsc</w:t>
            </w:r>
            <w:r>
              <w:t xml:space="preserve">.</w:t>
            </w:r>
          </w:p>
        </w:tc>
      </w:tr>
    </w:tbl>
    <w:p w14:paraId="298706AB">
      <w:pPr>
        <w:pStyle w:val="spacer"/>
      </w:pPr>
    </w:p>
    <w:p w14:paraId="447C11E8">
      <w:pPr>
        <w:pStyle w:val="PARAGRAPH"/>
      </w:pPr>
      <w:r>
        <w:t xml:space="preserve">The </w:t>
      </w:r>
      <w:r>
        <w:rPr>
          <w:rStyle w:val="VARIABLE"/>
        </w:rPr>
        <w:t xml:space="preserve">body</w:t>
      </w:r>
      <w:r>
        <w:t xml:space="preserve"> member is the append-only </w:t>
      </w:r>
      <w:r>
        <w:rPr>
          <w:b/>
        </w:rPr>
        <w:t xml:space="preserve">growing union</w:t>
      </w:r>
      <w:r>
        <w:t xml:space="preserve"> governed by </w:t>
      </w:r>
      <w:r>
        <w:fldChar w:fldCharType="begin"/>
      </w:r>
      <w:r>
        <w:instrText xml:space="preserve"> REF _Clause_c6_6_4 \r \h </w:instrText>
      </w:r>
      <w:r>
        <w:fldChar w:fldCharType="separate"/>
      </w:r>
      <w:r>
        <w:rPr>
          <w:noProof/>
        </w:rPr>
        <w:t xml:space="preserve">6.6.4</w:t>
      </w:r>
      <w:r>
        <w:fldChar w:fldCharType="end"/>
      </w:r>
      <w:r>
        <w:t xml:space="preserve"> (see also </w:t>
      </w:r>
      <w:r>
        <w:rPr>
          <w:i/>
        </w:rPr>
        <w:t xml:space="preserve">OPC UA — Schema Registry</w:t>
      </w:r>
      <w:r>
        <w:t xml:space="preserve"> </w:t>
      </w:r>
      <w:r>
        <w:t xml:space="preserve">§5.6</w:t>
      </w:r>
      <w:r>
        <w:t xml:space="preserve">). Its members are not reproduced here because the union grows as new concrete DataTypes are observed; the complete aggregation used by the conformance corpus is the published </w:t>
      </w:r>
      <w:r>
        <w:rPr>
          <w:rStyle w:val="VARIABLE"/>
        </w:rPr>
        <w:t xml:space="preserve">opcua.builtins.avsc</w:t>
      </w:r>
      <w:r>
        <w:t xml:space="preserve">. An opaque body that has no known record branch is carried in an opaque fallback branch (</w:t>
      </w:r>
      <w:r>
        <w:rPr>
          <w:rStyle w:val="VARIABLE"/>
        </w:rPr>
        <w:t xml:space="preserve">bytes</w:t>
      </w:r>
      <w:r>
        <w:t xml:space="preserve"> for a Binary body, </w:t>
      </w:r>
      <w:r>
        <w:rPr>
          <w:rStyle w:val="VARIABLE"/>
        </w:rPr>
        <w:t xml:space="preserve">string</w:t>
      </w:r>
      <w:r>
        <w:t xml:space="preserve"> for an XML or textual body), appended append-only like any other branch.</w:t>
      </w:r>
    </w:p>
    <w:p w14:paraId="14624C00">
      <w:pPr>
        <w:pStyle w:val="PARAGRAPH"/>
      </w:pPr>
      <w:r>
        <w:rPr>
          <w:b/>
        </w:rPr>
        <w:t xml:space="preserve">Example value</w:t>
      </w:r>
      <w:r>
        <w:t xml:space="preserve"> (</w:t>
      </w:r>
      <w:r>
        <w:rPr>
          <w:rStyle w:val="VARIABLE"/>
        </w:rPr>
        <w:t xml:space="preserve">extobj_point</w:t>
      </w:r>
      <w:r>
        <w:t xml:space="preserve">)</w:t>
      </w:r>
    </w:p>
    <w:p w14:paraId="71863AB6">
      <w:pPr>
        <w:pStyle w:val="CODE"/>
      </w:pPr>
      <w:r>
        <w:t xml:space="preserve">{"body": {"fields": {"X": 1.0, "Y": 1.0}, "type_name": "Point"}, "type_id": {"id_type": 0, "identifier": 3001, "namespace": 0}}</w:t>
      </w:r>
    </w:p>
    <w:p w14:paraId="4EBE49D7">
      <w:pPr>
        <w:pStyle w:val="PARAGRAPH"/>
      </w:pPr>
      <w:r>
        <w:rPr>
          <w:b/>
        </w:rPr>
        <w:t xml:space="preserve">Encoded bytes</w:t>
      </w:r>
      <w:r>
        <w:t xml:space="preserve"> (26 bytes)</w:t>
      </w:r>
    </w:p>
    <w:p w14:paraId="5DBC40D4">
      <w:pPr>
        <w:pStyle w:val="CODE"/>
      </w:pPr>
      <w:r>
        <w:t xml:space="preserve">02000002f22e00000002000000000000f03f000000000000f03f</w:t>
      </w:r>
    </w:p>
    <w:p w14:paraId="4956B4C0">
      <w:pPr>
        <w:pStyle w:val="PARAGRAPH"/>
      </w:pPr>
      <w:r>
        <w:rPr>
          <w:b/>
        </w:rPr>
        <w:t xml:space="preserve">Annotated byte-level breakdown</w:t>
      </w:r>
      <w:r>
        <w:t xml:space="preserve"> (the body union index below is into the published aggregation schema)</w:t>
      </w:r>
    </w:p>
    <w:p w14:paraId="58AA04D4">
      <w:pPr>
        <w:pStyle w:val="TABLE-title"/>
        <w:keepNext/>
      </w:pPr>
      <w:bookmarkStart w:id="615" w:name="_Tab_built_in_extensionobject_tab2"/>
      <w:r>
        <w:t xml:space="preserve">Table </w:t>
      </w:r>
      <w:r>
        <w:fldChar w:fldCharType="begin"/>
      </w:r>
      <w:r>
        <w:instrText xml:space="preserve"> SEQ Table \* ARABIC </w:instrText>
      </w:r>
      <w:r>
        <w:fldChar w:fldCharType="separate"/>
      </w:r>
      <w:r>
        <w:rPr>
          <w:noProof/>
        </w:rPr>
        <w:t xml:space="preserve">59</w:t>
      </w:r>
      <w:r>
        <w:fldChar w:fldCharType="end"/>
      </w:r>
      <w:r>
        <w:t xml:space="preserve"> – Built-in ExtensionObject (2)</w:t>
      </w:r>
      <w:bookmarkEnd w:id="6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17C07F4">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74E0EDD9">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73CED0C8">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16FAFD6E">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43A765E">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0A56BD6B">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3562ED7">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2F078557">
            <w:pPr>
              <w:pStyle w:val="TableText"/>
            </w:pPr>
            <w:r>
              <w:t xml:space="preserve">$: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6B486FA">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DC8FEBE">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7088EFEB">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29288664">
            <w:pPr>
              <w:pStyle w:val="TableText"/>
            </w:pPr>
            <w:r>
              <w:t xml:space="preserve">$: branch 1 (org.opcfoundation.ua.avro.ExtensionObject).typeId.namespace: int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CA72C2A">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210D755B">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EE33524">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704CD10B">
            <w:pPr>
              <w:pStyle w:val="TableText"/>
            </w:pPr>
            <w:r>
              <w:t xml:space="preserve">$: branch 1 (org.opcfoundation.ua.avro.ExtensionObject).typeId.idType: int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E8E391C">
            <w:pPr>
              <w:pStyle w:val="TableText"/>
            </w:pPr>
            <w:r>
              <w:t xml:space="preserve">3</w:t>
            </w:r>
          </w:p>
        </w:tc>
        <w:tc>
          <w:tcPr>
            <w:tcW w:w="2231" w:type="dxa"/>
            <w:tcBorders>
              <w:top w:val="single" w:sz="4" w:space="0" w:color="auto"/>
              <w:left w:val="single" w:sz="4" w:space="0" w:color="auto"/>
              <w:bottom w:val="single" w:sz="4" w:space="0" w:color="auto"/>
              <w:right w:val="single" w:sz="4" w:space="0" w:color="auto"/>
            </w:tcBorders>
          </w:tcPr>
          <w:p w14:paraId="768E59F1">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C008FEA">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1D79246B">
            <w:pPr>
              <w:pStyle w:val="TableText"/>
            </w:pPr>
            <w:r>
              <w:t xml:space="preserve">$: branch 1 (org.opcfoundation.ua.avro.ExtensionObject).typeId.numeric: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7121094">
            <w:pPr>
              <w:pStyle w:val="TableText"/>
            </w:pPr>
            <w:r>
              <w:t xml:space="preserve">4</w:t>
            </w:r>
          </w:p>
        </w:tc>
        <w:tc>
          <w:tcPr>
            <w:tcW w:w="2231" w:type="dxa"/>
            <w:tcBorders>
              <w:top w:val="single" w:sz="4" w:space="0" w:color="auto"/>
              <w:left w:val="single" w:sz="4" w:space="0" w:color="auto"/>
              <w:bottom w:val="single" w:sz="4" w:space="0" w:color="auto"/>
              <w:right w:val="single" w:sz="4" w:space="0" w:color="auto"/>
            </w:tcBorders>
          </w:tcPr>
          <w:p w14:paraId="1BAF71C7">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64FF66C6">
            <w:pPr>
              <w:pStyle w:val="TableText"/>
            </w:pPr>
            <w:r>
              <w:rPr>
                <w:rStyle w:val="VARIABLE"/>
              </w:rPr>
              <w:t xml:space="preserve">f2 2e</w:t>
            </w:r>
          </w:p>
        </w:tc>
        <w:tc>
          <w:tcPr>
            <w:tcW w:w="2233" w:type="dxa"/>
            <w:tcBorders>
              <w:top w:val="single" w:sz="4" w:space="0" w:color="auto"/>
              <w:left w:val="single" w:sz="4" w:space="0" w:color="auto"/>
              <w:bottom w:val="single" w:sz="4" w:space="0" w:color="auto"/>
              <w:right w:val="single" w:sz="4" w:space="0" w:color="auto"/>
            </w:tcBorders>
          </w:tcPr>
          <w:p w14:paraId="3CB57F7E">
            <w:pPr>
              <w:pStyle w:val="TableText"/>
            </w:pPr>
            <w:r>
              <w:t xml:space="preserve">$: branch 1 (org.opcfoundation.ua.avro.ExtensionObject).typeId.numeric: branch 1 (long): long = 3001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707F417">
            <w:pPr>
              <w:pStyle w:val="TableText"/>
            </w:pPr>
            <w:r>
              <w:t xml:space="preserve">6</w:t>
            </w:r>
          </w:p>
        </w:tc>
        <w:tc>
          <w:tcPr>
            <w:tcW w:w="2231" w:type="dxa"/>
            <w:tcBorders>
              <w:top w:val="single" w:sz="4" w:space="0" w:color="auto"/>
              <w:left w:val="single" w:sz="4" w:space="0" w:color="auto"/>
              <w:bottom w:val="single" w:sz="4" w:space="0" w:color="auto"/>
              <w:right w:val="single" w:sz="4" w:space="0" w:color="auto"/>
            </w:tcBorders>
          </w:tcPr>
          <w:p w14:paraId="5C3C0E62">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70FF67D4">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64943080">
            <w:pPr>
              <w:pStyle w:val="TableText"/>
            </w:pPr>
            <w:r>
              <w:t xml:space="preserve">$: branch 1 (org.opcfoundation.ua.avro.ExtensionObject).typeId.string: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7A210B8">
            <w:pPr>
              <w:pStyle w:val="TableText"/>
            </w:pPr>
            <w:r>
              <w:t xml:space="preserve">7</w:t>
            </w:r>
          </w:p>
        </w:tc>
        <w:tc>
          <w:tcPr>
            <w:tcW w:w="2231" w:type="dxa"/>
            <w:tcBorders>
              <w:top w:val="single" w:sz="4" w:space="0" w:color="auto"/>
              <w:left w:val="single" w:sz="4" w:space="0" w:color="auto"/>
              <w:bottom w:val="single" w:sz="4" w:space="0" w:color="auto"/>
              <w:right w:val="single" w:sz="4" w:space="0" w:color="auto"/>
            </w:tcBorders>
          </w:tcPr>
          <w:p w14:paraId="0C417689">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578582BC">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564008C5">
            <w:pPr>
              <w:pStyle w:val="TableText"/>
            </w:pPr>
            <w:r>
              <w:t xml:space="preserve">$: branch 1 (org.opcfoundation.ua.avro.ExtensionObject).typeId.string: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B150EF3">
            <w:pPr>
              <w:pStyle w:val="TableText"/>
            </w:pPr>
            <w:r>
              <w:t xml:space="preserve">7</w:t>
            </w:r>
          </w:p>
        </w:tc>
        <w:tc>
          <w:tcPr>
            <w:tcW w:w="2231" w:type="dxa"/>
            <w:tcBorders>
              <w:top w:val="single" w:sz="4" w:space="0" w:color="auto"/>
              <w:left w:val="single" w:sz="4" w:space="0" w:color="auto"/>
              <w:bottom w:val="single" w:sz="4" w:space="0" w:color="auto"/>
              <w:right w:val="single" w:sz="4" w:space="0" w:color="auto"/>
            </w:tcBorders>
          </w:tcPr>
          <w:p w14:paraId="4B49F871">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0FBAED4">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019AEB5D">
            <w:pPr>
              <w:pStyle w:val="TableText"/>
            </w:pPr>
            <w:r>
              <w:t xml:space="preserve">$: branch 1 (org.opcfoundation.ua.avro.ExtensionObject).typeId.guid: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8690536">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483F71CE">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720F3845">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293B3561">
            <w:pPr>
              <w:pStyle w:val="TableText"/>
            </w:pPr>
            <w:r>
              <w:t xml:space="preserve">$: branch 1 (org.opcfoundation.ua.avro.ExtensionObject).typeId.guid: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F35D6BD">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1FC6C902">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83BD804">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79BBC807">
            <w:pPr>
              <w:pStyle w:val="TableText"/>
            </w:pPr>
            <w:r>
              <w:t xml:space="preserve">$: branch 1 (org.opcfoundation.ua.avro.ExtensionObject).typeId.opaque: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3A2F584">
            <w:pPr>
              <w:pStyle w:val="TableText"/>
            </w:pPr>
            <w:r>
              <w:t xml:space="preserve">9</w:t>
            </w:r>
          </w:p>
        </w:tc>
        <w:tc>
          <w:tcPr>
            <w:tcW w:w="2231" w:type="dxa"/>
            <w:tcBorders>
              <w:top w:val="single" w:sz="4" w:space="0" w:color="auto"/>
              <w:left w:val="single" w:sz="4" w:space="0" w:color="auto"/>
              <w:bottom w:val="single" w:sz="4" w:space="0" w:color="auto"/>
              <w:right w:val="single" w:sz="4" w:space="0" w:color="auto"/>
            </w:tcBorders>
          </w:tcPr>
          <w:p w14:paraId="65069633">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0EE0DB33">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67CBB36A">
            <w:pPr>
              <w:pStyle w:val="TableText"/>
            </w:pPr>
            <w:r>
              <w:t xml:space="preserve">$: branch 1 (org.opcfoundation.ua.avro.ExtensionObject).typeId.opaque: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50D5BB9">
            <w:pPr>
              <w:pStyle w:val="TableText"/>
            </w:pPr>
            <w:r>
              <w:t xml:space="preserve">9</w:t>
            </w:r>
          </w:p>
        </w:tc>
        <w:tc>
          <w:tcPr>
            <w:tcW w:w="2231" w:type="dxa"/>
            <w:tcBorders>
              <w:top w:val="single" w:sz="4" w:space="0" w:color="auto"/>
              <w:left w:val="single" w:sz="4" w:space="0" w:color="auto"/>
              <w:bottom w:val="single" w:sz="4" w:space="0" w:color="auto"/>
              <w:right w:val="single" w:sz="4" w:space="0" w:color="auto"/>
            </w:tcBorders>
          </w:tcPr>
          <w:p w14:paraId="3FFEC4F7">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94FA140">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092F8697">
            <w:pPr>
              <w:pStyle w:val="TableText"/>
            </w:pPr>
            <w:r>
              <w:t xml:space="preserve">$: branch 1 (org.opcfoundation.ua.avro.ExtensionObject).body: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96000C2">
            <w:pPr>
              <w:pStyle w:val="TableText"/>
            </w:pPr>
            <w:r>
              <w:t xml:space="preserve">10</w:t>
            </w:r>
          </w:p>
        </w:tc>
        <w:tc>
          <w:tcPr>
            <w:tcW w:w="2231" w:type="dxa"/>
            <w:tcBorders>
              <w:top w:val="single" w:sz="4" w:space="0" w:color="auto"/>
              <w:left w:val="single" w:sz="4" w:space="0" w:color="auto"/>
              <w:bottom w:val="single" w:sz="4" w:space="0" w:color="auto"/>
              <w:right w:val="single" w:sz="4" w:space="0" w:color="auto"/>
            </w:tcBorders>
          </w:tcPr>
          <w:p w14:paraId="6F496F2B">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5AC5C9F4">
            <w:pPr>
              <w:pStyle w:val="TableText"/>
            </w:pPr>
            <w:r>
              <w:rPr>
                <w:rStyle w:val="VARIABLE"/>
              </w:rPr>
              <w:t xml:space="preserve">00 00 00 00 00 00 f0 3f</w:t>
            </w:r>
          </w:p>
        </w:tc>
        <w:tc>
          <w:tcPr>
            <w:tcW w:w="2233" w:type="dxa"/>
            <w:tcBorders>
              <w:top w:val="single" w:sz="4" w:space="0" w:color="auto"/>
              <w:left w:val="single" w:sz="4" w:space="0" w:color="auto"/>
              <w:bottom w:val="single" w:sz="4" w:space="0" w:color="auto"/>
              <w:right w:val="single" w:sz="4" w:space="0" w:color="auto"/>
            </w:tcBorders>
          </w:tcPr>
          <w:p w14:paraId="69B6D43F">
            <w:pPr>
              <w:pStyle w:val="TableText"/>
            </w:pPr>
            <w:r>
              <w:t xml:space="preserve">$: branch 1 (org.opcfoundation.ua.avro.ExtensionObject).body: branch 1 (org.opcfoundation.ua.avro.Point).X: float64 little-endian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5807E77">
            <w:pPr>
              <w:pStyle w:val="TableText"/>
            </w:pPr>
            <w:r>
              <w:t xml:space="preserve">18</w:t>
            </w:r>
          </w:p>
        </w:tc>
        <w:tc>
          <w:tcPr>
            <w:tcW w:w="2231" w:type="dxa"/>
            <w:tcBorders>
              <w:top w:val="single" w:sz="4" w:space="0" w:color="auto"/>
              <w:left w:val="single" w:sz="4" w:space="0" w:color="auto"/>
              <w:bottom w:val="single" w:sz="4" w:space="0" w:color="auto"/>
              <w:right w:val="single" w:sz="4" w:space="0" w:color="auto"/>
            </w:tcBorders>
          </w:tcPr>
          <w:p w14:paraId="7B64CAAD">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32657D7C">
            <w:pPr>
              <w:pStyle w:val="TableText"/>
            </w:pPr>
            <w:r>
              <w:rPr>
                <w:rStyle w:val="VARIABLE"/>
              </w:rPr>
              <w:t xml:space="preserve">00 00 00 00 00 00 f0 3f</w:t>
            </w:r>
          </w:p>
        </w:tc>
        <w:tc>
          <w:tcPr>
            <w:tcW w:w="2233" w:type="dxa"/>
            <w:tcBorders>
              <w:top w:val="single" w:sz="4" w:space="0" w:color="auto"/>
              <w:left w:val="single" w:sz="4" w:space="0" w:color="auto"/>
              <w:bottom w:val="single" w:sz="4" w:space="0" w:color="auto"/>
              <w:right w:val="single" w:sz="4" w:space="0" w:color="auto"/>
            </w:tcBorders>
          </w:tcPr>
          <w:p w14:paraId="0E0772E5">
            <w:pPr>
              <w:pStyle w:val="TableText"/>
            </w:pPr>
            <w:r>
              <w:t xml:space="preserve">$: branch 1 (org.opcfoundation.ua.avro.ExtensionObject).body: branch 1 (org.opcfoundation.ua.avro.Point).Y: float64 little-endian</w:t>
            </w:r>
          </w:p>
        </w:tc>
      </w:tr>
    </w:tbl>
    <w:p w14:paraId="7D5FBD42">
      <w:pPr>
        <w:pStyle w:val="spacer"/>
      </w:pPr>
    </w:p>
    <w:p w14:paraId="2C22DB28">
      <w:pPr>
        <w:pStyle w:val="ANNEX-heading2"/>
      </w:pPr>
      <w:bookmarkStart w:id="616" w:name="_Clause_cA_2_23"/>
      <w:r>
        <w:t xml:space="preserve">Built-in DataValue</w:t>
      </w:r>
      <w:bookmarkEnd w:id="616"/>
    </w:p>
    <w:p w14:paraId="63B9FFEF">
      <w:pPr>
        <w:pStyle w:val="PARAGRAPH"/>
      </w:pPr>
      <w:r>
        <w:rPr>
          <w:b/>
        </w:rPr>
        <w:t xml:space="preserve">SchemaId</w:t>
      </w:r>
      <w:r>
        <w:t xml:space="preserve"> </w:t>
      </w:r>
      <w:r>
        <w:rPr>
          <w:rStyle w:val="VARIABLE"/>
        </w:rPr>
        <w:t xml:space="preserve">2abf014fafc0cfa5</w:t>
      </w:r>
    </w:p>
    <w:p w14:paraId="20285BE5">
      <w:pPr>
        <w:pStyle w:val="TABLE-title"/>
        <w:keepNext/>
      </w:pPr>
      <w:bookmarkStart w:id="617" w:name="_Tab_built_in_datavalue_tab1"/>
      <w:r>
        <w:t xml:space="preserve">Table </w:t>
      </w:r>
      <w:r>
        <w:fldChar w:fldCharType="begin"/>
      </w:r>
      <w:r>
        <w:instrText xml:space="preserve"> SEQ Table \* ARABIC </w:instrText>
      </w:r>
      <w:r>
        <w:fldChar w:fldCharType="separate"/>
      </w:r>
      <w:r>
        <w:rPr>
          <w:noProof/>
        </w:rPr>
        <w:t xml:space="preserve">60</w:t>
      </w:r>
      <w:r>
        <w:fldChar w:fldCharType="end"/>
      </w:r>
      <w:r>
        <w:t xml:space="preserve"> – Built-in DataValue</w:t>
      </w:r>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155C423">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39157086">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312F412F">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225D3AB7">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BAE5DAE">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25F49041">
            <w:pPr>
              <w:pStyle w:val="TableText"/>
            </w:pPr>
            <w:r>
              <w:rPr>
                <w:rStyle w:val="VARIABLE"/>
              </w:rPr>
              <w:t xml:space="preserve">{"fields": [{"default": null, "name": "value", "type": ["null", "org.opcfoundation.ua.avro.Variant"]}, {"default": null, "name": "status", "type": ["null", "int"]}, {"default": null, "name": "sourceTimestamp", "type": ["null", "long"]}, {"default": null, "name": "sourcePicoseconds", "type": ["null", "int"]}, {"default": null, "name": "serverTimestamp", "type": ["null", "long"]}, {"default": null, "name": "serverPicoseconds", "type": ["null", "int"]}], "name": "DataValue",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325DF68D">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3C70209">
            <w:pPr>
              <w:pStyle w:val="TableText"/>
            </w:pPr>
            <w:r>
              <w:t xml:space="preserve">OPC UA BuiltInType 23.</w:t>
            </w:r>
          </w:p>
        </w:tc>
      </w:tr>
    </w:tbl>
    <w:p w14:paraId="11D4A186">
      <w:pPr>
        <w:pStyle w:val="spacer"/>
      </w:pPr>
    </w:p>
    <w:p w14:paraId="0BCFF4DC">
      <w:pPr>
        <w:pStyle w:val="PARAGRAPH"/>
      </w:pPr>
      <w:r>
        <w:rPr>
          <w:b/>
        </w:rPr>
        <w:t xml:space="preserve">Avro schema fragment</w:t>
      </w:r>
    </w:p>
    <w:p w14:paraId="30FF2B2A">
      <w:pPr>
        <w:pStyle w:val="CODE"/>
      </w:pPr>
      <w:r>
        <w:t xml:space="preserve">{</w:t>
      </w:r>
    </w:p>
    <w:p w14:paraId="6A01D8FB">
      <w:pPr>
        <w:pStyle w:val="CODE"/>
      </w:pPr>
      <w:r>
        <w:t xml:space="preserve">  "fields": [</w:t>
      </w:r>
    </w:p>
    <w:p w14:paraId="0C976726">
      <w:pPr>
        <w:pStyle w:val="CODE"/>
      </w:pPr>
      <w:r>
        <w:t xml:space="preserve">    {</w:t>
      </w:r>
    </w:p>
    <w:p w14:paraId="2473F081">
      <w:pPr>
        <w:pStyle w:val="CODE"/>
      </w:pPr>
      <w:r>
        <w:t xml:space="preserve">      "default": null,</w:t>
      </w:r>
    </w:p>
    <w:p w14:paraId="7312F142">
      <w:pPr>
        <w:pStyle w:val="CODE"/>
      </w:pPr>
      <w:r>
        <w:t xml:space="preserve">      "name": "value",</w:t>
      </w:r>
    </w:p>
    <w:p w14:paraId="33A70BFE">
      <w:pPr>
        <w:pStyle w:val="CODE"/>
      </w:pPr>
      <w:r>
        <w:t xml:space="preserve">      "type": [</w:t>
      </w:r>
    </w:p>
    <w:p w14:paraId="438EB792">
      <w:pPr>
        <w:pStyle w:val="CODE"/>
      </w:pPr>
      <w:r>
        <w:t xml:space="preserve">        "null",</w:t>
      </w:r>
    </w:p>
    <w:p w14:paraId="179EB873">
      <w:pPr>
        <w:pStyle w:val="CODE"/>
      </w:pPr>
      <w:r>
        <w:t xml:space="preserve">        "org.opcfoundation.ua.avro.Variant"</w:t>
      </w:r>
    </w:p>
    <w:p w14:paraId="57BB2B03">
      <w:pPr>
        <w:pStyle w:val="CODE"/>
      </w:pPr>
      <w:r>
        <w:t xml:space="preserve">      ]</w:t>
      </w:r>
    </w:p>
    <w:p w14:paraId="73BE8912">
      <w:pPr>
        <w:pStyle w:val="CODE"/>
      </w:pPr>
      <w:r>
        <w:t xml:space="preserve">    },</w:t>
      </w:r>
    </w:p>
    <w:p w14:paraId="35ECAE30">
      <w:pPr>
        <w:pStyle w:val="CODE"/>
      </w:pPr>
      <w:r>
        <w:t xml:space="preserve">    {</w:t>
      </w:r>
    </w:p>
    <w:p w14:paraId="2D7D96F6">
      <w:pPr>
        <w:pStyle w:val="CODE"/>
      </w:pPr>
      <w:r>
        <w:t xml:space="preserve">      "default": null,</w:t>
      </w:r>
    </w:p>
    <w:p w14:paraId="4B0E1003">
      <w:pPr>
        <w:pStyle w:val="CODE"/>
      </w:pPr>
      <w:r>
        <w:t xml:space="preserve">      "name": "status",</w:t>
      </w:r>
    </w:p>
    <w:p w14:paraId="16BFA479">
      <w:pPr>
        <w:pStyle w:val="CODE"/>
      </w:pPr>
      <w:r>
        <w:t xml:space="preserve">      "type": [</w:t>
      </w:r>
    </w:p>
    <w:p w14:paraId="2E5BEE8A">
      <w:pPr>
        <w:pStyle w:val="CODE"/>
      </w:pPr>
      <w:r>
        <w:t xml:space="preserve">        "null",</w:t>
      </w:r>
    </w:p>
    <w:p w14:paraId="0F2A6BF8">
      <w:pPr>
        <w:pStyle w:val="CODE"/>
      </w:pPr>
      <w:r>
        <w:t xml:space="preserve">        "int"</w:t>
      </w:r>
    </w:p>
    <w:p w14:paraId="6657ABF5">
      <w:pPr>
        <w:pStyle w:val="CODE"/>
      </w:pPr>
      <w:r>
        <w:t xml:space="preserve">      ]</w:t>
      </w:r>
    </w:p>
    <w:p w14:paraId="14553380">
      <w:pPr>
        <w:pStyle w:val="CODE"/>
      </w:pPr>
      <w:r>
        <w:t xml:space="preserve">    },</w:t>
      </w:r>
    </w:p>
    <w:p w14:paraId="0CF845F3">
      <w:pPr>
        <w:pStyle w:val="CODE"/>
      </w:pPr>
      <w:r>
        <w:t xml:space="preserve">    {</w:t>
      </w:r>
    </w:p>
    <w:p w14:paraId="4E5FA3E6">
      <w:pPr>
        <w:pStyle w:val="CODE"/>
      </w:pPr>
      <w:r>
        <w:t xml:space="preserve">      "default": null,</w:t>
      </w:r>
    </w:p>
    <w:p w14:paraId="7FDDE3F6">
      <w:pPr>
        <w:pStyle w:val="CODE"/>
      </w:pPr>
      <w:r>
        <w:t xml:space="preserve">      "name": "sourceTimestamp",</w:t>
      </w:r>
    </w:p>
    <w:p w14:paraId="518D9B01">
      <w:pPr>
        <w:pStyle w:val="CODE"/>
      </w:pPr>
      <w:r>
        <w:t xml:space="preserve">      "type": [</w:t>
      </w:r>
    </w:p>
    <w:p w14:paraId="6F1B57C5">
      <w:pPr>
        <w:pStyle w:val="CODE"/>
      </w:pPr>
      <w:r>
        <w:t xml:space="preserve">        "null",</w:t>
      </w:r>
    </w:p>
    <w:p w14:paraId="274003AC">
      <w:pPr>
        <w:pStyle w:val="CODE"/>
      </w:pPr>
      <w:r>
        <w:t xml:space="preserve">        "long"</w:t>
      </w:r>
    </w:p>
    <w:p w14:paraId="371C7019">
      <w:pPr>
        <w:pStyle w:val="CODE"/>
      </w:pPr>
      <w:r>
        <w:t xml:space="preserve">      ]</w:t>
      </w:r>
    </w:p>
    <w:p w14:paraId="3E1C4633">
      <w:pPr>
        <w:pStyle w:val="CODE"/>
      </w:pPr>
      <w:r>
        <w:t xml:space="preserve">    },</w:t>
      </w:r>
    </w:p>
    <w:p w14:paraId="572C169A">
      <w:pPr>
        <w:pStyle w:val="CODE"/>
      </w:pPr>
      <w:r>
        <w:t xml:space="preserve">    {</w:t>
      </w:r>
    </w:p>
    <w:p w14:paraId="4017EC63">
      <w:pPr>
        <w:pStyle w:val="CODE"/>
      </w:pPr>
      <w:r>
        <w:t xml:space="preserve">      "default": null,</w:t>
      </w:r>
    </w:p>
    <w:p w14:paraId="1D8CA548">
      <w:pPr>
        <w:pStyle w:val="CODE"/>
      </w:pPr>
      <w:r>
        <w:t xml:space="preserve">      "name": "sourcePicoseconds",</w:t>
      </w:r>
    </w:p>
    <w:p w14:paraId="05AA14DB">
      <w:pPr>
        <w:pStyle w:val="CODE"/>
      </w:pPr>
      <w:r>
        <w:t xml:space="preserve">      "type": [</w:t>
      </w:r>
    </w:p>
    <w:p w14:paraId="48A75AA0">
      <w:pPr>
        <w:pStyle w:val="CODE"/>
      </w:pPr>
      <w:r>
        <w:t xml:space="preserve">        "null",</w:t>
      </w:r>
    </w:p>
    <w:p w14:paraId="6C610870">
      <w:pPr>
        <w:pStyle w:val="CODE"/>
      </w:pPr>
      <w:r>
        <w:t xml:space="preserve">        "int"</w:t>
      </w:r>
    </w:p>
    <w:p w14:paraId="1EC1538A">
      <w:pPr>
        <w:pStyle w:val="CODE"/>
      </w:pPr>
      <w:r>
        <w:t xml:space="preserve">      ]</w:t>
      </w:r>
    </w:p>
    <w:p w14:paraId="262CA5C9">
      <w:pPr>
        <w:pStyle w:val="CODE"/>
      </w:pPr>
      <w:r>
        <w:t xml:space="preserve">    },</w:t>
      </w:r>
    </w:p>
    <w:p w14:paraId="7B813A3D">
      <w:pPr>
        <w:pStyle w:val="CODE"/>
      </w:pPr>
      <w:r>
        <w:t xml:space="preserve">    {</w:t>
      </w:r>
    </w:p>
    <w:p w14:paraId="20992D00">
      <w:pPr>
        <w:pStyle w:val="CODE"/>
      </w:pPr>
      <w:r>
        <w:t xml:space="preserve">      "default": null,</w:t>
      </w:r>
    </w:p>
    <w:p w14:paraId="3D7FA21E">
      <w:pPr>
        <w:pStyle w:val="CODE"/>
      </w:pPr>
      <w:r>
        <w:t xml:space="preserve">      "name": "serverTimestamp",</w:t>
      </w:r>
    </w:p>
    <w:p w14:paraId="3F69D7FB">
      <w:pPr>
        <w:pStyle w:val="CODE"/>
      </w:pPr>
      <w:r>
        <w:t xml:space="preserve">      "type": [</w:t>
      </w:r>
    </w:p>
    <w:p w14:paraId="74DD6347">
      <w:pPr>
        <w:pStyle w:val="CODE"/>
      </w:pPr>
      <w:r>
        <w:t xml:space="preserve">        "null",</w:t>
      </w:r>
    </w:p>
    <w:p w14:paraId="6201F968">
      <w:pPr>
        <w:pStyle w:val="CODE"/>
      </w:pPr>
      <w:r>
        <w:t xml:space="preserve">        "long"</w:t>
      </w:r>
    </w:p>
    <w:p w14:paraId="52DFCF94">
      <w:pPr>
        <w:pStyle w:val="CODE"/>
      </w:pPr>
      <w:r>
        <w:t xml:space="preserve">      ]</w:t>
      </w:r>
    </w:p>
    <w:p w14:paraId="26E77860">
      <w:pPr>
        <w:pStyle w:val="CODE"/>
      </w:pPr>
      <w:r>
        <w:t xml:space="preserve">    },</w:t>
      </w:r>
    </w:p>
    <w:p w14:paraId="53FF91CD">
      <w:pPr>
        <w:pStyle w:val="CODE"/>
      </w:pPr>
      <w:r>
        <w:t xml:space="preserve">    {</w:t>
      </w:r>
    </w:p>
    <w:p w14:paraId="6A90056C">
      <w:pPr>
        <w:pStyle w:val="CODE"/>
      </w:pPr>
      <w:r>
        <w:t xml:space="preserve">      "default": null,</w:t>
      </w:r>
    </w:p>
    <w:p w14:paraId="7A6256D6">
      <w:pPr>
        <w:pStyle w:val="CODE"/>
      </w:pPr>
      <w:r>
        <w:t xml:space="preserve">      "name": "serverPicoseconds",</w:t>
      </w:r>
    </w:p>
    <w:p w14:paraId="2BDF722F">
      <w:pPr>
        <w:pStyle w:val="CODE"/>
      </w:pPr>
      <w:r>
        <w:t xml:space="preserve">      "type": [</w:t>
      </w:r>
    </w:p>
    <w:p w14:paraId="436780C7">
      <w:pPr>
        <w:pStyle w:val="CODE"/>
      </w:pPr>
      <w:r>
        <w:t xml:space="preserve">        "null",</w:t>
      </w:r>
    </w:p>
    <w:p w14:paraId="5685B90D">
      <w:pPr>
        <w:pStyle w:val="CODE"/>
      </w:pPr>
      <w:r>
        <w:t xml:space="preserve">        "int"</w:t>
      </w:r>
    </w:p>
    <w:p w14:paraId="1F38B8CE">
      <w:pPr>
        <w:pStyle w:val="CODE"/>
      </w:pPr>
      <w:r>
        <w:t xml:space="preserve">      ]</w:t>
      </w:r>
    </w:p>
    <w:p w14:paraId="227D8109">
      <w:pPr>
        <w:pStyle w:val="CODE"/>
      </w:pPr>
      <w:r>
        <w:t xml:space="preserve">    }</w:t>
      </w:r>
    </w:p>
    <w:p w14:paraId="52612DBB">
      <w:pPr>
        <w:pStyle w:val="CODE"/>
      </w:pPr>
      <w:r>
        <w:t xml:space="preserve">  ],</w:t>
      </w:r>
    </w:p>
    <w:p w14:paraId="55CEE931">
      <w:pPr>
        <w:pStyle w:val="CODE"/>
      </w:pPr>
      <w:r>
        <w:t xml:space="preserve">  "name": "DataValue",</w:t>
      </w:r>
    </w:p>
    <w:p w14:paraId="0543EB7D">
      <w:pPr>
        <w:pStyle w:val="CODE"/>
      </w:pPr>
      <w:r>
        <w:t xml:space="preserve">  "namespace": "org.opcfoundation.ua.avro",</w:t>
      </w:r>
    </w:p>
    <w:p w14:paraId="6158F7BF">
      <w:pPr>
        <w:pStyle w:val="CODE"/>
      </w:pPr>
      <w:r>
        <w:t xml:space="preserve">  "type": "record"</w:t>
      </w:r>
    </w:p>
    <w:p w14:paraId="6FD26423">
      <w:pPr>
        <w:pStyle w:val="CODE"/>
      </w:pPr>
      <w:r>
        <w:t xml:space="preserve">}</w:t>
      </w:r>
    </w:p>
    <w:p w14:paraId="2397F0D3">
      <w:pPr>
        <w:pStyle w:val="PARAGRAPH"/>
      </w:pPr>
      <w:r>
        <w:rPr>
          <w:b/>
        </w:rPr>
        <w:t xml:space="preserve">Example value</w:t>
      </w:r>
      <w:r>
        <w:t xml:space="preserve"> (</w:t>
      </w:r>
      <w:r>
        <w:rPr>
          <w:rStyle w:val="VARIABLE"/>
        </w:rPr>
        <w:t xml:space="preserve">datavalue_full</w:t>
      </w:r>
      <w:r>
        <w:t xml:space="preserve">)</w:t>
      </w:r>
    </w:p>
    <w:p w14:paraId="5499EF2F">
      <w:pPr>
        <w:pStyle w:val="CODE"/>
      </w:pPr>
      <w:r>
        <w:t xml:space="preserve">{"server_picoseconds": 250, "server_timestamp": {"ticks": 2000}, "source_picoseconds": 500, "source_timestamp": {"ticks": 1000}, "status": {"value": 0}, "value": {"dimensions": null, "value": 42, "vtype": {"id": 6}}}</w:t>
      </w:r>
    </w:p>
    <w:p w14:paraId="0A9FE536">
      <w:pPr>
        <w:pStyle w:val="PARAGRAPH"/>
      </w:pPr>
      <w:r>
        <w:rPr>
          <w:b/>
        </w:rPr>
        <w:t xml:space="preserve">Encoded bytes</w:t>
      </w:r>
      <w:r>
        <w:t xml:space="preserve"> (19 bytes)</w:t>
      </w:r>
    </w:p>
    <w:p w14:paraId="5AD2BD69">
      <w:pPr>
        <w:pStyle w:val="CODE"/>
      </w:pPr>
      <w:r>
        <w:t xml:space="preserve">020c002054020002d00f02e80702a01f02f403</w:t>
      </w:r>
    </w:p>
    <w:p w14:paraId="4245E0D0">
      <w:pPr>
        <w:pStyle w:val="PARAGRAPH"/>
      </w:pPr>
      <w:r>
        <w:rPr>
          <w:b/>
        </w:rPr>
        <w:t xml:space="preserve">Annotated byte-level breakdown</w:t>
      </w:r>
    </w:p>
    <w:p w14:paraId="38883CD5">
      <w:pPr>
        <w:pStyle w:val="TABLE-title"/>
        <w:keepNext/>
      </w:pPr>
      <w:bookmarkStart w:id="618" w:name="_Tab_built_in_datavalue_tab2"/>
      <w:r>
        <w:t xml:space="preserve">Table </w:t>
      </w:r>
      <w:r>
        <w:fldChar w:fldCharType="begin"/>
      </w:r>
      <w:r>
        <w:instrText xml:space="preserve"> SEQ Table \* ARABIC </w:instrText>
      </w:r>
      <w:r>
        <w:fldChar w:fldCharType="separate"/>
      </w:r>
      <w:r>
        <w:rPr>
          <w:noProof/>
        </w:rPr>
        <w:t xml:space="preserve">61</w:t>
      </w:r>
      <w:r>
        <w:fldChar w:fldCharType="end"/>
      </w:r>
      <w:r>
        <w:t xml:space="preserve"> – Built-in DataValue (2)</w:t>
      </w:r>
      <w:bookmarkEnd w:id="6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F9ECB56">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21883F63">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2E3AFFA4">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2C2D849C">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94240B9">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50FFBE87">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7BB569D7">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459FFA09">
            <w:pPr>
              <w:pStyle w:val="TableText"/>
            </w:pPr>
            <w:r>
              <w:t xml:space="preserve">$.value: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C7E1052">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3E32BC3">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35FD9C7F">
            <w:pPr>
              <w:pStyle w:val="TableText"/>
            </w:pPr>
            <w:r>
              <w:rPr>
                <w:rStyle w:val="VARIABLE"/>
              </w:rPr>
              <w:t xml:space="preserve">0c</w:t>
            </w:r>
          </w:p>
        </w:tc>
        <w:tc>
          <w:tcPr>
            <w:tcW w:w="2233" w:type="dxa"/>
            <w:tcBorders>
              <w:top w:val="single" w:sz="4" w:space="0" w:color="auto"/>
              <w:left w:val="single" w:sz="4" w:space="0" w:color="auto"/>
              <w:bottom w:val="single" w:sz="4" w:space="0" w:color="auto"/>
              <w:right w:val="single" w:sz="4" w:space="0" w:color="auto"/>
            </w:tcBorders>
          </w:tcPr>
          <w:p w14:paraId="0B24B907">
            <w:pPr>
              <w:pStyle w:val="TableText"/>
            </w:pPr>
            <w:r>
              <w:t xml:space="preserve">$.value: branch 1 (org.opcfoundation.ua.avro.Variant).builtInType: int = 6</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23F60F6">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1D34016D">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3FC939B">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76221BD3">
            <w:pPr>
              <w:pStyle w:val="TableText"/>
            </w:pPr>
            <w:r>
              <w:t xml:space="preserve">$.value: branch 1 (org.opcfoundation.ua.avro.Variant).dimensions: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0CE23EB">
            <w:pPr>
              <w:pStyle w:val="TableText"/>
            </w:pPr>
            <w:r>
              <w:t xml:space="preserve">3</w:t>
            </w:r>
          </w:p>
        </w:tc>
        <w:tc>
          <w:tcPr>
            <w:tcW w:w="2231" w:type="dxa"/>
            <w:tcBorders>
              <w:top w:val="single" w:sz="4" w:space="0" w:color="auto"/>
              <w:left w:val="single" w:sz="4" w:space="0" w:color="auto"/>
              <w:bottom w:val="single" w:sz="4" w:space="0" w:color="auto"/>
              <w:right w:val="single" w:sz="4" w:space="0" w:color="auto"/>
            </w:tcBorders>
          </w:tcPr>
          <w:p w14:paraId="551DCC9D">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307581AA">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3D8C3744">
            <w:pPr>
              <w:pStyle w:val="TableText"/>
            </w:pPr>
            <w:r>
              <w:t xml:space="preserve">$.value: branch 1 (org.opcfoundation.ua.avro.Variant).dimensions: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7E9E579">
            <w:pPr>
              <w:pStyle w:val="TableText"/>
            </w:pPr>
            <w:r>
              <w:t xml:space="preserve">3</w:t>
            </w:r>
          </w:p>
        </w:tc>
        <w:tc>
          <w:tcPr>
            <w:tcW w:w="2231" w:type="dxa"/>
            <w:tcBorders>
              <w:top w:val="single" w:sz="4" w:space="0" w:color="auto"/>
              <w:left w:val="single" w:sz="4" w:space="0" w:color="auto"/>
              <w:bottom w:val="single" w:sz="4" w:space="0" w:color="auto"/>
              <w:right w:val="single" w:sz="4" w:space="0" w:color="auto"/>
            </w:tcBorders>
          </w:tcPr>
          <w:p w14:paraId="2B5671C3">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20F37C64">
            <w:pPr>
              <w:pStyle w:val="TableText"/>
            </w:pPr>
            <w:r>
              <w:rPr>
                <w:rStyle w:val="VARIABLE"/>
              </w:rPr>
              <w:t xml:space="preserve">20</w:t>
            </w:r>
          </w:p>
        </w:tc>
        <w:tc>
          <w:tcPr>
            <w:tcW w:w="2233" w:type="dxa"/>
            <w:tcBorders>
              <w:top w:val="single" w:sz="4" w:space="0" w:color="auto"/>
              <w:left w:val="single" w:sz="4" w:space="0" w:color="auto"/>
              <w:bottom w:val="single" w:sz="4" w:space="0" w:color="auto"/>
              <w:right w:val="single" w:sz="4" w:space="0" w:color="auto"/>
            </w:tcBorders>
          </w:tcPr>
          <w:p w14:paraId="2CC98D5D">
            <w:pPr>
              <w:pStyle w:val="TableText"/>
            </w:pPr>
            <w:r>
              <w:t xml:space="preserve">$.value: branch 1 (org.opcfoundation.ua.avro.Variant).body: union branch index = 16</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973403C">
            <w:pPr>
              <w:pStyle w:val="TableText"/>
            </w:pPr>
            <w:r>
              <w:t xml:space="preserve">4</w:t>
            </w:r>
          </w:p>
        </w:tc>
        <w:tc>
          <w:tcPr>
            <w:tcW w:w="2231" w:type="dxa"/>
            <w:tcBorders>
              <w:top w:val="single" w:sz="4" w:space="0" w:color="auto"/>
              <w:left w:val="single" w:sz="4" w:space="0" w:color="auto"/>
              <w:bottom w:val="single" w:sz="4" w:space="0" w:color="auto"/>
              <w:right w:val="single" w:sz="4" w:space="0" w:color="auto"/>
            </w:tcBorders>
          </w:tcPr>
          <w:p w14:paraId="27EFEC6C">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21BEECC2">
            <w:pPr>
              <w:pStyle w:val="TableText"/>
            </w:pPr>
            <w:r>
              <w:rPr>
                <w:rStyle w:val="VARIABLE"/>
              </w:rPr>
              <w:t xml:space="preserve">54</w:t>
            </w:r>
          </w:p>
        </w:tc>
        <w:tc>
          <w:tcPr>
            <w:tcW w:w="2233" w:type="dxa"/>
            <w:tcBorders>
              <w:top w:val="single" w:sz="4" w:space="0" w:color="auto"/>
              <w:left w:val="single" w:sz="4" w:space="0" w:color="auto"/>
              <w:bottom w:val="single" w:sz="4" w:space="0" w:color="auto"/>
              <w:right w:val="single" w:sz="4" w:space="0" w:color="auto"/>
            </w:tcBorders>
          </w:tcPr>
          <w:p w14:paraId="5A9A5F2B">
            <w:pPr>
              <w:pStyle w:val="TableText"/>
            </w:pPr>
            <w:r>
              <w:t xml:space="preserve">$.value: branch 1 (org.opcfoundation.ua.avro.Variant).body: branch 16 (org.opcfoundation.ua.avro.VariantInt32Scalar).value: int = 42</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A83CFEA">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14:paraId="6B988252">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618C367">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4446B2D2">
            <w:pPr>
              <w:pStyle w:val="TableText"/>
            </w:pPr>
            <w:r>
              <w:t xml:space="preserve">$.status: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06F44A5">
            <w:pPr>
              <w:pStyle w:val="TableText"/>
            </w:pPr>
            <w:r>
              <w:t xml:space="preserve">6</w:t>
            </w:r>
          </w:p>
        </w:tc>
        <w:tc>
          <w:tcPr>
            <w:tcW w:w="2231" w:type="dxa"/>
            <w:tcBorders>
              <w:top w:val="single" w:sz="4" w:space="0" w:color="auto"/>
              <w:left w:val="single" w:sz="4" w:space="0" w:color="auto"/>
              <w:bottom w:val="single" w:sz="4" w:space="0" w:color="auto"/>
              <w:right w:val="single" w:sz="4" w:space="0" w:color="auto"/>
            </w:tcBorders>
          </w:tcPr>
          <w:p w14:paraId="04058671">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65D63A2">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0998EB2D">
            <w:pPr>
              <w:pStyle w:val="TableText"/>
            </w:pPr>
            <w:r>
              <w:t xml:space="preserve">$.status: branch 1 (int): int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F079736">
            <w:pPr>
              <w:pStyle w:val="TableText"/>
            </w:pPr>
            <w:r>
              <w:t xml:space="preserve">7</w:t>
            </w:r>
          </w:p>
        </w:tc>
        <w:tc>
          <w:tcPr>
            <w:tcW w:w="2231" w:type="dxa"/>
            <w:tcBorders>
              <w:top w:val="single" w:sz="4" w:space="0" w:color="auto"/>
              <w:left w:val="single" w:sz="4" w:space="0" w:color="auto"/>
              <w:bottom w:val="single" w:sz="4" w:space="0" w:color="auto"/>
              <w:right w:val="single" w:sz="4" w:space="0" w:color="auto"/>
            </w:tcBorders>
          </w:tcPr>
          <w:p w14:paraId="556A3626">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31A91E1E">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463B4B13">
            <w:pPr>
              <w:pStyle w:val="TableText"/>
            </w:pPr>
            <w:r>
              <w:t xml:space="preserve">$.sourceTimestamp: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180250D">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6755D8DB">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490BB7D1">
            <w:pPr>
              <w:pStyle w:val="TableText"/>
            </w:pPr>
            <w:r>
              <w:rPr>
                <w:rStyle w:val="VARIABLE"/>
              </w:rPr>
              <w:t xml:space="preserve">d0 0f</w:t>
            </w:r>
          </w:p>
        </w:tc>
        <w:tc>
          <w:tcPr>
            <w:tcW w:w="2233" w:type="dxa"/>
            <w:tcBorders>
              <w:top w:val="single" w:sz="4" w:space="0" w:color="auto"/>
              <w:left w:val="single" w:sz="4" w:space="0" w:color="auto"/>
              <w:bottom w:val="single" w:sz="4" w:space="0" w:color="auto"/>
              <w:right w:val="single" w:sz="4" w:space="0" w:color="auto"/>
            </w:tcBorders>
          </w:tcPr>
          <w:p w14:paraId="741FEB35">
            <w:pPr>
              <w:pStyle w:val="TableText"/>
            </w:pPr>
            <w:r>
              <w:t xml:space="preserve">$.sourceTimestamp: branch 1 (long): long = 1000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D08849F">
            <w:pPr>
              <w:pStyle w:val="TableText"/>
            </w:pPr>
            <w:r>
              <w:t xml:space="preserve">10</w:t>
            </w:r>
          </w:p>
        </w:tc>
        <w:tc>
          <w:tcPr>
            <w:tcW w:w="2231" w:type="dxa"/>
            <w:tcBorders>
              <w:top w:val="single" w:sz="4" w:space="0" w:color="auto"/>
              <w:left w:val="single" w:sz="4" w:space="0" w:color="auto"/>
              <w:bottom w:val="single" w:sz="4" w:space="0" w:color="auto"/>
              <w:right w:val="single" w:sz="4" w:space="0" w:color="auto"/>
            </w:tcBorders>
          </w:tcPr>
          <w:p w14:paraId="1E19FE6D">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43C69B2">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33039C4F">
            <w:pPr>
              <w:pStyle w:val="TableText"/>
            </w:pPr>
            <w:r>
              <w:t xml:space="preserve">$.sourcePicoseconds: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DBFC15">
            <w:pPr>
              <w:pStyle w:val="TableText"/>
            </w:pPr>
            <w:r>
              <w:t xml:space="preserve">11</w:t>
            </w:r>
          </w:p>
        </w:tc>
        <w:tc>
          <w:tcPr>
            <w:tcW w:w="2231" w:type="dxa"/>
            <w:tcBorders>
              <w:top w:val="single" w:sz="4" w:space="0" w:color="auto"/>
              <w:left w:val="single" w:sz="4" w:space="0" w:color="auto"/>
              <w:bottom w:val="single" w:sz="4" w:space="0" w:color="auto"/>
              <w:right w:val="single" w:sz="4" w:space="0" w:color="auto"/>
            </w:tcBorders>
          </w:tcPr>
          <w:p w14:paraId="582520FE">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545E0360">
            <w:pPr>
              <w:pStyle w:val="TableText"/>
            </w:pPr>
            <w:r>
              <w:rPr>
                <w:rStyle w:val="VARIABLE"/>
              </w:rPr>
              <w:t xml:space="preserve">e8 07</w:t>
            </w:r>
          </w:p>
        </w:tc>
        <w:tc>
          <w:tcPr>
            <w:tcW w:w="2233" w:type="dxa"/>
            <w:tcBorders>
              <w:top w:val="single" w:sz="4" w:space="0" w:color="auto"/>
              <w:left w:val="single" w:sz="4" w:space="0" w:color="auto"/>
              <w:bottom w:val="single" w:sz="4" w:space="0" w:color="auto"/>
              <w:right w:val="single" w:sz="4" w:space="0" w:color="auto"/>
            </w:tcBorders>
          </w:tcPr>
          <w:p w14:paraId="3EF273A9">
            <w:pPr>
              <w:pStyle w:val="TableText"/>
            </w:pPr>
            <w:r>
              <w:t xml:space="preserve">$.sourcePicoseconds: branch 1 (int): int = 500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78395B6">
            <w:pPr>
              <w:pStyle w:val="TableText"/>
            </w:pPr>
            <w:r>
              <w:t xml:space="preserve">13</w:t>
            </w:r>
          </w:p>
        </w:tc>
        <w:tc>
          <w:tcPr>
            <w:tcW w:w="2231" w:type="dxa"/>
            <w:tcBorders>
              <w:top w:val="single" w:sz="4" w:space="0" w:color="auto"/>
              <w:left w:val="single" w:sz="4" w:space="0" w:color="auto"/>
              <w:bottom w:val="single" w:sz="4" w:space="0" w:color="auto"/>
              <w:right w:val="single" w:sz="4" w:space="0" w:color="auto"/>
            </w:tcBorders>
          </w:tcPr>
          <w:p w14:paraId="2041FF01">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54D0D7A">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6DFC131A">
            <w:pPr>
              <w:pStyle w:val="TableText"/>
            </w:pPr>
            <w:r>
              <w:t xml:space="preserve">$.serverTimestamp: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BD4C6A9">
            <w:pPr>
              <w:pStyle w:val="TableText"/>
            </w:pPr>
            <w:r>
              <w:t xml:space="preserve">14</w:t>
            </w:r>
          </w:p>
        </w:tc>
        <w:tc>
          <w:tcPr>
            <w:tcW w:w="2231" w:type="dxa"/>
            <w:tcBorders>
              <w:top w:val="single" w:sz="4" w:space="0" w:color="auto"/>
              <w:left w:val="single" w:sz="4" w:space="0" w:color="auto"/>
              <w:bottom w:val="single" w:sz="4" w:space="0" w:color="auto"/>
              <w:right w:val="single" w:sz="4" w:space="0" w:color="auto"/>
            </w:tcBorders>
          </w:tcPr>
          <w:p w14:paraId="1586A4BE">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6307EAE8">
            <w:pPr>
              <w:pStyle w:val="TableText"/>
            </w:pPr>
            <w:r>
              <w:rPr>
                <w:rStyle w:val="VARIABLE"/>
              </w:rPr>
              <w:t xml:space="preserve">a0 1f</w:t>
            </w:r>
          </w:p>
        </w:tc>
        <w:tc>
          <w:tcPr>
            <w:tcW w:w="2233" w:type="dxa"/>
            <w:tcBorders>
              <w:top w:val="single" w:sz="4" w:space="0" w:color="auto"/>
              <w:left w:val="single" w:sz="4" w:space="0" w:color="auto"/>
              <w:bottom w:val="single" w:sz="4" w:space="0" w:color="auto"/>
              <w:right w:val="single" w:sz="4" w:space="0" w:color="auto"/>
            </w:tcBorders>
          </w:tcPr>
          <w:p w14:paraId="5324908D">
            <w:pPr>
              <w:pStyle w:val="TableText"/>
            </w:pPr>
            <w:r>
              <w:t xml:space="preserve">$.serverTimestamp: branch 1 (long): long = 2000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65CF539">
            <w:pPr>
              <w:pStyle w:val="TableText"/>
            </w:pPr>
            <w:r>
              <w:t xml:space="preserve">16</w:t>
            </w:r>
          </w:p>
        </w:tc>
        <w:tc>
          <w:tcPr>
            <w:tcW w:w="2231" w:type="dxa"/>
            <w:tcBorders>
              <w:top w:val="single" w:sz="4" w:space="0" w:color="auto"/>
              <w:left w:val="single" w:sz="4" w:space="0" w:color="auto"/>
              <w:bottom w:val="single" w:sz="4" w:space="0" w:color="auto"/>
              <w:right w:val="single" w:sz="4" w:space="0" w:color="auto"/>
            </w:tcBorders>
          </w:tcPr>
          <w:p w14:paraId="2E51022C">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7F150DD8">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4FE68C19">
            <w:pPr>
              <w:pStyle w:val="TableText"/>
            </w:pPr>
            <w:r>
              <w:t xml:space="preserve">$.serverPicoseconds: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B77D5C0">
            <w:pPr>
              <w:pStyle w:val="TableText"/>
            </w:pPr>
            <w:r>
              <w:t xml:space="preserve">17</w:t>
            </w:r>
          </w:p>
        </w:tc>
        <w:tc>
          <w:tcPr>
            <w:tcW w:w="2231" w:type="dxa"/>
            <w:tcBorders>
              <w:top w:val="single" w:sz="4" w:space="0" w:color="auto"/>
              <w:left w:val="single" w:sz="4" w:space="0" w:color="auto"/>
              <w:bottom w:val="single" w:sz="4" w:space="0" w:color="auto"/>
              <w:right w:val="single" w:sz="4" w:space="0" w:color="auto"/>
            </w:tcBorders>
          </w:tcPr>
          <w:p w14:paraId="6F84CFA9">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1B971A3F">
            <w:pPr>
              <w:pStyle w:val="TableText"/>
            </w:pPr>
            <w:r>
              <w:rPr>
                <w:rStyle w:val="VARIABLE"/>
              </w:rPr>
              <w:t xml:space="preserve">f4 03</w:t>
            </w:r>
          </w:p>
        </w:tc>
        <w:tc>
          <w:tcPr>
            <w:tcW w:w="2233" w:type="dxa"/>
            <w:tcBorders>
              <w:top w:val="single" w:sz="4" w:space="0" w:color="auto"/>
              <w:left w:val="single" w:sz="4" w:space="0" w:color="auto"/>
              <w:bottom w:val="single" w:sz="4" w:space="0" w:color="auto"/>
              <w:right w:val="single" w:sz="4" w:space="0" w:color="auto"/>
            </w:tcBorders>
          </w:tcPr>
          <w:p w14:paraId="02E41749">
            <w:pPr>
              <w:pStyle w:val="TableText"/>
            </w:pPr>
            <w:r>
              <w:t xml:space="preserve">$.serverPicoseconds: branch 1 (int): int = 250</w:t>
            </w:r>
          </w:p>
        </w:tc>
      </w:tr>
    </w:tbl>
    <w:p w14:paraId="21FC546E">
      <w:pPr>
        <w:pStyle w:val="spacer"/>
      </w:pPr>
    </w:p>
    <w:p w14:paraId="07A266B8">
      <w:pPr>
        <w:pStyle w:val="ANNEX-heading2"/>
      </w:pPr>
      <w:bookmarkStart w:id="619" w:name="_Clause_cA_2_24"/>
      <w:r>
        <w:t xml:space="preserve">Built-in Variant</w:t>
      </w:r>
      <w:bookmarkEnd w:id="619"/>
    </w:p>
    <w:p w14:paraId="20B02CBF">
      <w:pPr>
        <w:pStyle w:val="PARAGRAPH"/>
      </w:pPr>
      <w:r>
        <w:rPr>
          <w:b/>
        </w:rPr>
        <w:t xml:space="preserve">SchemaId</w:t>
      </w:r>
      <w:r>
        <w:t xml:space="preserve"> </w:t>
      </w:r>
      <w:r>
        <w:rPr>
          <w:rStyle w:val="VARIABLE"/>
        </w:rPr>
        <w:t xml:space="preserve">e4991bff0397acd7</w:t>
      </w:r>
    </w:p>
    <w:p w14:paraId="18285128">
      <w:pPr>
        <w:pStyle w:val="TABLE-title"/>
        <w:keepNext/>
      </w:pPr>
      <w:bookmarkStart w:id="620" w:name="_Tab_built_in_variant_tab1"/>
      <w:r>
        <w:t xml:space="preserve">Table </w:t>
      </w:r>
      <w:r>
        <w:fldChar w:fldCharType="begin"/>
      </w:r>
      <w:r>
        <w:instrText xml:space="preserve"> SEQ Table \* ARABIC </w:instrText>
      </w:r>
      <w:r>
        <w:fldChar w:fldCharType="separate"/>
      </w:r>
      <w:r>
        <w:rPr>
          <w:noProof/>
        </w:rPr>
        <w:t xml:space="preserve">62</w:t>
      </w:r>
      <w:r>
        <w:fldChar w:fldCharType="end"/>
      </w:r>
      <w:r>
        <w:t xml:space="preserve"> – Built-in Variant</w:t>
      </w:r>
      <w:bookmarkEnd w:id="6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18BF956B">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1072AB04">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23CF48DB">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4325BED2">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7CC7AEC">
            <w:pPr>
              <w:pStyle w:val="TableText"/>
            </w:pPr>
            <w:r>
              <w:rPr>
                <w:rStyle w:val="VARIABLE"/>
              </w:rPr>
              <w:t xml:space="preserve">builtInType</w:t>
            </w:r>
          </w:p>
        </w:tc>
        <w:tc>
          <w:tcPr>
            <w:tcW w:w="2231" w:type="dxa"/>
            <w:tcBorders>
              <w:top w:val="single" w:sz="4" w:space="0" w:color="auto"/>
              <w:left w:val="single" w:sz="4" w:space="0" w:color="auto"/>
              <w:bottom w:val="single" w:sz="4" w:space="0" w:color="auto"/>
              <w:right w:val="single" w:sz="4" w:space="0" w:color="auto"/>
            </w:tcBorders>
          </w:tcPr>
          <w:p w14:paraId="7E909107">
            <w:pPr>
              <w:pStyle w:val="TableText"/>
            </w:pPr>
            <w:r>
              <w:rPr>
                <w:rStyle w:val="VARIABLE"/>
              </w:rPr>
              <w:t xml:space="preserve">"int"</w:t>
            </w:r>
          </w:p>
        </w:tc>
        <w:tc>
          <w:tcPr>
            <w:tcW w:w="2231" w:type="dxa"/>
            <w:tcBorders>
              <w:top w:val="single" w:sz="4" w:space="0" w:color="auto"/>
              <w:left w:val="single" w:sz="4" w:space="0" w:color="auto"/>
              <w:bottom w:val="single" w:sz="4" w:space="0" w:color="auto"/>
              <w:right w:val="single" w:sz="4" w:space="0" w:color="auto"/>
            </w:tcBorders>
          </w:tcPr>
          <w:p w14:paraId="0E43EA64">
            <w:pPr>
              <w:pStyle w:val="TableText"/>
            </w:pPr>
            <w:r>
              <w:t xml:space="preserve">present</w:t>
            </w:r>
          </w:p>
        </w:tc>
        <w:tc>
          <w:tcPr>
            <w:tcW w:w="2233" w:type="dxa"/>
            <w:tcBorders>
              <w:top w:val="single" w:sz="4" w:space="0" w:color="auto"/>
              <w:left w:val="single" w:sz="4" w:space="0" w:color="auto"/>
              <w:bottom w:val="single" w:sz="4" w:space="0" w:color="auto"/>
              <w:right w:val="single" w:sz="4" w:space="0" w:color="auto"/>
            </w:tcBorders>
          </w:tcPr>
          <w:p w14:paraId="7C764DD7">
            <w:pPr>
              <w:pStyle w:val="TableText"/>
            </w:pPr>
            <w:r>
              <w:t xml:space="preserve">Fixed member of the record shape.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835BCEF">
            <w:pPr>
              <w:pStyle w:val="TableText"/>
            </w:pPr>
            <w:r>
              <w:rPr>
                <w:rStyle w:val="VARIABLE"/>
              </w:rPr>
              <w:t xml:space="preserve">dimensions</w:t>
            </w:r>
          </w:p>
        </w:tc>
        <w:tc>
          <w:tcPr>
            <w:tcW w:w="2231" w:type="dxa"/>
            <w:tcBorders>
              <w:top w:val="single" w:sz="4" w:space="0" w:color="auto"/>
              <w:left w:val="single" w:sz="4" w:space="0" w:color="auto"/>
              <w:bottom w:val="single" w:sz="4" w:space="0" w:color="auto"/>
              <w:right w:val="single" w:sz="4" w:space="0" w:color="auto"/>
            </w:tcBorders>
          </w:tcPr>
          <w:p w14:paraId="50742CE4">
            <w:pPr>
              <w:pStyle w:val="TableText"/>
            </w:pPr>
            <w:r>
              <w:rPr>
                <w:rStyle w:val="VARIABLE"/>
              </w:rPr>
              <w:t xml:space="preserve">["null", {"items": "int", "type": "array"}]</w:t>
            </w:r>
          </w:p>
        </w:tc>
        <w:tc>
          <w:tcPr>
            <w:tcW w:w="2231" w:type="dxa"/>
            <w:tcBorders>
              <w:top w:val="single" w:sz="4" w:space="0" w:color="auto"/>
              <w:left w:val="single" w:sz="4" w:space="0" w:color="auto"/>
              <w:bottom w:val="single" w:sz="4" w:space="0" w:color="auto"/>
              <w:right w:val="single" w:sz="4" w:space="0" w:color="auto"/>
            </w:tcBorders>
          </w:tcPr>
          <w:p w14:paraId="2DD850BF">
            <w:pPr>
              <w:pStyle w:val="TableText"/>
            </w:pPr>
            <w:r>
              <w:t xml:space="preserve">nullable</w:t>
            </w:r>
          </w:p>
        </w:tc>
        <w:tc>
          <w:tcPr>
            <w:tcW w:w="2233" w:type="dxa"/>
            <w:tcBorders>
              <w:top w:val="single" w:sz="4" w:space="0" w:color="auto"/>
              <w:left w:val="single" w:sz="4" w:space="0" w:color="auto"/>
              <w:bottom w:val="single" w:sz="4" w:space="0" w:color="auto"/>
              <w:right w:val="single" w:sz="4" w:space="0" w:color="auto"/>
            </w:tcBorders>
          </w:tcPr>
          <w:p w14:paraId="0E41896F">
            <w:pPr>
              <w:pStyle w:val="TableText"/>
            </w:pPr>
            <w:r>
              <w:t xml:space="preserve">Fixed member of the record shape.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2B8EBA1">
            <w:pPr>
              <w:pStyle w:val="TableText"/>
            </w:pPr>
            <w:r>
              <w:rPr>
                <w:rStyle w:val="VARIABLE"/>
              </w:rPr>
              <w:t xml:space="preserve">body</w:t>
            </w:r>
          </w:p>
        </w:tc>
        <w:tc>
          <w:tcPr>
            <w:tcW w:w="2231" w:type="dxa"/>
            <w:tcBorders>
              <w:top w:val="single" w:sz="4" w:space="0" w:color="auto"/>
              <w:left w:val="single" w:sz="4" w:space="0" w:color="auto"/>
              <w:bottom w:val="single" w:sz="4" w:space="0" w:color="auto"/>
              <w:right w:val="single" w:sz="4" w:space="0" w:color="auto"/>
            </w:tcBorders>
          </w:tcPr>
          <w:p w14:paraId="109C5829">
            <w:pPr>
              <w:pStyle w:val="TableText"/>
            </w:pPr>
            <w:r>
              <w:t xml:space="preserve">append-only growing union — see </w:t>
            </w:r>
            <w:r>
              <w:fldChar w:fldCharType="begin"/>
            </w:r>
            <w:r>
              <w:instrText xml:space="preserve"> REF _Clause_c6_6_4 \r \h </w:instrText>
            </w:r>
            <w:r>
              <w:fldChar w:fldCharType="separate"/>
            </w:r>
            <w:r>
              <w:rPr>
                <w:noProof/>
              </w:rPr>
              <w:t xml:space="preserve">6.6.4</w:t>
            </w:r>
            <w:r>
              <w:fldChar w:fldCharType="end"/>
            </w:r>
          </w:p>
        </w:tc>
        <w:tc>
          <w:tcPr>
            <w:tcW w:w="2231" w:type="dxa"/>
            <w:tcBorders>
              <w:top w:val="single" w:sz="4" w:space="0" w:color="auto"/>
              <w:left w:val="single" w:sz="4" w:space="0" w:color="auto"/>
              <w:bottom w:val="single" w:sz="4" w:space="0" w:color="auto"/>
              <w:right w:val="single" w:sz="4" w:space="0" w:color="auto"/>
            </w:tcBorders>
          </w:tcPr>
          <w:p w14:paraId="7D1CC70A">
            <w:pPr>
              <w:pStyle w:val="TableText"/>
            </w:pPr>
            <w:r>
              <w:t xml:space="preserve">nullable</w:t>
            </w:r>
          </w:p>
        </w:tc>
        <w:tc>
          <w:tcPr>
            <w:tcW w:w="2233" w:type="dxa"/>
            <w:tcBorders>
              <w:top w:val="single" w:sz="4" w:space="0" w:color="auto"/>
              <w:left w:val="single" w:sz="4" w:space="0" w:color="auto"/>
              <w:bottom w:val="single" w:sz="4" w:space="0" w:color="auto"/>
              <w:right w:val="single" w:sz="4" w:space="0" w:color="auto"/>
            </w:tcBorders>
          </w:tcPr>
          <w:p w14:paraId="5DB2D4A6">
            <w:pPr>
              <w:pStyle w:val="TableText"/>
            </w:pPr>
            <w:r>
              <w:t xml:space="preserve">Not expanded here; the full published aggregation is </w:t>
            </w:r>
            <w:r>
              <w:rPr>
                <w:rStyle w:val="VARIABLE"/>
              </w:rPr>
              <w:t xml:space="preserve">../extras/avro-encoding/schemas/opcua.builtins.avsc</w:t>
            </w:r>
            <w:r>
              <w:t xml:space="preserve">.</w:t>
            </w:r>
          </w:p>
        </w:tc>
      </w:tr>
    </w:tbl>
    <w:p w14:paraId="72361267">
      <w:pPr>
        <w:pStyle w:val="spacer"/>
      </w:pPr>
    </w:p>
    <w:p w14:paraId="2EDDFDDA">
      <w:pPr>
        <w:pStyle w:val="PARAGRAPH"/>
      </w:pPr>
      <w:r>
        <w:t xml:space="preserve">The </w:t>
      </w:r>
      <w:r>
        <w:rPr>
          <w:rStyle w:val="VARIABLE"/>
        </w:rPr>
        <w:t xml:space="preserve">body</w:t>
      </w:r>
      <w:r>
        <w:t xml:space="preserve"> member is the append-only </w:t>
      </w:r>
      <w:r>
        <w:rPr>
          <w:b/>
        </w:rPr>
        <w:t xml:space="preserve">growing union</w:t>
      </w:r>
      <w:r>
        <w:t xml:space="preserve"> governed by </w:t>
      </w:r>
      <w:r>
        <w:fldChar w:fldCharType="begin"/>
      </w:r>
      <w:r>
        <w:instrText xml:space="preserve"> REF _Clause_c6_6_4 \r \h </w:instrText>
      </w:r>
      <w:r>
        <w:fldChar w:fldCharType="separate"/>
      </w:r>
      <w:r>
        <w:rPr>
          <w:noProof/>
        </w:rPr>
        <w:t xml:space="preserve">6.6.4</w:t>
      </w:r>
      <w:r>
        <w:fldChar w:fldCharType="end"/>
      </w:r>
      <w:r>
        <w:t xml:space="preserve"> (see also </w:t>
      </w:r>
      <w:r>
        <w:rPr>
          <w:i/>
        </w:rPr>
        <w:t xml:space="preserve">OPC UA — Schema Registry</w:t>
      </w:r>
      <w:r>
        <w:t xml:space="preserve"> </w:t>
      </w:r>
      <w:r>
        <w:t xml:space="preserve">§5.6</w:t>
      </w:r>
      <w:r>
        <w:t xml:space="preserve">). Its members are not reproduced here because the union grows as new built-in body types are observed; the complete aggregation used by the conformance corpus is the published </w:t>
      </w:r>
      <w:r>
        <w:rPr>
          <w:rStyle w:val="VARIABLE"/>
        </w:rPr>
        <w:t xml:space="preserve">opcua.builtins.avsc</w:t>
      </w:r>
      <w:r>
        <w:t xml:space="preserve">.</w:t>
      </w:r>
    </w:p>
    <w:p w14:paraId="068ECE4C">
      <w:pPr>
        <w:pStyle w:val="PARAGRAPH"/>
      </w:pPr>
      <w:r>
        <w:rPr>
          <w:b/>
        </w:rPr>
        <w:t xml:space="preserve">Example value</w:t>
      </w:r>
      <w:r>
        <w:t xml:space="preserve"> (</w:t>
      </w:r>
      <w:r>
        <w:rPr>
          <w:rStyle w:val="VARIABLE"/>
        </w:rPr>
        <w:t xml:space="preserve">variant_matrix_int</w:t>
      </w:r>
      <w:r>
        <w:t xml:space="preserve">)</w:t>
      </w:r>
    </w:p>
    <w:p w14:paraId="63DF6EDC">
      <w:pPr>
        <w:pStyle w:val="CODE"/>
      </w:pPr>
      <w:r>
        <w:t xml:space="preserve">{"dimensions": [2, 2], "value": [1, 2, 3, 4], "vtype": {"id": 6}}</w:t>
      </w:r>
    </w:p>
    <w:p w14:paraId="1B5B6E98">
      <w:pPr>
        <w:pStyle w:val="PARAGRAPH"/>
      </w:pPr>
      <w:r>
        <w:rPr>
          <w:b/>
        </w:rPr>
        <w:t xml:space="preserve">Encoded bytes</w:t>
      </w:r>
      <w:r>
        <w:t xml:space="preserve"> (17 bytes)</w:t>
      </w:r>
    </w:p>
    <w:p w14:paraId="02056CB7">
      <w:pPr>
        <w:pStyle w:val="CODE"/>
      </w:pPr>
      <w:r>
        <w:t xml:space="preserve">0c02040404002404040400080204060800</w:t>
      </w:r>
    </w:p>
    <w:p w14:paraId="368F19CF">
      <w:pPr>
        <w:pStyle w:val="PARAGRAPH"/>
      </w:pPr>
      <w:r>
        <w:rPr>
          <w:b/>
        </w:rPr>
        <w:t xml:space="preserve">Annotated byte-level breakdown</w:t>
      </w:r>
      <w:r>
        <w:t xml:space="preserve"> (the body union index below is into the published aggregation schema)</w:t>
      </w:r>
    </w:p>
    <w:p w14:paraId="55098D18">
      <w:pPr>
        <w:pStyle w:val="TABLE-title"/>
        <w:keepNext/>
      </w:pPr>
      <w:bookmarkStart w:id="621" w:name="_Tab_built_in_variant_tab2"/>
      <w:r>
        <w:t xml:space="preserve">Table </w:t>
      </w:r>
      <w:r>
        <w:fldChar w:fldCharType="begin"/>
      </w:r>
      <w:r>
        <w:instrText xml:space="preserve"> SEQ Table \* ARABIC </w:instrText>
      </w:r>
      <w:r>
        <w:fldChar w:fldCharType="separate"/>
      </w:r>
      <w:r>
        <w:rPr>
          <w:noProof/>
        </w:rPr>
        <w:t xml:space="preserve">63</w:t>
      </w:r>
      <w:r>
        <w:fldChar w:fldCharType="end"/>
      </w:r>
      <w:r>
        <w:t xml:space="preserve"> – Built-in Variant (2)</w:t>
      </w:r>
      <w:bookmarkEnd w:id="6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0B2FEDD3">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771AA1EB">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603FD831">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2E95F031">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BBCBA59">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6AC607B5">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75FD60E3">
            <w:pPr>
              <w:pStyle w:val="TableText"/>
            </w:pPr>
            <w:r>
              <w:rPr>
                <w:rStyle w:val="VARIABLE"/>
              </w:rPr>
              <w:t xml:space="preserve">0c</w:t>
            </w:r>
          </w:p>
        </w:tc>
        <w:tc>
          <w:tcPr>
            <w:tcW w:w="2233" w:type="dxa"/>
            <w:tcBorders>
              <w:top w:val="single" w:sz="4" w:space="0" w:color="auto"/>
              <w:left w:val="single" w:sz="4" w:space="0" w:color="auto"/>
              <w:bottom w:val="single" w:sz="4" w:space="0" w:color="auto"/>
              <w:right w:val="single" w:sz="4" w:space="0" w:color="auto"/>
            </w:tcBorders>
          </w:tcPr>
          <w:p w14:paraId="5AFB8987">
            <w:pPr>
              <w:pStyle w:val="TableText"/>
            </w:pPr>
            <w:r>
              <w:t xml:space="preserve">$.builtInType: int = 6</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E36B7B0">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6850522">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78DC17B">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12C41439">
            <w:pPr>
              <w:pStyle w:val="TableText"/>
            </w:pPr>
            <w:r>
              <w:t xml:space="preserve">$.dimensions: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C104039">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11F4017B">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568DAD6">
            <w:pPr>
              <w:pStyle w:val="TableText"/>
            </w:pPr>
            <w:r>
              <w:rPr>
                <w:rStyle w:val="VARIABLE"/>
              </w:rPr>
              <w:t xml:space="preserve">04</w:t>
            </w:r>
          </w:p>
        </w:tc>
        <w:tc>
          <w:tcPr>
            <w:tcW w:w="2233" w:type="dxa"/>
            <w:tcBorders>
              <w:top w:val="single" w:sz="4" w:space="0" w:color="auto"/>
              <w:left w:val="single" w:sz="4" w:space="0" w:color="auto"/>
              <w:bottom w:val="single" w:sz="4" w:space="0" w:color="auto"/>
              <w:right w:val="single" w:sz="4" w:space="0" w:color="auto"/>
            </w:tcBorders>
          </w:tcPr>
          <w:p w14:paraId="1AB443A2">
            <w:pPr>
              <w:pStyle w:val="TableText"/>
            </w:pPr>
            <w:r>
              <w:t xml:space="preserve">$.dimensions: branch 1 (array): array block 0 count = 2</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C0C5D34">
            <w:pPr>
              <w:pStyle w:val="TableText"/>
            </w:pPr>
            <w:r>
              <w:t xml:space="preserve">3</w:t>
            </w:r>
          </w:p>
        </w:tc>
        <w:tc>
          <w:tcPr>
            <w:tcW w:w="2231" w:type="dxa"/>
            <w:tcBorders>
              <w:top w:val="single" w:sz="4" w:space="0" w:color="auto"/>
              <w:left w:val="single" w:sz="4" w:space="0" w:color="auto"/>
              <w:bottom w:val="single" w:sz="4" w:space="0" w:color="auto"/>
              <w:right w:val="single" w:sz="4" w:space="0" w:color="auto"/>
            </w:tcBorders>
          </w:tcPr>
          <w:p w14:paraId="45BEC40E">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8359B20">
            <w:pPr>
              <w:pStyle w:val="TableText"/>
            </w:pPr>
            <w:r>
              <w:rPr>
                <w:rStyle w:val="VARIABLE"/>
              </w:rPr>
              <w:t xml:space="preserve">04</w:t>
            </w:r>
          </w:p>
        </w:tc>
        <w:tc>
          <w:tcPr>
            <w:tcW w:w="2233" w:type="dxa"/>
            <w:tcBorders>
              <w:top w:val="single" w:sz="4" w:space="0" w:color="auto"/>
              <w:left w:val="single" w:sz="4" w:space="0" w:color="auto"/>
              <w:bottom w:val="single" w:sz="4" w:space="0" w:color="auto"/>
              <w:right w:val="single" w:sz="4" w:space="0" w:color="auto"/>
            </w:tcBorders>
          </w:tcPr>
          <w:p w14:paraId="48EDAB42">
            <w:pPr>
              <w:pStyle w:val="TableText"/>
            </w:pPr>
            <w:r>
              <w:t xml:space="preserve">$.dimensions: branch 1 (array)\[0\]: int = 2</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BA1D9E9">
            <w:pPr>
              <w:pStyle w:val="TableText"/>
            </w:pPr>
            <w:r>
              <w:t xml:space="preserve">4</w:t>
            </w:r>
          </w:p>
        </w:tc>
        <w:tc>
          <w:tcPr>
            <w:tcW w:w="2231" w:type="dxa"/>
            <w:tcBorders>
              <w:top w:val="single" w:sz="4" w:space="0" w:color="auto"/>
              <w:left w:val="single" w:sz="4" w:space="0" w:color="auto"/>
              <w:bottom w:val="single" w:sz="4" w:space="0" w:color="auto"/>
              <w:right w:val="single" w:sz="4" w:space="0" w:color="auto"/>
            </w:tcBorders>
          </w:tcPr>
          <w:p w14:paraId="44C9649E">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6877B23">
            <w:pPr>
              <w:pStyle w:val="TableText"/>
            </w:pPr>
            <w:r>
              <w:rPr>
                <w:rStyle w:val="VARIABLE"/>
              </w:rPr>
              <w:t xml:space="preserve">04</w:t>
            </w:r>
          </w:p>
        </w:tc>
        <w:tc>
          <w:tcPr>
            <w:tcW w:w="2233" w:type="dxa"/>
            <w:tcBorders>
              <w:top w:val="single" w:sz="4" w:space="0" w:color="auto"/>
              <w:left w:val="single" w:sz="4" w:space="0" w:color="auto"/>
              <w:bottom w:val="single" w:sz="4" w:space="0" w:color="auto"/>
              <w:right w:val="single" w:sz="4" w:space="0" w:color="auto"/>
            </w:tcBorders>
          </w:tcPr>
          <w:p w14:paraId="0F6B2A9F">
            <w:pPr>
              <w:pStyle w:val="TableText"/>
            </w:pPr>
            <w:r>
              <w:t xml:space="preserve">$.dimensions: branch 1 (array)\[1\]: int = 2</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F461D08">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14:paraId="134B7678">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D7EAF00">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6FC0B72C">
            <w:pPr>
              <w:pStyle w:val="TableText"/>
            </w:pPr>
            <w:r>
              <w:t xml:space="preserve">$.dimensions: branch 1 (array): array block 1 count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9074F6B">
            <w:pPr>
              <w:pStyle w:val="TableText"/>
            </w:pPr>
            <w:r>
              <w:t xml:space="preserve">6</w:t>
            </w:r>
          </w:p>
        </w:tc>
        <w:tc>
          <w:tcPr>
            <w:tcW w:w="2231" w:type="dxa"/>
            <w:tcBorders>
              <w:top w:val="single" w:sz="4" w:space="0" w:color="auto"/>
              <w:left w:val="single" w:sz="4" w:space="0" w:color="auto"/>
              <w:bottom w:val="single" w:sz="4" w:space="0" w:color="auto"/>
              <w:right w:val="single" w:sz="4" w:space="0" w:color="auto"/>
            </w:tcBorders>
          </w:tcPr>
          <w:p w14:paraId="5B14D93E">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3831C493">
            <w:pPr>
              <w:pStyle w:val="TableText"/>
            </w:pPr>
            <w:r>
              <w:rPr>
                <w:rStyle w:val="VARIABLE"/>
              </w:rPr>
              <w:t xml:space="preserve">24</w:t>
            </w:r>
          </w:p>
        </w:tc>
        <w:tc>
          <w:tcPr>
            <w:tcW w:w="2233" w:type="dxa"/>
            <w:tcBorders>
              <w:top w:val="single" w:sz="4" w:space="0" w:color="auto"/>
              <w:left w:val="single" w:sz="4" w:space="0" w:color="auto"/>
              <w:bottom w:val="single" w:sz="4" w:space="0" w:color="auto"/>
              <w:right w:val="single" w:sz="4" w:space="0" w:color="auto"/>
            </w:tcBorders>
          </w:tcPr>
          <w:p w14:paraId="0CCA4D75">
            <w:pPr>
              <w:pStyle w:val="TableText"/>
            </w:pPr>
            <w:r>
              <w:t xml:space="preserve">$.body: union branch index = 18</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2D12DCF">
            <w:pPr>
              <w:pStyle w:val="TableText"/>
            </w:pPr>
            <w:r>
              <w:t xml:space="preserve">7</w:t>
            </w:r>
          </w:p>
        </w:tc>
        <w:tc>
          <w:tcPr>
            <w:tcW w:w="2231" w:type="dxa"/>
            <w:tcBorders>
              <w:top w:val="single" w:sz="4" w:space="0" w:color="auto"/>
              <w:left w:val="single" w:sz="4" w:space="0" w:color="auto"/>
              <w:bottom w:val="single" w:sz="4" w:space="0" w:color="auto"/>
              <w:right w:val="single" w:sz="4" w:space="0" w:color="auto"/>
            </w:tcBorders>
          </w:tcPr>
          <w:p w14:paraId="4B134E40">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B4BEFDE">
            <w:pPr>
              <w:pStyle w:val="TableText"/>
            </w:pPr>
            <w:r>
              <w:rPr>
                <w:rStyle w:val="VARIABLE"/>
              </w:rPr>
              <w:t xml:space="preserve">04</w:t>
            </w:r>
          </w:p>
        </w:tc>
        <w:tc>
          <w:tcPr>
            <w:tcW w:w="2233" w:type="dxa"/>
            <w:tcBorders>
              <w:top w:val="single" w:sz="4" w:space="0" w:color="auto"/>
              <w:left w:val="single" w:sz="4" w:space="0" w:color="auto"/>
              <w:bottom w:val="single" w:sz="4" w:space="0" w:color="auto"/>
              <w:right w:val="single" w:sz="4" w:space="0" w:color="auto"/>
            </w:tcBorders>
          </w:tcPr>
          <w:p w14:paraId="4F881200">
            <w:pPr>
              <w:pStyle w:val="TableText"/>
            </w:pPr>
            <w:r>
              <w:t xml:space="preserve">$.body: branch 18 (org.opcfoundation.ua.avro.VariantInt32MatrixBody).matrix.dimensions: array block 0 count = 2</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8E740D9">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061BD0FF">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2CD8BC8">
            <w:pPr>
              <w:pStyle w:val="TableText"/>
            </w:pPr>
            <w:r>
              <w:rPr>
                <w:rStyle w:val="VARIABLE"/>
              </w:rPr>
              <w:t xml:space="preserve">04</w:t>
            </w:r>
          </w:p>
        </w:tc>
        <w:tc>
          <w:tcPr>
            <w:tcW w:w="2233" w:type="dxa"/>
            <w:tcBorders>
              <w:top w:val="single" w:sz="4" w:space="0" w:color="auto"/>
              <w:left w:val="single" w:sz="4" w:space="0" w:color="auto"/>
              <w:bottom w:val="single" w:sz="4" w:space="0" w:color="auto"/>
              <w:right w:val="single" w:sz="4" w:space="0" w:color="auto"/>
            </w:tcBorders>
          </w:tcPr>
          <w:p w14:paraId="6D77F8B6">
            <w:pPr>
              <w:pStyle w:val="TableText"/>
            </w:pPr>
            <w:r>
              <w:t xml:space="preserve">$.body: branch 18 (org.opcfoundation.ua.avro.VariantInt32MatrixBody).matrix.dimensions\[0\]: int = 2</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66CBAC6">
            <w:pPr>
              <w:pStyle w:val="TableText"/>
            </w:pPr>
            <w:r>
              <w:t xml:space="preserve">9</w:t>
            </w:r>
          </w:p>
        </w:tc>
        <w:tc>
          <w:tcPr>
            <w:tcW w:w="2231" w:type="dxa"/>
            <w:tcBorders>
              <w:top w:val="single" w:sz="4" w:space="0" w:color="auto"/>
              <w:left w:val="single" w:sz="4" w:space="0" w:color="auto"/>
              <w:bottom w:val="single" w:sz="4" w:space="0" w:color="auto"/>
              <w:right w:val="single" w:sz="4" w:space="0" w:color="auto"/>
            </w:tcBorders>
          </w:tcPr>
          <w:p w14:paraId="172EB281">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50BC1C6">
            <w:pPr>
              <w:pStyle w:val="TableText"/>
            </w:pPr>
            <w:r>
              <w:rPr>
                <w:rStyle w:val="VARIABLE"/>
              </w:rPr>
              <w:t xml:space="preserve">04</w:t>
            </w:r>
          </w:p>
        </w:tc>
        <w:tc>
          <w:tcPr>
            <w:tcW w:w="2233" w:type="dxa"/>
            <w:tcBorders>
              <w:top w:val="single" w:sz="4" w:space="0" w:color="auto"/>
              <w:left w:val="single" w:sz="4" w:space="0" w:color="auto"/>
              <w:bottom w:val="single" w:sz="4" w:space="0" w:color="auto"/>
              <w:right w:val="single" w:sz="4" w:space="0" w:color="auto"/>
            </w:tcBorders>
          </w:tcPr>
          <w:p w14:paraId="4B07B833">
            <w:pPr>
              <w:pStyle w:val="TableText"/>
            </w:pPr>
            <w:r>
              <w:t xml:space="preserve">$.body: branch 18 (org.opcfoundation.ua.avro.VariantInt32MatrixBody).matrix.dimensions\[1\]: int = 2</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DF82A09">
            <w:pPr>
              <w:pStyle w:val="TableText"/>
            </w:pPr>
            <w:r>
              <w:t xml:space="preserve">10</w:t>
            </w:r>
          </w:p>
        </w:tc>
        <w:tc>
          <w:tcPr>
            <w:tcW w:w="2231" w:type="dxa"/>
            <w:tcBorders>
              <w:top w:val="single" w:sz="4" w:space="0" w:color="auto"/>
              <w:left w:val="single" w:sz="4" w:space="0" w:color="auto"/>
              <w:bottom w:val="single" w:sz="4" w:space="0" w:color="auto"/>
              <w:right w:val="single" w:sz="4" w:space="0" w:color="auto"/>
            </w:tcBorders>
          </w:tcPr>
          <w:p w14:paraId="29D46F26">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50D46C2">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5574BFF1">
            <w:pPr>
              <w:pStyle w:val="TableText"/>
            </w:pPr>
            <w:r>
              <w:t xml:space="preserve">$.body: branch 18 (org.opcfoundation.ua.avro.VariantInt32MatrixBody).matrix.dimensions: array block 1 count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D84B2E7">
            <w:pPr>
              <w:pStyle w:val="TableText"/>
            </w:pPr>
            <w:r>
              <w:t xml:space="preserve">11</w:t>
            </w:r>
          </w:p>
        </w:tc>
        <w:tc>
          <w:tcPr>
            <w:tcW w:w="2231" w:type="dxa"/>
            <w:tcBorders>
              <w:top w:val="single" w:sz="4" w:space="0" w:color="auto"/>
              <w:left w:val="single" w:sz="4" w:space="0" w:color="auto"/>
              <w:bottom w:val="single" w:sz="4" w:space="0" w:color="auto"/>
              <w:right w:val="single" w:sz="4" w:space="0" w:color="auto"/>
            </w:tcBorders>
          </w:tcPr>
          <w:p w14:paraId="50FF137E">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14BCE11">
            <w:pPr>
              <w:pStyle w:val="TableText"/>
            </w:pPr>
            <w:r>
              <w:rPr>
                <w:rStyle w:val="VARIABLE"/>
              </w:rPr>
              <w:t xml:space="preserve">08</w:t>
            </w:r>
          </w:p>
        </w:tc>
        <w:tc>
          <w:tcPr>
            <w:tcW w:w="2233" w:type="dxa"/>
            <w:tcBorders>
              <w:top w:val="single" w:sz="4" w:space="0" w:color="auto"/>
              <w:left w:val="single" w:sz="4" w:space="0" w:color="auto"/>
              <w:bottom w:val="single" w:sz="4" w:space="0" w:color="auto"/>
              <w:right w:val="single" w:sz="4" w:space="0" w:color="auto"/>
            </w:tcBorders>
          </w:tcPr>
          <w:p w14:paraId="45FD0B03">
            <w:pPr>
              <w:pStyle w:val="TableText"/>
            </w:pPr>
            <w:r>
              <w:t xml:space="preserve">$.body: branch 18 (org.opcfoundation.ua.avro.VariantInt32MatrixBody).matrix.values: array block 0 count = 4</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8CEF8CA">
            <w:pPr>
              <w:pStyle w:val="TableText"/>
            </w:pPr>
            <w:r>
              <w:t xml:space="preserve">12</w:t>
            </w:r>
          </w:p>
        </w:tc>
        <w:tc>
          <w:tcPr>
            <w:tcW w:w="2231" w:type="dxa"/>
            <w:tcBorders>
              <w:top w:val="single" w:sz="4" w:space="0" w:color="auto"/>
              <w:left w:val="single" w:sz="4" w:space="0" w:color="auto"/>
              <w:bottom w:val="single" w:sz="4" w:space="0" w:color="auto"/>
              <w:right w:val="single" w:sz="4" w:space="0" w:color="auto"/>
            </w:tcBorders>
          </w:tcPr>
          <w:p w14:paraId="222BE45D">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2A172402">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3FA39673">
            <w:pPr>
              <w:pStyle w:val="TableText"/>
            </w:pPr>
            <w:r>
              <w:t xml:space="preserve">$.body: branch 18 (org.opcfoundation.ua.avro.VariantInt32MatrixBody).matrix.values\[0\]: int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65B8124">
            <w:pPr>
              <w:pStyle w:val="TableText"/>
            </w:pPr>
            <w:r>
              <w:t xml:space="preserve">13</w:t>
            </w:r>
          </w:p>
        </w:tc>
        <w:tc>
          <w:tcPr>
            <w:tcW w:w="2231" w:type="dxa"/>
            <w:tcBorders>
              <w:top w:val="single" w:sz="4" w:space="0" w:color="auto"/>
              <w:left w:val="single" w:sz="4" w:space="0" w:color="auto"/>
              <w:bottom w:val="single" w:sz="4" w:space="0" w:color="auto"/>
              <w:right w:val="single" w:sz="4" w:space="0" w:color="auto"/>
            </w:tcBorders>
          </w:tcPr>
          <w:p w14:paraId="6B61D72C">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6516EFA">
            <w:pPr>
              <w:pStyle w:val="TableText"/>
            </w:pPr>
            <w:r>
              <w:rPr>
                <w:rStyle w:val="VARIABLE"/>
              </w:rPr>
              <w:t xml:space="preserve">04</w:t>
            </w:r>
          </w:p>
        </w:tc>
        <w:tc>
          <w:tcPr>
            <w:tcW w:w="2233" w:type="dxa"/>
            <w:tcBorders>
              <w:top w:val="single" w:sz="4" w:space="0" w:color="auto"/>
              <w:left w:val="single" w:sz="4" w:space="0" w:color="auto"/>
              <w:bottom w:val="single" w:sz="4" w:space="0" w:color="auto"/>
              <w:right w:val="single" w:sz="4" w:space="0" w:color="auto"/>
            </w:tcBorders>
          </w:tcPr>
          <w:p w14:paraId="406D21EC">
            <w:pPr>
              <w:pStyle w:val="TableText"/>
            </w:pPr>
            <w:r>
              <w:t xml:space="preserve">$.body: branch 18 (org.opcfoundation.ua.avro.VariantInt32MatrixBody).matrix.values\[1\]: int = 2</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FEFC785">
            <w:pPr>
              <w:pStyle w:val="TableText"/>
            </w:pPr>
            <w:r>
              <w:t xml:space="preserve">14</w:t>
            </w:r>
          </w:p>
        </w:tc>
        <w:tc>
          <w:tcPr>
            <w:tcW w:w="2231" w:type="dxa"/>
            <w:tcBorders>
              <w:top w:val="single" w:sz="4" w:space="0" w:color="auto"/>
              <w:left w:val="single" w:sz="4" w:space="0" w:color="auto"/>
              <w:bottom w:val="single" w:sz="4" w:space="0" w:color="auto"/>
              <w:right w:val="single" w:sz="4" w:space="0" w:color="auto"/>
            </w:tcBorders>
          </w:tcPr>
          <w:p w14:paraId="5ECE9C5E">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3D82081">
            <w:pPr>
              <w:pStyle w:val="TableText"/>
            </w:pPr>
            <w:r>
              <w:rPr>
                <w:rStyle w:val="VARIABLE"/>
              </w:rPr>
              <w:t xml:space="preserve">06</w:t>
            </w:r>
          </w:p>
        </w:tc>
        <w:tc>
          <w:tcPr>
            <w:tcW w:w="2233" w:type="dxa"/>
            <w:tcBorders>
              <w:top w:val="single" w:sz="4" w:space="0" w:color="auto"/>
              <w:left w:val="single" w:sz="4" w:space="0" w:color="auto"/>
              <w:bottom w:val="single" w:sz="4" w:space="0" w:color="auto"/>
              <w:right w:val="single" w:sz="4" w:space="0" w:color="auto"/>
            </w:tcBorders>
          </w:tcPr>
          <w:p w14:paraId="4BDF0DE4">
            <w:pPr>
              <w:pStyle w:val="TableText"/>
            </w:pPr>
            <w:r>
              <w:t xml:space="preserve">$.body: branch 18 (org.opcfoundation.ua.avro.VariantInt32MatrixBody).matrix.values\[2\]: int = 3</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299E022">
            <w:pPr>
              <w:pStyle w:val="TableText"/>
            </w:pPr>
            <w:r>
              <w:t xml:space="preserve">15</w:t>
            </w:r>
          </w:p>
        </w:tc>
        <w:tc>
          <w:tcPr>
            <w:tcW w:w="2231" w:type="dxa"/>
            <w:tcBorders>
              <w:top w:val="single" w:sz="4" w:space="0" w:color="auto"/>
              <w:left w:val="single" w:sz="4" w:space="0" w:color="auto"/>
              <w:bottom w:val="single" w:sz="4" w:space="0" w:color="auto"/>
              <w:right w:val="single" w:sz="4" w:space="0" w:color="auto"/>
            </w:tcBorders>
          </w:tcPr>
          <w:p w14:paraId="21B21BAE">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35178BC7">
            <w:pPr>
              <w:pStyle w:val="TableText"/>
            </w:pPr>
            <w:r>
              <w:rPr>
                <w:rStyle w:val="VARIABLE"/>
              </w:rPr>
              <w:t xml:space="preserve">08</w:t>
            </w:r>
          </w:p>
        </w:tc>
        <w:tc>
          <w:tcPr>
            <w:tcW w:w="2233" w:type="dxa"/>
            <w:tcBorders>
              <w:top w:val="single" w:sz="4" w:space="0" w:color="auto"/>
              <w:left w:val="single" w:sz="4" w:space="0" w:color="auto"/>
              <w:bottom w:val="single" w:sz="4" w:space="0" w:color="auto"/>
              <w:right w:val="single" w:sz="4" w:space="0" w:color="auto"/>
            </w:tcBorders>
          </w:tcPr>
          <w:p w14:paraId="276D2980">
            <w:pPr>
              <w:pStyle w:val="TableText"/>
            </w:pPr>
            <w:r>
              <w:t xml:space="preserve">$.body: branch 18 (org.opcfoundation.ua.avro.VariantInt32MatrixBody).matrix.values\[3\]: int = 4</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132F51C">
            <w:pPr>
              <w:pStyle w:val="TableText"/>
            </w:pPr>
            <w:r>
              <w:t xml:space="preserve">16</w:t>
            </w:r>
          </w:p>
        </w:tc>
        <w:tc>
          <w:tcPr>
            <w:tcW w:w="2231" w:type="dxa"/>
            <w:tcBorders>
              <w:top w:val="single" w:sz="4" w:space="0" w:color="auto"/>
              <w:left w:val="single" w:sz="4" w:space="0" w:color="auto"/>
              <w:bottom w:val="single" w:sz="4" w:space="0" w:color="auto"/>
              <w:right w:val="single" w:sz="4" w:space="0" w:color="auto"/>
            </w:tcBorders>
          </w:tcPr>
          <w:p w14:paraId="44130AB8">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647A90A">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1AE32979">
            <w:pPr>
              <w:pStyle w:val="TableText"/>
            </w:pPr>
            <w:r>
              <w:t xml:space="preserve">$.body: branch 18 (org.opcfoundation.ua.avro.VariantInt32MatrixBody).matrix.values: array block 1 count = 0</w:t>
            </w:r>
          </w:p>
        </w:tc>
      </w:tr>
    </w:tbl>
    <w:p w14:paraId="00BACDC2">
      <w:pPr>
        <w:pStyle w:val="spacer"/>
      </w:pPr>
    </w:p>
    <w:p w14:paraId="2B871EAB">
      <w:pPr>
        <w:pStyle w:val="ANNEX-heading2"/>
      </w:pPr>
      <w:bookmarkStart w:id="622" w:name="_Clause_cA_2_25"/>
      <w:r>
        <w:t xml:space="preserve">Built-in DiagnosticInfo</w:t>
      </w:r>
      <w:bookmarkEnd w:id="622"/>
    </w:p>
    <w:p w14:paraId="0DFF4ECD">
      <w:pPr>
        <w:pStyle w:val="PARAGRAPH"/>
      </w:pPr>
      <w:r>
        <w:rPr>
          <w:b/>
        </w:rPr>
        <w:t xml:space="preserve">SchemaId</w:t>
      </w:r>
      <w:r>
        <w:t xml:space="preserve"> </w:t>
      </w:r>
      <w:r>
        <w:rPr>
          <w:rStyle w:val="VARIABLE"/>
        </w:rPr>
        <w:t xml:space="preserve">1f23716837bba69d</w:t>
      </w:r>
    </w:p>
    <w:p w14:paraId="7B3EBB3E">
      <w:pPr>
        <w:pStyle w:val="TABLE-title"/>
        <w:keepNext/>
      </w:pPr>
      <w:bookmarkStart w:id="623" w:name="_Tab_built_in_diagnosticinfo_tab1"/>
      <w:r>
        <w:t xml:space="preserve">Table </w:t>
      </w:r>
      <w:r>
        <w:fldChar w:fldCharType="begin"/>
      </w:r>
      <w:r>
        <w:instrText xml:space="preserve"> SEQ Table \* ARABIC </w:instrText>
      </w:r>
      <w:r>
        <w:fldChar w:fldCharType="separate"/>
      </w:r>
      <w:r>
        <w:rPr>
          <w:noProof/>
        </w:rPr>
        <w:t xml:space="preserve">64</w:t>
      </w:r>
      <w:r>
        <w:fldChar w:fldCharType="end"/>
      </w:r>
      <w:r>
        <w:t xml:space="preserve"> – Built-in DiagnosticInfo</w:t>
      </w:r>
      <w:bookmarkEnd w:id="6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1EB8A172">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074606A6">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59C823E7">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66AEF69F">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7FA35A5">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7D6C1288">
            <w:pPr>
              <w:pStyle w:val="TableText"/>
            </w:pPr>
            <w:r>
              <w:rPr>
                <w:rStyle w:val="VARIABLE"/>
              </w:rPr>
              <w:t xml:space="preserve">{"fields": [{"default": null, "name": "symbolicId", "type": ["null", "int"]}, {"default": null, "name": "namespaceUri", "type": ["null", "int"]}, {"default": null, "name": "locale", "type": ["null", "int"]}, {"default": null, "name": "localizedText", "type": ["null", "int"]}, {"default": null, "name": "additionalInfo", "type": ["null", "string"]}, {"default": null, "name": "innerStatusCode", "type": ["null", "int"]}, {"default": null, "name": "innerDiagnosticInfo", "type": ["null", "DiagnosticInfo"]}], "name": "DiagnosticInfo",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4765A8BD">
            <w:pPr>
              <w:pStyle w:val="TableText"/>
            </w:pPr>
            <w:r>
              <w:t xml:space="preserve">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1C723DE">
            <w:pPr>
              <w:pStyle w:val="TableText"/>
            </w:pPr>
            <w:r>
              <w:t xml:space="preserve">OPC UA BuiltInType 25.</w:t>
            </w:r>
          </w:p>
        </w:tc>
      </w:tr>
    </w:tbl>
    <w:p w14:paraId="76E02F14">
      <w:pPr>
        <w:pStyle w:val="spacer"/>
      </w:pPr>
    </w:p>
    <w:p w14:paraId="1638F537">
      <w:pPr>
        <w:pStyle w:val="PARAGRAPH"/>
      </w:pPr>
      <w:r>
        <w:rPr>
          <w:b/>
        </w:rPr>
        <w:t xml:space="preserve">Avro schema fragment</w:t>
      </w:r>
    </w:p>
    <w:p w14:paraId="3D66B37D">
      <w:pPr>
        <w:pStyle w:val="CODE"/>
      </w:pPr>
      <w:r>
        <w:t xml:space="preserve">{</w:t>
      </w:r>
    </w:p>
    <w:p w14:paraId="71FC4BB4">
      <w:pPr>
        <w:pStyle w:val="CODE"/>
      </w:pPr>
      <w:r>
        <w:t xml:space="preserve">  "fields": [</w:t>
      </w:r>
    </w:p>
    <w:p w14:paraId="30810197">
      <w:pPr>
        <w:pStyle w:val="CODE"/>
      </w:pPr>
      <w:r>
        <w:t xml:space="preserve">    {</w:t>
      </w:r>
    </w:p>
    <w:p w14:paraId="0590F393">
      <w:pPr>
        <w:pStyle w:val="CODE"/>
      </w:pPr>
      <w:r>
        <w:t xml:space="preserve">      "default": null,</w:t>
      </w:r>
    </w:p>
    <w:p w14:paraId="489A5AF5">
      <w:pPr>
        <w:pStyle w:val="CODE"/>
      </w:pPr>
      <w:r>
        <w:t xml:space="preserve">      "name": "symbolicId",</w:t>
      </w:r>
    </w:p>
    <w:p w14:paraId="6E1CAB25">
      <w:pPr>
        <w:pStyle w:val="CODE"/>
      </w:pPr>
      <w:r>
        <w:t xml:space="preserve">      "type": [</w:t>
      </w:r>
    </w:p>
    <w:p w14:paraId="4D7FCF45">
      <w:pPr>
        <w:pStyle w:val="CODE"/>
      </w:pPr>
      <w:r>
        <w:t xml:space="preserve">        "null",</w:t>
      </w:r>
    </w:p>
    <w:p w14:paraId="2A2F8D78">
      <w:pPr>
        <w:pStyle w:val="CODE"/>
      </w:pPr>
      <w:r>
        <w:t xml:space="preserve">        "int"</w:t>
      </w:r>
    </w:p>
    <w:p w14:paraId="2DAB2CEC">
      <w:pPr>
        <w:pStyle w:val="CODE"/>
      </w:pPr>
      <w:r>
        <w:t xml:space="preserve">      ]</w:t>
      </w:r>
    </w:p>
    <w:p w14:paraId="3A491A3F">
      <w:pPr>
        <w:pStyle w:val="CODE"/>
      </w:pPr>
      <w:r>
        <w:t xml:space="preserve">    },</w:t>
      </w:r>
    </w:p>
    <w:p w14:paraId="28A8539B">
      <w:pPr>
        <w:pStyle w:val="CODE"/>
      </w:pPr>
      <w:r>
        <w:t xml:space="preserve">    {</w:t>
      </w:r>
    </w:p>
    <w:p w14:paraId="0E20254A">
      <w:pPr>
        <w:pStyle w:val="CODE"/>
      </w:pPr>
      <w:r>
        <w:t xml:space="preserve">      "default": null,</w:t>
      </w:r>
    </w:p>
    <w:p w14:paraId="3D4BDCDD">
      <w:pPr>
        <w:pStyle w:val="CODE"/>
      </w:pPr>
      <w:r>
        <w:t xml:space="preserve">      "name": "namespaceUri",</w:t>
      </w:r>
    </w:p>
    <w:p w14:paraId="3F3C2BC9">
      <w:pPr>
        <w:pStyle w:val="CODE"/>
      </w:pPr>
      <w:r>
        <w:t xml:space="preserve">      "type": [</w:t>
      </w:r>
    </w:p>
    <w:p w14:paraId="42F0053E">
      <w:pPr>
        <w:pStyle w:val="CODE"/>
      </w:pPr>
      <w:r>
        <w:t xml:space="preserve">        "null",</w:t>
      </w:r>
    </w:p>
    <w:p w14:paraId="4455A59E">
      <w:pPr>
        <w:pStyle w:val="CODE"/>
      </w:pPr>
      <w:r>
        <w:t xml:space="preserve">        "int"</w:t>
      </w:r>
    </w:p>
    <w:p w14:paraId="20694626">
      <w:pPr>
        <w:pStyle w:val="CODE"/>
      </w:pPr>
      <w:r>
        <w:t xml:space="preserve">      ]</w:t>
      </w:r>
    </w:p>
    <w:p w14:paraId="3B88AA29">
      <w:pPr>
        <w:pStyle w:val="CODE"/>
      </w:pPr>
      <w:r>
        <w:t xml:space="preserve">    },</w:t>
      </w:r>
    </w:p>
    <w:p w14:paraId="120FECD0">
      <w:pPr>
        <w:pStyle w:val="CODE"/>
      </w:pPr>
      <w:r>
        <w:t xml:space="preserve">    {</w:t>
      </w:r>
    </w:p>
    <w:p w14:paraId="5111CF4E">
      <w:pPr>
        <w:pStyle w:val="CODE"/>
      </w:pPr>
      <w:r>
        <w:t xml:space="preserve">      "default": null,</w:t>
      </w:r>
    </w:p>
    <w:p w14:paraId="0FE88EBF">
      <w:pPr>
        <w:pStyle w:val="CODE"/>
      </w:pPr>
      <w:r>
        <w:t xml:space="preserve">      "name": "locale",</w:t>
      </w:r>
    </w:p>
    <w:p w14:paraId="5036BB51">
      <w:pPr>
        <w:pStyle w:val="CODE"/>
      </w:pPr>
      <w:r>
        <w:t xml:space="preserve">      "type": [</w:t>
      </w:r>
    </w:p>
    <w:p w14:paraId="0B5598AA">
      <w:pPr>
        <w:pStyle w:val="CODE"/>
      </w:pPr>
      <w:r>
        <w:t xml:space="preserve">        "null",</w:t>
      </w:r>
    </w:p>
    <w:p w14:paraId="18053F07">
      <w:pPr>
        <w:pStyle w:val="CODE"/>
      </w:pPr>
      <w:r>
        <w:t xml:space="preserve">        "int"</w:t>
      </w:r>
    </w:p>
    <w:p w14:paraId="1624454D">
      <w:pPr>
        <w:pStyle w:val="CODE"/>
      </w:pPr>
      <w:r>
        <w:t xml:space="preserve">      ]</w:t>
      </w:r>
    </w:p>
    <w:p w14:paraId="4F3CB010">
      <w:pPr>
        <w:pStyle w:val="CODE"/>
      </w:pPr>
      <w:r>
        <w:t xml:space="preserve">    },</w:t>
      </w:r>
    </w:p>
    <w:p w14:paraId="10C92843">
      <w:pPr>
        <w:pStyle w:val="CODE"/>
      </w:pPr>
      <w:r>
        <w:t xml:space="preserve">    {</w:t>
      </w:r>
    </w:p>
    <w:p w14:paraId="16304916">
      <w:pPr>
        <w:pStyle w:val="CODE"/>
      </w:pPr>
      <w:r>
        <w:t xml:space="preserve">      "default": null,</w:t>
      </w:r>
    </w:p>
    <w:p w14:paraId="49B750CF">
      <w:pPr>
        <w:pStyle w:val="CODE"/>
      </w:pPr>
      <w:r>
        <w:t xml:space="preserve">      "name": "localizedText",</w:t>
      </w:r>
    </w:p>
    <w:p w14:paraId="18B53129">
      <w:pPr>
        <w:pStyle w:val="CODE"/>
      </w:pPr>
      <w:r>
        <w:t xml:space="preserve">      "type": [</w:t>
      </w:r>
    </w:p>
    <w:p w14:paraId="26C1D280">
      <w:pPr>
        <w:pStyle w:val="CODE"/>
      </w:pPr>
      <w:r>
        <w:t xml:space="preserve">        "null",</w:t>
      </w:r>
    </w:p>
    <w:p w14:paraId="62671B2D">
      <w:pPr>
        <w:pStyle w:val="CODE"/>
      </w:pPr>
      <w:r>
        <w:t xml:space="preserve">        "int"</w:t>
      </w:r>
    </w:p>
    <w:p w14:paraId="3D13FFB4">
      <w:pPr>
        <w:pStyle w:val="CODE"/>
      </w:pPr>
      <w:r>
        <w:t xml:space="preserve">      ]</w:t>
      </w:r>
    </w:p>
    <w:p w14:paraId="2EA2746F">
      <w:pPr>
        <w:pStyle w:val="CODE"/>
      </w:pPr>
      <w:r>
        <w:t xml:space="preserve">    },</w:t>
      </w:r>
    </w:p>
    <w:p w14:paraId="26ADE03E">
      <w:pPr>
        <w:pStyle w:val="CODE"/>
      </w:pPr>
      <w:r>
        <w:t xml:space="preserve">    {</w:t>
      </w:r>
    </w:p>
    <w:p w14:paraId="6C94EAAA">
      <w:pPr>
        <w:pStyle w:val="CODE"/>
      </w:pPr>
      <w:r>
        <w:t xml:space="preserve">      "default": null,</w:t>
      </w:r>
    </w:p>
    <w:p w14:paraId="523AA6C4">
      <w:pPr>
        <w:pStyle w:val="CODE"/>
      </w:pPr>
      <w:r>
        <w:t xml:space="preserve">      "name": "additionalInfo",</w:t>
      </w:r>
    </w:p>
    <w:p w14:paraId="28BB4292">
      <w:pPr>
        <w:pStyle w:val="CODE"/>
      </w:pPr>
      <w:r>
        <w:t xml:space="preserve">      "type": [</w:t>
      </w:r>
    </w:p>
    <w:p w14:paraId="5F1EE94A">
      <w:pPr>
        <w:pStyle w:val="CODE"/>
      </w:pPr>
      <w:r>
        <w:t xml:space="preserve">        "null",</w:t>
      </w:r>
    </w:p>
    <w:p w14:paraId="4C42268E">
      <w:pPr>
        <w:pStyle w:val="CODE"/>
      </w:pPr>
      <w:r>
        <w:t xml:space="preserve">        "string"</w:t>
      </w:r>
    </w:p>
    <w:p w14:paraId="171DB0FE">
      <w:pPr>
        <w:pStyle w:val="CODE"/>
      </w:pPr>
      <w:r>
        <w:t xml:space="preserve">      ]</w:t>
      </w:r>
    </w:p>
    <w:p w14:paraId="3CC29AF8">
      <w:pPr>
        <w:pStyle w:val="CODE"/>
      </w:pPr>
      <w:r>
        <w:t xml:space="preserve">    },</w:t>
      </w:r>
    </w:p>
    <w:p w14:paraId="116ED8D8">
      <w:pPr>
        <w:pStyle w:val="CODE"/>
      </w:pPr>
      <w:r>
        <w:t xml:space="preserve">    {</w:t>
      </w:r>
    </w:p>
    <w:p w14:paraId="05569363">
      <w:pPr>
        <w:pStyle w:val="CODE"/>
      </w:pPr>
      <w:r>
        <w:t xml:space="preserve">      "default": null,</w:t>
      </w:r>
    </w:p>
    <w:p w14:paraId="42C95E1C">
      <w:pPr>
        <w:pStyle w:val="CODE"/>
      </w:pPr>
      <w:r>
        <w:t xml:space="preserve">      "name": "innerStatusCode",</w:t>
      </w:r>
    </w:p>
    <w:p w14:paraId="35BCF729">
      <w:pPr>
        <w:pStyle w:val="CODE"/>
      </w:pPr>
      <w:r>
        <w:t xml:space="preserve">      "type": [</w:t>
      </w:r>
    </w:p>
    <w:p w14:paraId="675579FE">
      <w:pPr>
        <w:pStyle w:val="CODE"/>
      </w:pPr>
      <w:r>
        <w:t xml:space="preserve">        "null",</w:t>
      </w:r>
    </w:p>
    <w:p w14:paraId="2C8DFFFC">
      <w:pPr>
        <w:pStyle w:val="CODE"/>
      </w:pPr>
      <w:r>
        <w:t xml:space="preserve">        "int"</w:t>
      </w:r>
    </w:p>
    <w:p w14:paraId="02337E19">
      <w:pPr>
        <w:pStyle w:val="CODE"/>
      </w:pPr>
      <w:r>
        <w:t xml:space="preserve">      ]</w:t>
      </w:r>
    </w:p>
    <w:p w14:paraId="677CCB7C">
      <w:pPr>
        <w:pStyle w:val="CODE"/>
      </w:pPr>
      <w:r>
        <w:t xml:space="preserve">    },</w:t>
      </w:r>
    </w:p>
    <w:p w14:paraId="3BA6C378">
      <w:pPr>
        <w:pStyle w:val="CODE"/>
      </w:pPr>
      <w:r>
        <w:t xml:space="preserve">    {</w:t>
      </w:r>
    </w:p>
    <w:p w14:paraId="3F308CA6">
      <w:pPr>
        <w:pStyle w:val="CODE"/>
      </w:pPr>
      <w:r>
        <w:t xml:space="preserve">      "default": null,</w:t>
      </w:r>
    </w:p>
    <w:p w14:paraId="2793A02C">
      <w:pPr>
        <w:pStyle w:val="CODE"/>
      </w:pPr>
      <w:r>
        <w:t xml:space="preserve">      "name": "innerDiagnosticInfo",</w:t>
      </w:r>
    </w:p>
    <w:p w14:paraId="0FE9B239">
      <w:pPr>
        <w:pStyle w:val="CODE"/>
      </w:pPr>
      <w:r>
        <w:t xml:space="preserve">      "type": [</w:t>
      </w:r>
    </w:p>
    <w:p w14:paraId="417780D8">
      <w:pPr>
        <w:pStyle w:val="CODE"/>
      </w:pPr>
      <w:r>
        <w:t xml:space="preserve">        "null",</w:t>
      </w:r>
    </w:p>
    <w:p w14:paraId="26EFAB9B">
      <w:pPr>
        <w:pStyle w:val="CODE"/>
      </w:pPr>
      <w:r>
        <w:t xml:space="preserve">        "DiagnosticInfo"</w:t>
      </w:r>
    </w:p>
    <w:p w14:paraId="21F89F9F">
      <w:pPr>
        <w:pStyle w:val="CODE"/>
      </w:pPr>
      <w:r>
        <w:t xml:space="preserve">      ]</w:t>
      </w:r>
    </w:p>
    <w:p w14:paraId="268EF345">
      <w:pPr>
        <w:pStyle w:val="CODE"/>
      </w:pPr>
      <w:r>
        <w:t xml:space="preserve">    }</w:t>
      </w:r>
    </w:p>
    <w:p w14:paraId="37AED1DC">
      <w:pPr>
        <w:pStyle w:val="CODE"/>
      </w:pPr>
      <w:r>
        <w:t xml:space="preserve">  ],</w:t>
      </w:r>
    </w:p>
    <w:p w14:paraId="5382DC73">
      <w:pPr>
        <w:pStyle w:val="CODE"/>
      </w:pPr>
      <w:r>
        <w:t xml:space="preserve">  "name": "DiagnosticInfo",</w:t>
      </w:r>
    </w:p>
    <w:p w14:paraId="679F53F7">
      <w:pPr>
        <w:pStyle w:val="CODE"/>
      </w:pPr>
      <w:r>
        <w:t xml:space="preserve">  "namespace": "org.opcfoundation.ua.avro",</w:t>
      </w:r>
    </w:p>
    <w:p w14:paraId="4BF4AEC0">
      <w:pPr>
        <w:pStyle w:val="CODE"/>
      </w:pPr>
      <w:r>
        <w:t xml:space="preserve">  "type": "record"</w:t>
      </w:r>
    </w:p>
    <w:p w14:paraId="29624F05">
      <w:pPr>
        <w:pStyle w:val="CODE"/>
      </w:pPr>
      <w:r>
        <w:t xml:space="preserve">}</w:t>
      </w:r>
    </w:p>
    <w:p w14:paraId="3A74DD60">
      <w:pPr>
        <w:pStyle w:val="PARAGRAPH"/>
      </w:pPr>
      <w:r>
        <w:rPr>
          <w:b/>
        </w:rPr>
        <w:t xml:space="preserve">Example value</w:t>
      </w:r>
      <w:r>
        <w:t xml:space="preserve"> (</w:t>
      </w:r>
      <w:r>
        <w:rPr>
          <w:rStyle w:val="VARIABLE"/>
        </w:rPr>
        <w:t xml:space="preserve">diaginfo_nested</w:t>
      </w:r>
      <w:r>
        <w:t xml:space="preserve">)</w:t>
      </w:r>
    </w:p>
    <w:p w14:paraId="0B8EA70E">
      <w:pPr>
        <w:pStyle w:val="CODE"/>
      </w:pPr>
      <w:r>
        <w:t xml:space="preserve">{"additional_info": "outer", "inner_diagnostic_info": {"additional_info": "inner", "inner_diagnostic_info": null, "inner_status_code": null, "locale": 5, "localized_text": null, "namespace_uri": null, "symbolic_id": null}, "inner_status_code": {"value": 2158755840}, "locale": null, "localized_text": null, "namespace_uri": 2, "symbolic_id": 1}</w:t>
      </w:r>
    </w:p>
    <w:p w14:paraId="063AB37A">
      <w:pPr>
        <w:pStyle w:val="PARAGRAPH"/>
      </w:pPr>
      <w:r>
        <w:rPr>
          <w:b/>
        </w:rPr>
        <w:t xml:space="preserve">Encoded bytes</w:t>
      </w:r>
      <w:r>
        <w:t xml:space="preserve"> (34 bytes)</w:t>
      </w:r>
    </w:p>
    <w:p w14:paraId="283F0081">
      <w:pPr>
        <w:pStyle w:val="CODE"/>
      </w:pPr>
      <w:r>
        <w:t xml:space="preserve">020202040000020a6f7574657202ffff9ff50f020000020a00020a696e6e65720000</w:t>
      </w:r>
    </w:p>
    <w:p w14:paraId="1F9D3106">
      <w:pPr>
        <w:pStyle w:val="PARAGRAPH"/>
      </w:pPr>
      <w:r>
        <w:rPr>
          <w:b/>
        </w:rPr>
        <w:t xml:space="preserve">Annotated byte-level breakdown</w:t>
      </w:r>
    </w:p>
    <w:p w14:paraId="3172643B">
      <w:pPr>
        <w:pStyle w:val="TABLE-title"/>
        <w:keepNext/>
      </w:pPr>
      <w:bookmarkStart w:id="624" w:name="_Tab_built_in_diagnosticinfo_tab2"/>
      <w:r>
        <w:t xml:space="preserve">Table </w:t>
      </w:r>
      <w:r>
        <w:fldChar w:fldCharType="begin"/>
      </w:r>
      <w:r>
        <w:instrText xml:space="preserve"> SEQ Table \* ARABIC </w:instrText>
      </w:r>
      <w:r>
        <w:fldChar w:fldCharType="separate"/>
      </w:r>
      <w:r>
        <w:rPr>
          <w:noProof/>
        </w:rPr>
        <w:t xml:space="preserve">65</w:t>
      </w:r>
      <w:r>
        <w:fldChar w:fldCharType="end"/>
      </w:r>
      <w:r>
        <w:t xml:space="preserve"> – Built-in DiagnosticInfo (2)</w:t>
      </w:r>
      <w:bookmarkEnd w:id="6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974163A">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52DC007F">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0152EF8B">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573CAFEB">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29B5664">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0AFDB2FA">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74E9A1D0">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0531F65E">
            <w:pPr>
              <w:pStyle w:val="TableText"/>
            </w:pPr>
            <w:r>
              <w:t xml:space="preserve">$.symbolicId: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461FF1F">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271C9DAB">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290CB36">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34B6B0FA">
            <w:pPr>
              <w:pStyle w:val="TableText"/>
            </w:pPr>
            <w:r>
              <w:t xml:space="preserve">$.symbolicId: branch 1 (int): int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A4AABF0">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39F79D48">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4EA1CF0">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39BAC3C1">
            <w:pPr>
              <w:pStyle w:val="TableText"/>
            </w:pPr>
            <w:r>
              <w:t xml:space="preserve">$.namespaceUri: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5163CCD">
            <w:pPr>
              <w:pStyle w:val="TableText"/>
            </w:pPr>
            <w:r>
              <w:t xml:space="preserve">3</w:t>
            </w:r>
          </w:p>
        </w:tc>
        <w:tc>
          <w:tcPr>
            <w:tcW w:w="2231" w:type="dxa"/>
            <w:tcBorders>
              <w:top w:val="single" w:sz="4" w:space="0" w:color="auto"/>
              <w:left w:val="single" w:sz="4" w:space="0" w:color="auto"/>
              <w:bottom w:val="single" w:sz="4" w:space="0" w:color="auto"/>
              <w:right w:val="single" w:sz="4" w:space="0" w:color="auto"/>
            </w:tcBorders>
          </w:tcPr>
          <w:p w14:paraId="45D11652">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C424713">
            <w:pPr>
              <w:pStyle w:val="TableText"/>
            </w:pPr>
            <w:r>
              <w:rPr>
                <w:rStyle w:val="VARIABLE"/>
              </w:rPr>
              <w:t xml:space="preserve">04</w:t>
            </w:r>
          </w:p>
        </w:tc>
        <w:tc>
          <w:tcPr>
            <w:tcW w:w="2233" w:type="dxa"/>
            <w:tcBorders>
              <w:top w:val="single" w:sz="4" w:space="0" w:color="auto"/>
              <w:left w:val="single" w:sz="4" w:space="0" w:color="auto"/>
              <w:bottom w:val="single" w:sz="4" w:space="0" w:color="auto"/>
              <w:right w:val="single" w:sz="4" w:space="0" w:color="auto"/>
            </w:tcBorders>
          </w:tcPr>
          <w:p w14:paraId="5B7E0F63">
            <w:pPr>
              <w:pStyle w:val="TableText"/>
            </w:pPr>
            <w:r>
              <w:t xml:space="preserve">$.namespaceUri: branch 1 (int): int = 2</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D753845">
            <w:pPr>
              <w:pStyle w:val="TableText"/>
            </w:pPr>
            <w:r>
              <w:t xml:space="preserve">4</w:t>
            </w:r>
          </w:p>
        </w:tc>
        <w:tc>
          <w:tcPr>
            <w:tcW w:w="2231" w:type="dxa"/>
            <w:tcBorders>
              <w:top w:val="single" w:sz="4" w:space="0" w:color="auto"/>
              <w:left w:val="single" w:sz="4" w:space="0" w:color="auto"/>
              <w:bottom w:val="single" w:sz="4" w:space="0" w:color="auto"/>
              <w:right w:val="single" w:sz="4" w:space="0" w:color="auto"/>
            </w:tcBorders>
          </w:tcPr>
          <w:p w14:paraId="74444422">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3748997E">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0AD53814">
            <w:pPr>
              <w:pStyle w:val="TableText"/>
            </w:pPr>
            <w:r>
              <w:t xml:space="preserve">$.locale: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D609DD5">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14:paraId="53061914">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24951DA2">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19D3ACF3">
            <w:pPr>
              <w:pStyle w:val="TableText"/>
            </w:pPr>
            <w:r>
              <w:t xml:space="preserve">$.locale: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B469B6F">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14:paraId="554E4429">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228ED5D">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6E62B90E">
            <w:pPr>
              <w:pStyle w:val="TableText"/>
            </w:pPr>
            <w:r>
              <w:t xml:space="preserve">$.localizedText: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C7799F9">
            <w:pPr>
              <w:pStyle w:val="TableText"/>
            </w:pPr>
            <w:r>
              <w:t xml:space="preserve">6</w:t>
            </w:r>
          </w:p>
        </w:tc>
        <w:tc>
          <w:tcPr>
            <w:tcW w:w="2231" w:type="dxa"/>
            <w:tcBorders>
              <w:top w:val="single" w:sz="4" w:space="0" w:color="auto"/>
              <w:left w:val="single" w:sz="4" w:space="0" w:color="auto"/>
              <w:bottom w:val="single" w:sz="4" w:space="0" w:color="auto"/>
              <w:right w:val="single" w:sz="4" w:space="0" w:color="auto"/>
            </w:tcBorders>
          </w:tcPr>
          <w:p w14:paraId="1A968BDF">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02EB88BB">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72773319">
            <w:pPr>
              <w:pStyle w:val="TableText"/>
            </w:pPr>
            <w:r>
              <w:t xml:space="preserve">$.localizedText: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ED917B7">
            <w:pPr>
              <w:pStyle w:val="TableText"/>
            </w:pPr>
            <w:r>
              <w:t xml:space="preserve">6</w:t>
            </w:r>
          </w:p>
        </w:tc>
        <w:tc>
          <w:tcPr>
            <w:tcW w:w="2231" w:type="dxa"/>
            <w:tcBorders>
              <w:top w:val="single" w:sz="4" w:space="0" w:color="auto"/>
              <w:left w:val="single" w:sz="4" w:space="0" w:color="auto"/>
              <w:bottom w:val="single" w:sz="4" w:space="0" w:color="auto"/>
              <w:right w:val="single" w:sz="4" w:space="0" w:color="auto"/>
            </w:tcBorders>
          </w:tcPr>
          <w:p w14:paraId="19B8A7D6">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7CBD4A50">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33617306">
            <w:pPr>
              <w:pStyle w:val="TableText"/>
            </w:pPr>
            <w:r>
              <w:t xml:space="preserve">$.additionalInfo: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3F9E503">
            <w:pPr>
              <w:pStyle w:val="TableText"/>
            </w:pPr>
            <w:r>
              <w:t xml:space="preserve">7</w:t>
            </w:r>
          </w:p>
        </w:tc>
        <w:tc>
          <w:tcPr>
            <w:tcW w:w="2231" w:type="dxa"/>
            <w:tcBorders>
              <w:top w:val="single" w:sz="4" w:space="0" w:color="auto"/>
              <w:left w:val="single" w:sz="4" w:space="0" w:color="auto"/>
              <w:bottom w:val="single" w:sz="4" w:space="0" w:color="auto"/>
              <w:right w:val="single" w:sz="4" w:space="0" w:color="auto"/>
            </w:tcBorders>
          </w:tcPr>
          <w:p w14:paraId="791A9170">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C7CBBFA">
            <w:pPr>
              <w:pStyle w:val="TableText"/>
            </w:pPr>
            <w:r>
              <w:rPr>
                <w:rStyle w:val="VARIABLE"/>
              </w:rPr>
              <w:t xml:space="preserve">0a</w:t>
            </w:r>
          </w:p>
        </w:tc>
        <w:tc>
          <w:tcPr>
            <w:tcW w:w="2233" w:type="dxa"/>
            <w:tcBorders>
              <w:top w:val="single" w:sz="4" w:space="0" w:color="auto"/>
              <w:left w:val="single" w:sz="4" w:space="0" w:color="auto"/>
              <w:bottom w:val="single" w:sz="4" w:space="0" w:color="auto"/>
              <w:right w:val="single" w:sz="4" w:space="0" w:color="auto"/>
            </w:tcBorders>
          </w:tcPr>
          <w:p w14:paraId="22144F53">
            <w:pPr>
              <w:pStyle w:val="TableText"/>
            </w:pPr>
            <w:r>
              <w:t xml:space="preserve">$.additionalInfo: branch 1 (string): string length = 5</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9D73559">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41ADAF05">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14:paraId="41C9493B">
            <w:pPr>
              <w:pStyle w:val="TableText"/>
            </w:pPr>
            <w:r>
              <w:rPr>
                <w:rStyle w:val="VARIABLE"/>
              </w:rPr>
              <w:t xml:space="preserve">6f 75 74 65 72</w:t>
            </w:r>
          </w:p>
        </w:tc>
        <w:tc>
          <w:tcPr>
            <w:tcW w:w="2233" w:type="dxa"/>
            <w:tcBorders>
              <w:top w:val="single" w:sz="4" w:space="0" w:color="auto"/>
              <w:left w:val="single" w:sz="4" w:space="0" w:color="auto"/>
              <w:bottom w:val="single" w:sz="4" w:space="0" w:color="auto"/>
              <w:right w:val="single" w:sz="4" w:space="0" w:color="auto"/>
            </w:tcBorders>
          </w:tcPr>
          <w:p w14:paraId="0A47B659">
            <w:pPr>
              <w:pStyle w:val="TableText"/>
            </w:pPr>
            <w:r>
              <w:t xml:space="preserve">$.additionalInfo: branch 1 (string): string data</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5CE34C7">
            <w:pPr>
              <w:pStyle w:val="TableText"/>
            </w:pPr>
            <w:r>
              <w:t xml:space="preserve">13</w:t>
            </w:r>
          </w:p>
        </w:tc>
        <w:tc>
          <w:tcPr>
            <w:tcW w:w="2231" w:type="dxa"/>
            <w:tcBorders>
              <w:top w:val="single" w:sz="4" w:space="0" w:color="auto"/>
              <w:left w:val="single" w:sz="4" w:space="0" w:color="auto"/>
              <w:bottom w:val="single" w:sz="4" w:space="0" w:color="auto"/>
              <w:right w:val="single" w:sz="4" w:space="0" w:color="auto"/>
            </w:tcBorders>
          </w:tcPr>
          <w:p w14:paraId="21FCBC44">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E32C1BC">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3A16D7B9">
            <w:pPr>
              <w:pStyle w:val="TableText"/>
            </w:pPr>
            <w:r>
              <w:t xml:space="preserve">$.innerStatusCode: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1FB2205">
            <w:pPr>
              <w:pStyle w:val="TableText"/>
            </w:pPr>
            <w:r>
              <w:t xml:space="preserve">14</w:t>
            </w:r>
          </w:p>
        </w:tc>
        <w:tc>
          <w:tcPr>
            <w:tcW w:w="2231" w:type="dxa"/>
            <w:tcBorders>
              <w:top w:val="single" w:sz="4" w:space="0" w:color="auto"/>
              <w:left w:val="single" w:sz="4" w:space="0" w:color="auto"/>
              <w:bottom w:val="single" w:sz="4" w:space="0" w:color="auto"/>
              <w:right w:val="single" w:sz="4" w:space="0" w:color="auto"/>
            </w:tcBorders>
          </w:tcPr>
          <w:p w14:paraId="374FBB94">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14:paraId="7729F42B">
            <w:pPr>
              <w:pStyle w:val="TableText"/>
            </w:pPr>
            <w:r>
              <w:rPr>
                <w:rStyle w:val="VARIABLE"/>
              </w:rPr>
              <w:t xml:space="preserve">ff ff 9f f5 0f</w:t>
            </w:r>
          </w:p>
        </w:tc>
        <w:tc>
          <w:tcPr>
            <w:tcW w:w="2233" w:type="dxa"/>
            <w:tcBorders>
              <w:top w:val="single" w:sz="4" w:space="0" w:color="auto"/>
              <w:left w:val="single" w:sz="4" w:space="0" w:color="auto"/>
              <w:bottom w:val="single" w:sz="4" w:space="0" w:color="auto"/>
              <w:right w:val="single" w:sz="4" w:space="0" w:color="auto"/>
            </w:tcBorders>
          </w:tcPr>
          <w:p w14:paraId="1822B958">
            <w:pPr>
              <w:pStyle w:val="TableText"/>
            </w:pPr>
            <w:r>
              <w:t xml:space="preserve">$.innerStatusCode: branch 1 (int): int = -2136211456</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5497B2B">
            <w:pPr>
              <w:pStyle w:val="TableText"/>
            </w:pPr>
            <w:r>
              <w:t xml:space="preserve">19</w:t>
            </w:r>
          </w:p>
        </w:tc>
        <w:tc>
          <w:tcPr>
            <w:tcW w:w="2231" w:type="dxa"/>
            <w:tcBorders>
              <w:top w:val="single" w:sz="4" w:space="0" w:color="auto"/>
              <w:left w:val="single" w:sz="4" w:space="0" w:color="auto"/>
              <w:bottom w:val="single" w:sz="4" w:space="0" w:color="auto"/>
              <w:right w:val="single" w:sz="4" w:space="0" w:color="auto"/>
            </w:tcBorders>
          </w:tcPr>
          <w:p w14:paraId="7F303F40">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4ABFD36">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574AA609">
            <w:pPr>
              <w:pStyle w:val="TableText"/>
            </w:pPr>
            <w:r>
              <w:t xml:space="preserve">$.innerDiagnosticInfo: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D59EA06">
            <w:pPr>
              <w:pStyle w:val="TableText"/>
            </w:pPr>
            <w:r>
              <w:t xml:space="preserve">20</w:t>
            </w:r>
          </w:p>
        </w:tc>
        <w:tc>
          <w:tcPr>
            <w:tcW w:w="2231" w:type="dxa"/>
            <w:tcBorders>
              <w:top w:val="single" w:sz="4" w:space="0" w:color="auto"/>
              <w:left w:val="single" w:sz="4" w:space="0" w:color="auto"/>
              <w:bottom w:val="single" w:sz="4" w:space="0" w:color="auto"/>
              <w:right w:val="single" w:sz="4" w:space="0" w:color="auto"/>
            </w:tcBorders>
          </w:tcPr>
          <w:p w14:paraId="22BA4C19">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4B76341">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712DE1BF">
            <w:pPr>
              <w:pStyle w:val="TableText"/>
            </w:pPr>
            <w:r>
              <w:t xml:space="preserve">$.innerDiagnosticInfo: branch 1 (org.opcfoundation.ua.avro.DiagnosticInfo).symbolicId: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D4CCD64">
            <w:pPr>
              <w:pStyle w:val="TableText"/>
            </w:pPr>
            <w:r>
              <w:t xml:space="preserve">21</w:t>
            </w:r>
          </w:p>
        </w:tc>
        <w:tc>
          <w:tcPr>
            <w:tcW w:w="2231" w:type="dxa"/>
            <w:tcBorders>
              <w:top w:val="single" w:sz="4" w:space="0" w:color="auto"/>
              <w:left w:val="single" w:sz="4" w:space="0" w:color="auto"/>
              <w:bottom w:val="single" w:sz="4" w:space="0" w:color="auto"/>
              <w:right w:val="single" w:sz="4" w:space="0" w:color="auto"/>
            </w:tcBorders>
          </w:tcPr>
          <w:p w14:paraId="162E9857">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3A5B9CBB">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546EA9D2">
            <w:pPr>
              <w:pStyle w:val="TableText"/>
            </w:pPr>
            <w:r>
              <w:t xml:space="preserve">$.innerDiagnosticInfo: branch 1 (org.opcfoundation.ua.avro.DiagnosticInfo).symbolicId: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880848E">
            <w:pPr>
              <w:pStyle w:val="TableText"/>
            </w:pPr>
            <w:r>
              <w:t xml:space="preserve">21</w:t>
            </w:r>
          </w:p>
        </w:tc>
        <w:tc>
          <w:tcPr>
            <w:tcW w:w="2231" w:type="dxa"/>
            <w:tcBorders>
              <w:top w:val="single" w:sz="4" w:space="0" w:color="auto"/>
              <w:left w:val="single" w:sz="4" w:space="0" w:color="auto"/>
              <w:bottom w:val="single" w:sz="4" w:space="0" w:color="auto"/>
              <w:right w:val="single" w:sz="4" w:space="0" w:color="auto"/>
            </w:tcBorders>
          </w:tcPr>
          <w:p w14:paraId="34A5A3BB">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3264A50D">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5E735E67">
            <w:pPr>
              <w:pStyle w:val="TableText"/>
            </w:pPr>
            <w:r>
              <w:t xml:space="preserve">$.innerDiagnosticInfo: branch 1 (org.opcfoundation.ua.avro.DiagnosticInfo).namespaceUri: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C9077AC">
            <w:pPr>
              <w:pStyle w:val="TableText"/>
            </w:pPr>
            <w:r>
              <w:t xml:space="preserve">22</w:t>
            </w:r>
          </w:p>
        </w:tc>
        <w:tc>
          <w:tcPr>
            <w:tcW w:w="2231" w:type="dxa"/>
            <w:tcBorders>
              <w:top w:val="single" w:sz="4" w:space="0" w:color="auto"/>
              <w:left w:val="single" w:sz="4" w:space="0" w:color="auto"/>
              <w:bottom w:val="single" w:sz="4" w:space="0" w:color="auto"/>
              <w:right w:val="single" w:sz="4" w:space="0" w:color="auto"/>
            </w:tcBorders>
          </w:tcPr>
          <w:p w14:paraId="04FE4B32">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068D565E">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657008A5">
            <w:pPr>
              <w:pStyle w:val="TableText"/>
            </w:pPr>
            <w:r>
              <w:t xml:space="preserve">$.innerDiagnosticInfo: branch 1 (org.opcfoundation.ua.avro.DiagnosticInfo).namespaceUri: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768D3A0">
            <w:pPr>
              <w:pStyle w:val="TableText"/>
            </w:pPr>
            <w:r>
              <w:t xml:space="preserve">22</w:t>
            </w:r>
          </w:p>
        </w:tc>
        <w:tc>
          <w:tcPr>
            <w:tcW w:w="2231" w:type="dxa"/>
            <w:tcBorders>
              <w:top w:val="single" w:sz="4" w:space="0" w:color="auto"/>
              <w:left w:val="single" w:sz="4" w:space="0" w:color="auto"/>
              <w:bottom w:val="single" w:sz="4" w:space="0" w:color="auto"/>
              <w:right w:val="single" w:sz="4" w:space="0" w:color="auto"/>
            </w:tcBorders>
          </w:tcPr>
          <w:p w14:paraId="368CEA3C">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28600BE">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747C0093">
            <w:pPr>
              <w:pStyle w:val="TableText"/>
            </w:pPr>
            <w:r>
              <w:t xml:space="preserve">$.innerDiagnosticInfo: branch 1 (org.opcfoundation.ua.avro.DiagnosticInfo).locale: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712CBA6">
            <w:pPr>
              <w:pStyle w:val="TableText"/>
            </w:pPr>
            <w:r>
              <w:t xml:space="preserve">23</w:t>
            </w:r>
          </w:p>
        </w:tc>
        <w:tc>
          <w:tcPr>
            <w:tcW w:w="2231" w:type="dxa"/>
            <w:tcBorders>
              <w:top w:val="single" w:sz="4" w:space="0" w:color="auto"/>
              <w:left w:val="single" w:sz="4" w:space="0" w:color="auto"/>
              <w:bottom w:val="single" w:sz="4" w:space="0" w:color="auto"/>
              <w:right w:val="single" w:sz="4" w:space="0" w:color="auto"/>
            </w:tcBorders>
          </w:tcPr>
          <w:p w14:paraId="6E9F8C88">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2830EFFF">
            <w:pPr>
              <w:pStyle w:val="TableText"/>
            </w:pPr>
            <w:r>
              <w:rPr>
                <w:rStyle w:val="VARIABLE"/>
              </w:rPr>
              <w:t xml:space="preserve">0a</w:t>
            </w:r>
          </w:p>
        </w:tc>
        <w:tc>
          <w:tcPr>
            <w:tcW w:w="2233" w:type="dxa"/>
            <w:tcBorders>
              <w:top w:val="single" w:sz="4" w:space="0" w:color="auto"/>
              <w:left w:val="single" w:sz="4" w:space="0" w:color="auto"/>
              <w:bottom w:val="single" w:sz="4" w:space="0" w:color="auto"/>
              <w:right w:val="single" w:sz="4" w:space="0" w:color="auto"/>
            </w:tcBorders>
          </w:tcPr>
          <w:p w14:paraId="574A3CFE">
            <w:pPr>
              <w:pStyle w:val="TableText"/>
            </w:pPr>
            <w:r>
              <w:t xml:space="preserve">$.innerDiagnosticInfo: branch 1 (org.opcfoundation.ua.avro.DiagnosticInfo).locale: branch 1 (int): int = 5</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D3F7F66">
            <w:pPr>
              <w:pStyle w:val="TableText"/>
            </w:pPr>
            <w:r>
              <w:t xml:space="preserve">24</w:t>
            </w:r>
          </w:p>
        </w:tc>
        <w:tc>
          <w:tcPr>
            <w:tcW w:w="2231" w:type="dxa"/>
            <w:tcBorders>
              <w:top w:val="single" w:sz="4" w:space="0" w:color="auto"/>
              <w:left w:val="single" w:sz="4" w:space="0" w:color="auto"/>
              <w:bottom w:val="single" w:sz="4" w:space="0" w:color="auto"/>
              <w:right w:val="single" w:sz="4" w:space="0" w:color="auto"/>
            </w:tcBorders>
          </w:tcPr>
          <w:p w14:paraId="0228EEB6">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376A370">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52E83D66">
            <w:pPr>
              <w:pStyle w:val="TableText"/>
            </w:pPr>
            <w:r>
              <w:t xml:space="preserve">$.innerDiagnosticInfo: branch 1 (org.opcfoundation.ua.avro.DiagnosticInfo).localizedText: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EBEA44B">
            <w:pPr>
              <w:pStyle w:val="TableText"/>
            </w:pPr>
            <w:r>
              <w:t xml:space="preserve">25</w:t>
            </w:r>
          </w:p>
        </w:tc>
        <w:tc>
          <w:tcPr>
            <w:tcW w:w="2231" w:type="dxa"/>
            <w:tcBorders>
              <w:top w:val="single" w:sz="4" w:space="0" w:color="auto"/>
              <w:left w:val="single" w:sz="4" w:space="0" w:color="auto"/>
              <w:bottom w:val="single" w:sz="4" w:space="0" w:color="auto"/>
              <w:right w:val="single" w:sz="4" w:space="0" w:color="auto"/>
            </w:tcBorders>
          </w:tcPr>
          <w:p w14:paraId="113D41FE">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76A096C8">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0E1B789F">
            <w:pPr>
              <w:pStyle w:val="TableText"/>
            </w:pPr>
            <w:r>
              <w:t xml:space="preserve">$.innerDiagnosticInfo: branch 1 (org.opcfoundation.ua.avro.DiagnosticInfo).localizedText: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4DE5A8B">
            <w:pPr>
              <w:pStyle w:val="TableText"/>
            </w:pPr>
            <w:r>
              <w:t xml:space="preserve">25</w:t>
            </w:r>
          </w:p>
        </w:tc>
        <w:tc>
          <w:tcPr>
            <w:tcW w:w="2231" w:type="dxa"/>
            <w:tcBorders>
              <w:top w:val="single" w:sz="4" w:space="0" w:color="auto"/>
              <w:left w:val="single" w:sz="4" w:space="0" w:color="auto"/>
              <w:bottom w:val="single" w:sz="4" w:space="0" w:color="auto"/>
              <w:right w:val="single" w:sz="4" w:space="0" w:color="auto"/>
            </w:tcBorders>
          </w:tcPr>
          <w:p w14:paraId="1EFA528F">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F98C186">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0B5B4772">
            <w:pPr>
              <w:pStyle w:val="TableText"/>
            </w:pPr>
            <w:r>
              <w:t xml:space="preserve">$.innerDiagnosticInfo: branch 1 (org.opcfoundation.ua.avro.DiagnosticInfo).additionalInfo: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9BC06C4">
            <w:pPr>
              <w:pStyle w:val="TableText"/>
            </w:pPr>
            <w:r>
              <w:t xml:space="preserve">26</w:t>
            </w:r>
          </w:p>
        </w:tc>
        <w:tc>
          <w:tcPr>
            <w:tcW w:w="2231" w:type="dxa"/>
            <w:tcBorders>
              <w:top w:val="single" w:sz="4" w:space="0" w:color="auto"/>
              <w:left w:val="single" w:sz="4" w:space="0" w:color="auto"/>
              <w:bottom w:val="single" w:sz="4" w:space="0" w:color="auto"/>
              <w:right w:val="single" w:sz="4" w:space="0" w:color="auto"/>
            </w:tcBorders>
          </w:tcPr>
          <w:p w14:paraId="057ADDEE">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452AF24">
            <w:pPr>
              <w:pStyle w:val="TableText"/>
            </w:pPr>
            <w:r>
              <w:rPr>
                <w:rStyle w:val="VARIABLE"/>
              </w:rPr>
              <w:t xml:space="preserve">0a</w:t>
            </w:r>
          </w:p>
        </w:tc>
        <w:tc>
          <w:tcPr>
            <w:tcW w:w="2233" w:type="dxa"/>
            <w:tcBorders>
              <w:top w:val="single" w:sz="4" w:space="0" w:color="auto"/>
              <w:left w:val="single" w:sz="4" w:space="0" w:color="auto"/>
              <w:bottom w:val="single" w:sz="4" w:space="0" w:color="auto"/>
              <w:right w:val="single" w:sz="4" w:space="0" w:color="auto"/>
            </w:tcBorders>
          </w:tcPr>
          <w:p w14:paraId="165004F1">
            <w:pPr>
              <w:pStyle w:val="TableText"/>
            </w:pPr>
            <w:r>
              <w:t xml:space="preserve">$.innerDiagnosticInfo: branch 1 (org.opcfoundation.ua.avro.DiagnosticInfo).additionalInfo: branch 1 (string): string length = 5</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801373B">
            <w:pPr>
              <w:pStyle w:val="TableText"/>
            </w:pPr>
            <w:r>
              <w:t xml:space="preserve">27</w:t>
            </w:r>
          </w:p>
        </w:tc>
        <w:tc>
          <w:tcPr>
            <w:tcW w:w="2231" w:type="dxa"/>
            <w:tcBorders>
              <w:top w:val="single" w:sz="4" w:space="0" w:color="auto"/>
              <w:left w:val="single" w:sz="4" w:space="0" w:color="auto"/>
              <w:bottom w:val="single" w:sz="4" w:space="0" w:color="auto"/>
              <w:right w:val="single" w:sz="4" w:space="0" w:color="auto"/>
            </w:tcBorders>
          </w:tcPr>
          <w:p w14:paraId="13DC7CFB">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14:paraId="70CAA9AD">
            <w:pPr>
              <w:pStyle w:val="TableText"/>
            </w:pPr>
            <w:r>
              <w:rPr>
                <w:rStyle w:val="VARIABLE"/>
              </w:rPr>
              <w:t xml:space="preserve">69 6e 6e 65 72</w:t>
            </w:r>
          </w:p>
        </w:tc>
        <w:tc>
          <w:tcPr>
            <w:tcW w:w="2233" w:type="dxa"/>
            <w:tcBorders>
              <w:top w:val="single" w:sz="4" w:space="0" w:color="auto"/>
              <w:left w:val="single" w:sz="4" w:space="0" w:color="auto"/>
              <w:bottom w:val="single" w:sz="4" w:space="0" w:color="auto"/>
              <w:right w:val="single" w:sz="4" w:space="0" w:color="auto"/>
            </w:tcBorders>
          </w:tcPr>
          <w:p w14:paraId="3A9DF188">
            <w:pPr>
              <w:pStyle w:val="TableText"/>
            </w:pPr>
            <w:r>
              <w:t xml:space="preserve">$.innerDiagnosticInfo: branch 1 (org.opcfoundation.ua.avro.DiagnosticInfo).additionalInfo: branch 1 (string): string data</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A6F690C">
            <w:pPr>
              <w:pStyle w:val="TableText"/>
            </w:pPr>
            <w:r>
              <w:t xml:space="preserve">32</w:t>
            </w:r>
          </w:p>
        </w:tc>
        <w:tc>
          <w:tcPr>
            <w:tcW w:w="2231" w:type="dxa"/>
            <w:tcBorders>
              <w:top w:val="single" w:sz="4" w:space="0" w:color="auto"/>
              <w:left w:val="single" w:sz="4" w:space="0" w:color="auto"/>
              <w:bottom w:val="single" w:sz="4" w:space="0" w:color="auto"/>
              <w:right w:val="single" w:sz="4" w:space="0" w:color="auto"/>
            </w:tcBorders>
          </w:tcPr>
          <w:p w14:paraId="05145106">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0E54A67">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31EF6E77">
            <w:pPr>
              <w:pStyle w:val="TableText"/>
            </w:pPr>
            <w:r>
              <w:t xml:space="preserve">$.innerDiagnosticInfo: branch 1 (org.opcfoundation.ua.avro.DiagnosticInfo).innerStatusCode: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C430474">
            <w:pPr>
              <w:pStyle w:val="TableText"/>
            </w:pPr>
            <w:r>
              <w:t xml:space="preserve">33</w:t>
            </w:r>
          </w:p>
        </w:tc>
        <w:tc>
          <w:tcPr>
            <w:tcW w:w="2231" w:type="dxa"/>
            <w:tcBorders>
              <w:top w:val="single" w:sz="4" w:space="0" w:color="auto"/>
              <w:left w:val="single" w:sz="4" w:space="0" w:color="auto"/>
              <w:bottom w:val="single" w:sz="4" w:space="0" w:color="auto"/>
              <w:right w:val="single" w:sz="4" w:space="0" w:color="auto"/>
            </w:tcBorders>
          </w:tcPr>
          <w:p w14:paraId="2FA1B2C6">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31B182BF">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45DAC445">
            <w:pPr>
              <w:pStyle w:val="TableText"/>
            </w:pPr>
            <w:r>
              <w:t xml:space="preserve">$.innerDiagnosticInfo: branch 1 (org.opcfoundation.ua.avro.DiagnosticInfo).innerStatusCode: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66200B2">
            <w:pPr>
              <w:pStyle w:val="TableText"/>
            </w:pPr>
            <w:r>
              <w:t xml:space="preserve">33</w:t>
            </w:r>
          </w:p>
        </w:tc>
        <w:tc>
          <w:tcPr>
            <w:tcW w:w="2231" w:type="dxa"/>
            <w:tcBorders>
              <w:top w:val="single" w:sz="4" w:space="0" w:color="auto"/>
              <w:left w:val="single" w:sz="4" w:space="0" w:color="auto"/>
              <w:bottom w:val="single" w:sz="4" w:space="0" w:color="auto"/>
              <w:right w:val="single" w:sz="4" w:space="0" w:color="auto"/>
            </w:tcBorders>
          </w:tcPr>
          <w:p w14:paraId="6ACBD9CF">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708CACC3">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028AF733">
            <w:pPr>
              <w:pStyle w:val="TableText"/>
            </w:pPr>
            <w:r>
              <w:t xml:space="preserve">$.innerDiagnosticInfo: branch 1 (org.opcfoundation.ua.avro.DiagnosticInfo).innerDiagnosticInfo: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E28C641">
            <w:pPr>
              <w:pStyle w:val="TableText"/>
            </w:pPr>
            <w:r>
              <w:t xml:space="preserve">34</w:t>
            </w:r>
          </w:p>
        </w:tc>
        <w:tc>
          <w:tcPr>
            <w:tcW w:w="2231" w:type="dxa"/>
            <w:tcBorders>
              <w:top w:val="single" w:sz="4" w:space="0" w:color="auto"/>
              <w:left w:val="single" w:sz="4" w:space="0" w:color="auto"/>
              <w:bottom w:val="single" w:sz="4" w:space="0" w:color="auto"/>
              <w:right w:val="single" w:sz="4" w:space="0" w:color="auto"/>
            </w:tcBorders>
          </w:tcPr>
          <w:p w14:paraId="40F49E28">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42FA93F1">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5B1A39D8">
            <w:pPr>
              <w:pStyle w:val="TableText"/>
            </w:pPr>
            <w:r>
              <w:t xml:space="preserve">$.innerDiagnosticInfo: branch 1 (org.opcfoundation.ua.avro.DiagnosticInfo).innerDiagnosticInfo: branch 0 (null): null</w:t>
            </w:r>
          </w:p>
        </w:tc>
      </w:tr>
    </w:tbl>
    <w:p w14:paraId="7EEF882B">
      <w:pPr>
        <w:pStyle w:val="spacer"/>
      </w:pPr>
    </w:p>
    <w:p w14:paraId="452E1263">
      <w:pPr>
        <w:pStyle w:val="ANNEX-heading2"/>
      </w:pPr>
      <w:bookmarkStart w:id="625" w:name="_Clause_cA_2_26"/>
      <w:r>
        <w:t xml:space="preserve">One-dimensional array</w:t>
      </w:r>
      <w:bookmarkEnd w:id="625"/>
    </w:p>
    <w:p w14:paraId="7F81B19F">
      <w:pPr>
        <w:pStyle w:val="PARAGRAPH"/>
      </w:pPr>
      <w:r>
        <w:rPr>
          <w:b/>
        </w:rPr>
        <w:t xml:space="preserve">SchemaId</w:t>
      </w:r>
      <w:r>
        <w:t xml:space="preserve"> </w:t>
      </w:r>
      <w:r>
        <w:rPr>
          <w:rStyle w:val="VARIABLE"/>
        </w:rPr>
        <w:t xml:space="preserve">fe961155c29ee867</w:t>
      </w:r>
    </w:p>
    <w:p w14:paraId="03056DE8">
      <w:pPr>
        <w:pStyle w:val="TABLE-title"/>
        <w:keepNext/>
      </w:pPr>
      <w:bookmarkStart w:id="626" w:name="_Tab_one_dimensional_array_tab1"/>
      <w:r>
        <w:t xml:space="preserve">Table </w:t>
      </w:r>
      <w:r>
        <w:fldChar w:fldCharType="begin"/>
      </w:r>
      <w:r>
        <w:instrText xml:space="preserve"> SEQ Table \* ARABIC </w:instrText>
      </w:r>
      <w:r>
        <w:fldChar w:fldCharType="separate"/>
      </w:r>
      <w:r>
        <w:rPr>
          <w:noProof/>
        </w:rPr>
        <w:t xml:space="preserve">66</w:t>
      </w:r>
      <w:r>
        <w:fldChar w:fldCharType="end"/>
      </w:r>
      <w:r>
        <w:t xml:space="preserve"> – One-dimensional array</w:t>
      </w:r>
      <w:bookmarkEnd w:id="6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57A6FFED">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798F87AB">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71FE4BB4">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4A956650">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A6180E2">
            <w:pPr>
              <w:pStyle w:val="TableText"/>
            </w:pPr>
            <w:r>
              <w:rPr>
                <w:rStyle w:val="VARIABLE"/>
              </w:rPr>
              <w:t xml:space="preserve">array</w:t>
            </w:r>
          </w:p>
        </w:tc>
        <w:tc>
          <w:tcPr>
            <w:tcW w:w="2231" w:type="dxa"/>
            <w:tcBorders>
              <w:top w:val="single" w:sz="4" w:space="0" w:color="auto"/>
              <w:left w:val="single" w:sz="4" w:space="0" w:color="auto"/>
              <w:bottom w:val="single" w:sz="4" w:space="0" w:color="auto"/>
              <w:right w:val="single" w:sz="4" w:space="0" w:color="auto"/>
            </w:tcBorders>
          </w:tcPr>
          <w:p w14:paraId="27774929">
            <w:pPr>
              <w:pStyle w:val="TableText"/>
            </w:pPr>
            <w:r>
              <w:rPr>
                <w:rStyle w:val="VARIABLE"/>
              </w:rPr>
              <w:t xml:space="preserve">["null", {"items": ["null", "string"], "type": "array"}]</w:t>
            </w:r>
          </w:p>
        </w:tc>
        <w:tc>
          <w:tcPr>
            <w:tcW w:w="2231" w:type="dxa"/>
            <w:tcBorders>
              <w:top w:val="single" w:sz="4" w:space="0" w:color="auto"/>
              <w:left w:val="single" w:sz="4" w:space="0" w:color="auto"/>
              <w:bottom w:val="single" w:sz="4" w:space="0" w:color="auto"/>
              <w:right w:val="single" w:sz="4" w:space="0" w:color="auto"/>
            </w:tcBorders>
          </w:tcPr>
          <w:p w14:paraId="591DA652">
            <w:pPr>
              <w:pStyle w:val="TableText"/>
            </w:pPr>
            <w:r>
              <w:t xml:space="preserve">array nullable at top level</w:t>
            </w:r>
          </w:p>
        </w:tc>
        <w:tc>
          <w:tcPr>
            <w:tcW w:w="2233" w:type="dxa"/>
            <w:tcBorders>
              <w:top w:val="single" w:sz="4" w:space="0" w:color="auto"/>
              <w:left w:val="single" w:sz="4" w:space="0" w:color="auto"/>
              <w:bottom w:val="single" w:sz="4" w:space="0" w:color="auto"/>
              <w:right w:val="single" w:sz="4" w:space="0" w:color="auto"/>
            </w:tcBorders>
          </w:tcPr>
          <w:p w14:paraId="775FB19E">
            <w:pPr>
              <w:pStyle w:val="TableText"/>
            </w:pPr>
            <w:r>
              <w:t xml:space="preserve">Array: nullable String elements, preserves null array elements.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A8D7CDC">
            <w:pPr>
              <w:pStyle w:val="TableText"/>
            </w:pPr>
            <w:r>
              <w:rPr>
                <w:rStyle w:val="VARIABLE"/>
              </w:rPr>
              <w:t xml:space="preserve">items</w:t>
            </w:r>
          </w:p>
        </w:tc>
        <w:tc>
          <w:tcPr>
            <w:tcW w:w="2231" w:type="dxa"/>
            <w:tcBorders>
              <w:top w:val="single" w:sz="4" w:space="0" w:color="auto"/>
              <w:left w:val="single" w:sz="4" w:space="0" w:color="auto"/>
              <w:bottom w:val="single" w:sz="4" w:space="0" w:color="auto"/>
              <w:right w:val="single" w:sz="4" w:space="0" w:color="auto"/>
            </w:tcBorders>
          </w:tcPr>
          <w:p w14:paraId="73F90E49">
            <w:pPr>
              <w:pStyle w:val="TableText"/>
            </w:pPr>
            <w:r>
              <w:rPr>
                <w:rStyle w:val="VARIABLE"/>
              </w:rPr>
              <w:t xml:space="preserve">["null", "string"]</w:t>
            </w:r>
          </w:p>
        </w:tc>
        <w:tc>
          <w:tcPr>
            <w:tcW w:w="2231" w:type="dxa"/>
            <w:tcBorders>
              <w:top w:val="single" w:sz="4" w:space="0" w:color="auto"/>
              <w:left w:val="single" w:sz="4" w:space="0" w:color="auto"/>
              <w:bottom w:val="single" w:sz="4" w:space="0" w:color="auto"/>
              <w:right w:val="single" w:sz="4" w:space="0" w:color="auto"/>
            </w:tcBorders>
          </w:tcPr>
          <w:p w14:paraId="44C3075E">
            <w:pPr>
              <w:pStyle w:val="TableText"/>
            </w:pPr>
            <w:r>
              <w:t xml:space="preserve">per element as configured</w:t>
            </w:r>
          </w:p>
        </w:tc>
        <w:tc>
          <w:tcPr>
            <w:tcW w:w="2233" w:type="dxa"/>
            <w:tcBorders>
              <w:top w:val="single" w:sz="4" w:space="0" w:color="auto"/>
              <w:left w:val="single" w:sz="4" w:space="0" w:color="auto"/>
              <w:bottom w:val="single" w:sz="4" w:space="0" w:color="auto"/>
              <w:right w:val="single" w:sz="4" w:space="0" w:color="auto"/>
            </w:tcBorders>
          </w:tcPr>
          <w:p w14:paraId="25BC7BA5">
            <w:pPr>
              <w:pStyle w:val="TableText"/>
            </w:pPr>
            <w:r>
              <w:t xml:space="preserve">Avro array blocks are count-prefixed and zero-terminated.</w:t>
            </w:r>
          </w:p>
        </w:tc>
      </w:tr>
    </w:tbl>
    <w:p w14:paraId="5F46386F">
      <w:pPr>
        <w:pStyle w:val="spacer"/>
      </w:pPr>
    </w:p>
    <w:p w14:paraId="689AD4D7">
      <w:pPr>
        <w:pStyle w:val="PARAGRAPH"/>
      </w:pPr>
      <w:r>
        <w:rPr>
          <w:b/>
        </w:rPr>
        <w:t xml:space="preserve">Avro schema fragment</w:t>
      </w:r>
    </w:p>
    <w:p w14:paraId="001626F2">
      <w:pPr>
        <w:pStyle w:val="CODE"/>
      </w:pPr>
      <w:r>
        <w:t xml:space="preserve">[</w:t>
      </w:r>
    </w:p>
    <w:p w14:paraId="31C83B03">
      <w:pPr>
        <w:pStyle w:val="CODE"/>
      </w:pPr>
      <w:r>
        <w:t xml:space="preserve">  "null",</w:t>
      </w:r>
    </w:p>
    <w:p w14:paraId="104F289F">
      <w:pPr>
        <w:pStyle w:val="CODE"/>
      </w:pPr>
      <w:r>
        <w:t xml:space="preserve">  {</w:t>
      </w:r>
    </w:p>
    <w:p w14:paraId="2A5B1FA6">
      <w:pPr>
        <w:pStyle w:val="CODE"/>
      </w:pPr>
      <w:r>
        <w:t xml:space="preserve">    "items": [</w:t>
      </w:r>
    </w:p>
    <w:p w14:paraId="74173C5F">
      <w:pPr>
        <w:pStyle w:val="CODE"/>
      </w:pPr>
      <w:r>
        <w:t xml:space="preserve">      "null",</w:t>
      </w:r>
    </w:p>
    <w:p w14:paraId="44DBF665">
      <w:pPr>
        <w:pStyle w:val="CODE"/>
      </w:pPr>
      <w:r>
        <w:t xml:space="preserve">      "string"</w:t>
      </w:r>
    </w:p>
    <w:p w14:paraId="2FD0DAA7">
      <w:pPr>
        <w:pStyle w:val="CODE"/>
      </w:pPr>
      <w:r>
        <w:t xml:space="preserve">    ],</w:t>
      </w:r>
    </w:p>
    <w:p w14:paraId="7B018374">
      <w:pPr>
        <w:pStyle w:val="CODE"/>
      </w:pPr>
      <w:r>
        <w:t xml:space="preserve">    "type": "array"</w:t>
      </w:r>
    </w:p>
    <w:p w14:paraId="0E0AFD69">
      <w:pPr>
        <w:pStyle w:val="CODE"/>
      </w:pPr>
      <w:r>
        <w:t xml:space="preserve">  }</w:t>
      </w:r>
    </w:p>
    <w:p w14:paraId="03857AED">
      <w:pPr>
        <w:pStyle w:val="CODE"/>
      </w:pPr>
      <w:r>
        <w:t xml:space="preserve">]</w:t>
      </w:r>
    </w:p>
    <w:p w14:paraId="24393F2A">
      <w:pPr>
        <w:pStyle w:val="PARAGRAPH"/>
      </w:pPr>
      <w:r>
        <w:rPr>
          <w:b/>
        </w:rPr>
        <w:t xml:space="preserve">Example value</w:t>
      </w:r>
      <w:r>
        <w:t xml:space="preserve"> (</w:t>
      </w:r>
      <w:r>
        <w:rPr>
          <w:rStyle w:val="VARIABLE"/>
        </w:rPr>
        <w:t xml:space="preserve">array_string_with_nulls</w:t>
      </w:r>
      <w:r>
        <w:t xml:space="preserve">)</w:t>
      </w:r>
    </w:p>
    <w:p w14:paraId="70CCD40B">
      <w:pPr>
        <w:pStyle w:val="CODE"/>
      </w:pPr>
      <w:r>
        <w:t xml:space="preserve">["a", null, ""]</w:t>
      </w:r>
    </w:p>
    <w:p w14:paraId="19E902FF">
      <w:pPr>
        <w:pStyle w:val="PARAGRAPH"/>
      </w:pPr>
      <w:r>
        <w:rPr>
          <w:b/>
        </w:rPr>
        <w:t xml:space="preserve">Encoded bytes</w:t>
      </w:r>
      <w:r>
        <w:t xml:space="preserve"> (9 bytes)</w:t>
      </w:r>
    </w:p>
    <w:p w14:paraId="729A1FD3">
      <w:pPr>
        <w:pStyle w:val="CODE"/>
      </w:pPr>
      <w:r>
        <w:t xml:space="preserve">020602026100020000</w:t>
      </w:r>
    </w:p>
    <w:p w14:paraId="5CDC2786">
      <w:pPr>
        <w:pStyle w:val="PARAGRAPH"/>
      </w:pPr>
      <w:r>
        <w:rPr>
          <w:b/>
        </w:rPr>
        <w:t xml:space="preserve">Annotated byte-level breakdown</w:t>
      </w:r>
    </w:p>
    <w:p w14:paraId="68DD931A">
      <w:pPr>
        <w:pStyle w:val="TABLE-title"/>
        <w:keepNext/>
      </w:pPr>
      <w:bookmarkStart w:id="627" w:name="_Tab_one_dimensional_array_tab2"/>
      <w:r>
        <w:t xml:space="preserve">Table </w:t>
      </w:r>
      <w:r>
        <w:fldChar w:fldCharType="begin"/>
      </w:r>
      <w:r>
        <w:instrText xml:space="preserve"> SEQ Table \* ARABIC </w:instrText>
      </w:r>
      <w:r>
        <w:fldChar w:fldCharType="separate"/>
      </w:r>
      <w:r>
        <w:rPr>
          <w:noProof/>
        </w:rPr>
        <w:t xml:space="preserve">67</w:t>
      </w:r>
      <w:r>
        <w:fldChar w:fldCharType="end"/>
      </w:r>
      <w:r>
        <w:t xml:space="preserve"> – One-dimensional array (2)</w:t>
      </w:r>
      <w:bookmarkEnd w:id="6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35B1CEE7">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793C9EF0">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335A4833">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081F8309">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E84D3C9">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6F156538">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34272DA">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6E7A686A">
            <w:pPr>
              <w:pStyle w:val="TableText"/>
            </w:pPr>
            <w:r>
              <w:t xml:space="preserve">$: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7A5DA58">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169C1B8">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A0970CF">
            <w:pPr>
              <w:pStyle w:val="TableText"/>
            </w:pPr>
            <w:r>
              <w:rPr>
                <w:rStyle w:val="VARIABLE"/>
              </w:rPr>
              <w:t xml:space="preserve">06</w:t>
            </w:r>
          </w:p>
        </w:tc>
        <w:tc>
          <w:tcPr>
            <w:tcW w:w="2233" w:type="dxa"/>
            <w:tcBorders>
              <w:top w:val="single" w:sz="4" w:space="0" w:color="auto"/>
              <w:left w:val="single" w:sz="4" w:space="0" w:color="auto"/>
              <w:bottom w:val="single" w:sz="4" w:space="0" w:color="auto"/>
              <w:right w:val="single" w:sz="4" w:space="0" w:color="auto"/>
            </w:tcBorders>
          </w:tcPr>
          <w:p w14:paraId="33194963">
            <w:pPr>
              <w:pStyle w:val="TableText"/>
            </w:pPr>
            <w:r>
              <w:t xml:space="preserve">$: branch 1 (array): array block 0 count = 3</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0556AF8">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3EA113E0">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1D45C56">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4BF910B9">
            <w:pPr>
              <w:pStyle w:val="TableText"/>
            </w:pPr>
            <w:r>
              <w:t xml:space="preserve">$: branch 1 (array)\[0\]: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D1C3D4A">
            <w:pPr>
              <w:pStyle w:val="TableText"/>
            </w:pPr>
            <w:r>
              <w:t xml:space="preserve">3</w:t>
            </w:r>
          </w:p>
        </w:tc>
        <w:tc>
          <w:tcPr>
            <w:tcW w:w="2231" w:type="dxa"/>
            <w:tcBorders>
              <w:top w:val="single" w:sz="4" w:space="0" w:color="auto"/>
              <w:left w:val="single" w:sz="4" w:space="0" w:color="auto"/>
              <w:bottom w:val="single" w:sz="4" w:space="0" w:color="auto"/>
              <w:right w:val="single" w:sz="4" w:space="0" w:color="auto"/>
            </w:tcBorders>
          </w:tcPr>
          <w:p w14:paraId="4918022D">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C2D4E79">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255D3EC3">
            <w:pPr>
              <w:pStyle w:val="TableText"/>
            </w:pPr>
            <w:r>
              <w:t xml:space="preserve">$: branch 1 (array)\[0\]: branch 1 (string): string length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EE7F773">
            <w:pPr>
              <w:pStyle w:val="TableText"/>
            </w:pPr>
            <w:r>
              <w:t xml:space="preserve">4</w:t>
            </w:r>
          </w:p>
        </w:tc>
        <w:tc>
          <w:tcPr>
            <w:tcW w:w="2231" w:type="dxa"/>
            <w:tcBorders>
              <w:top w:val="single" w:sz="4" w:space="0" w:color="auto"/>
              <w:left w:val="single" w:sz="4" w:space="0" w:color="auto"/>
              <w:bottom w:val="single" w:sz="4" w:space="0" w:color="auto"/>
              <w:right w:val="single" w:sz="4" w:space="0" w:color="auto"/>
            </w:tcBorders>
          </w:tcPr>
          <w:p w14:paraId="1B17C7F0">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7C75C59">
            <w:pPr>
              <w:pStyle w:val="TableText"/>
            </w:pPr>
            <w:r>
              <w:rPr>
                <w:rStyle w:val="VARIABLE"/>
              </w:rPr>
              <w:t xml:space="preserve">61</w:t>
            </w:r>
          </w:p>
        </w:tc>
        <w:tc>
          <w:tcPr>
            <w:tcW w:w="2233" w:type="dxa"/>
            <w:tcBorders>
              <w:top w:val="single" w:sz="4" w:space="0" w:color="auto"/>
              <w:left w:val="single" w:sz="4" w:space="0" w:color="auto"/>
              <w:bottom w:val="single" w:sz="4" w:space="0" w:color="auto"/>
              <w:right w:val="single" w:sz="4" w:space="0" w:color="auto"/>
            </w:tcBorders>
          </w:tcPr>
          <w:p w14:paraId="303BADD5">
            <w:pPr>
              <w:pStyle w:val="TableText"/>
            </w:pPr>
            <w:r>
              <w:t xml:space="preserve">$: branch 1 (array)\[0\]: branch 1 (string): string data</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A817D64">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14:paraId="532719D1">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2A0C05E5">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4F005A6A">
            <w:pPr>
              <w:pStyle w:val="TableText"/>
            </w:pPr>
            <w:r>
              <w:t xml:space="preserve">$: branch 1 (array)\[1\]: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213B84A">
            <w:pPr>
              <w:pStyle w:val="TableText"/>
            </w:pPr>
            <w:r>
              <w:t xml:space="preserve">6</w:t>
            </w:r>
          </w:p>
        </w:tc>
        <w:tc>
          <w:tcPr>
            <w:tcW w:w="2231" w:type="dxa"/>
            <w:tcBorders>
              <w:top w:val="single" w:sz="4" w:space="0" w:color="auto"/>
              <w:left w:val="single" w:sz="4" w:space="0" w:color="auto"/>
              <w:bottom w:val="single" w:sz="4" w:space="0" w:color="auto"/>
              <w:right w:val="single" w:sz="4" w:space="0" w:color="auto"/>
            </w:tcBorders>
          </w:tcPr>
          <w:p w14:paraId="6BC7E63A">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6B942886">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1C87FCE5">
            <w:pPr>
              <w:pStyle w:val="TableText"/>
            </w:pPr>
            <w:r>
              <w:t xml:space="preserve">$: branch 1 (array)\[1\]: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A0E9933">
            <w:pPr>
              <w:pStyle w:val="TableText"/>
            </w:pPr>
            <w:r>
              <w:t xml:space="preserve">6</w:t>
            </w:r>
          </w:p>
        </w:tc>
        <w:tc>
          <w:tcPr>
            <w:tcW w:w="2231" w:type="dxa"/>
            <w:tcBorders>
              <w:top w:val="single" w:sz="4" w:space="0" w:color="auto"/>
              <w:left w:val="single" w:sz="4" w:space="0" w:color="auto"/>
              <w:bottom w:val="single" w:sz="4" w:space="0" w:color="auto"/>
              <w:right w:val="single" w:sz="4" w:space="0" w:color="auto"/>
            </w:tcBorders>
          </w:tcPr>
          <w:p w14:paraId="59693D6D">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8BD3D79">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002F248F">
            <w:pPr>
              <w:pStyle w:val="TableText"/>
            </w:pPr>
            <w:r>
              <w:t xml:space="preserve">$: branch 1 (array)\[2\]: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B78F95F">
            <w:pPr>
              <w:pStyle w:val="TableText"/>
            </w:pPr>
            <w:r>
              <w:t xml:space="preserve">7</w:t>
            </w:r>
          </w:p>
        </w:tc>
        <w:tc>
          <w:tcPr>
            <w:tcW w:w="2231" w:type="dxa"/>
            <w:tcBorders>
              <w:top w:val="single" w:sz="4" w:space="0" w:color="auto"/>
              <w:left w:val="single" w:sz="4" w:space="0" w:color="auto"/>
              <w:bottom w:val="single" w:sz="4" w:space="0" w:color="auto"/>
              <w:right w:val="single" w:sz="4" w:space="0" w:color="auto"/>
            </w:tcBorders>
          </w:tcPr>
          <w:p w14:paraId="555E4F39">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7C882266">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191EC14E">
            <w:pPr>
              <w:pStyle w:val="TableText"/>
            </w:pPr>
            <w:r>
              <w:t xml:space="preserve">$: branch 1 (array)\[2\]: branch 1 (string): string length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6996E97">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1EE01892">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0C6AE4B2">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49ADBE5A">
            <w:pPr>
              <w:pStyle w:val="TableText"/>
            </w:pPr>
            <w:r>
              <w:t xml:space="preserve">$: branch 1 (array)\[2\]: branch 1 (string): string data</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E4E0A9">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7468794A">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208E1187">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3D552C65">
            <w:pPr>
              <w:pStyle w:val="TableText"/>
            </w:pPr>
            <w:r>
              <w:t xml:space="preserve">$: branch 1 (array): array block 1 count = 0</w:t>
            </w:r>
          </w:p>
        </w:tc>
      </w:tr>
    </w:tbl>
    <w:p w14:paraId="0555305D">
      <w:pPr>
        <w:pStyle w:val="spacer"/>
      </w:pPr>
    </w:p>
    <w:p w14:paraId="360A8264">
      <w:pPr>
        <w:pStyle w:val="ANNEX-heading2"/>
      </w:pPr>
      <w:bookmarkStart w:id="628" w:name="_Clause_cA_2_27"/>
      <w:r>
        <w:t xml:space="preserve">Matrix</w:t>
      </w:r>
      <w:bookmarkEnd w:id="628"/>
    </w:p>
    <w:p w14:paraId="54DC37EC">
      <w:pPr>
        <w:pStyle w:val="PARAGRAPH"/>
      </w:pPr>
      <w:r>
        <w:rPr>
          <w:b/>
        </w:rPr>
        <w:t xml:space="preserve">SchemaId</w:t>
      </w:r>
      <w:r>
        <w:t xml:space="preserve"> </w:t>
      </w:r>
      <w:r>
        <w:rPr>
          <w:rStyle w:val="VARIABLE"/>
        </w:rPr>
        <w:t xml:space="preserve">2ffc7ee0a94fbeb3</w:t>
      </w:r>
    </w:p>
    <w:p w14:paraId="0A1AFFBB">
      <w:pPr>
        <w:pStyle w:val="TABLE-title"/>
        <w:keepNext/>
      </w:pPr>
      <w:bookmarkStart w:id="629" w:name="_Tab_matrix_tab1"/>
      <w:r>
        <w:t xml:space="preserve">Table </w:t>
      </w:r>
      <w:r>
        <w:fldChar w:fldCharType="begin"/>
      </w:r>
      <w:r>
        <w:instrText xml:space="preserve"> SEQ Table \* ARABIC </w:instrText>
      </w:r>
      <w:r>
        <w:fldChar w:fldCharType="separate"/>
      </w:r>
      <w:r>
        <w:rPr>
          <w:noProof/>
        </w:rPr>
        <w:t xml:space="preserve">68</w:t>
      </w:r>
      <w:r>
        <w:fldChar w:fldCharType="end"/>
      </w:r>
      <w:r>
        <w:t xml:space="preserve"> – Matrix</w:t>
      </w:r>
      <w:bookmarkEnd w:id="6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EB446E5">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009E28AC">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2EA39DF9">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6B3C7447">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A71609">
            <w:pPr>
              <w:pStyle w:val="TableText"/>
            </w:pPr>
            <w:r>
              <w:rPr>
                <w:rStyle w:val="VARIABLE"/>
              </w:rPr>
              <w:t xml:space="preserve">dimensions</w:t>
            </w:r>
          </w:p>
        </w:tc>
        <w:tc>
          <w:tcPr>
            <w:tcW w:w="2231" w:type="dxa"/>
            <w:tcBorders>
              <w:top w:val="single" w:sz="4" w:space="0" w:color="auto"/>
              <w:left w:val="single" w:sz="4" w:space="0" w:color="auto"/>
              <w:bottom w:val="single" w:sz="4" w:space="0" w:color="auto"/>
              <w:right w:val="single" w:sz="4" w:space="0" w:color="auto"/>
            </w:tcBorders>
          </w:tcPr>
          <w:p w14:paraId="4E70D3CC">
            <w:pPr>
              <w:pStyle w:val="TableText"/>
            </w:pPr>
            <w:r>
              <w:rPr>
                <w:rStyle w:val="VARIABLE"/>
              </w:rPr>
              <w:t xml:space="preserve">{"items": "int", "type": "array"}</w:t>
            </w:r>
          </w:p>
        </w:tc>
        <w:tc>
          <w:tcPr>
            <w:tcW w:w="2231" w:type="dxa"/>
            <w:tcBorders>
              <w:top w:val="single" w:sz="4" w:space="0" w:color="auto"/>
              <w:left w:val="single" w:sz="4" w:space="0" w:color="auto"/>
              <w:bottom w:val="single" w:sz="4" w:space="0" w:color="auto"/>
              <w:right w:val="single" w:sz="4" w:space="0" w:color="auto"/>
            </w:tcBorders>
          </w:tcPr>
          <w:p w14:paraId="70084874">
            <w:pPr>
              <w:pStyle w:val="TableText"/>
            </w:pPr>
            <w:r>
              <w:t xml:space="preserve">record field</w:t>
            </w:r>
          </w:p>
        </w:tc>
        <w:tc>
          <w:tcPr>
            <w:tcW w:w="2233" w:type="dxa"/>
            <w:tcBorders>
              <w:top w:val="single" w:sz="4" w:space="0" w:color="auto"/>
              <w:left w:val="single" w:sz="4" w:space="0" w:color="auto"/>
              <w:bottom w:val="single" w:sz="4" w:space="0" w:color="auto"/>
              <w:right w:val="single" w:sz="4" w:space="0" w:color="auto"/>
            </w:tcBorders>
          </w:tcPr>
          <w:p w14:paraId="73F514E9">
            <w:pPr>
              <w:pStyle w:val="TableText"/>
            </w:pPr>
            <w:r>
              <w:t xml:space="preserve">Matrix dimensions then row-major values.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91F13D1">
            <w:pPr>
              <w:pStyle w:val="TableText"/>
            </w:pPr>
            <w:r>
              <w:rPr>
                <w:rStyle w:val="VARIABLE"/>
              </w:rPr>
              <w:t xml:space="preserve">values</w:t>
            </w:r>
          </w:p>
        </w:tc>
        <w:tc>
          <w:tcPr>
            <w:tcW w:w="2231" w:type="dxa"/>
            <w:tcBorders>
              <w:top w:val="single" w:sz="4" w:space="0" w:color="auto"/>
              <w:left w:val="single" w:sz="4" w:space="0" w:color="auto"/>
              <w:bottom w:val="single" w:sz="4" w:space="0" w:color="auto"/>
              <w:right w:val="single" w:sz="4" w:space="0" w:color="auto"/>
            </w:tcBorders>
          </w:tcPr>
          <w:p w14:paraId="24F5A24A">
            <w:pPr>
              <w:pStyle w:val="TableText"/>
            </w:pPr>
            <w:r>
              <w:rPr>
                <w:rStyle w:val="VARIABLE"/>
              </w:rPr>
              <w:t xml:space="preserve">{"items": ["null", "double"], "type": "array"}</w:t>
            </w:r>
          </w:p>
        </w:tc>
        <w:tc>
          <w:tcPr>
            <w:tcW w:w="2231" w:type="dxa"/>
            <w:tcBorders>
              <w:top w:val="single" w:sz="4" w:space="0" w:color="auto"/>
              <w:left w:val="single" w:sz="4" w:space="0" w:color="auto"/>
              <w:bottom w:val="single" w:sz="4" w:space="0" w:color="auto"/>
              <w:right w:val="single" w:sz="4" w:space="0" w:color="auto"/>
            </w:tcBorders>
          </w:tcPr>
          <w:p w14:paraId="1FDE072D">
            <w:pPr>
              <w:pStyle w:val="TableText"/>
            </w:pPr>
            <w:r>
              <w:t xml:space="preserve">record field</w:t>
            </w:r>
          </w:p>
        </w:tc>
        <w:tc>
          <w:tcPr>
            <w:tcW w:w="2233" w:type="dxa"/>
            <w:tcBorders>
              <w:top w:val="single" w:sz="4" w:space="0" w:color="auto"/>
              <w:left w:val="single" w:sz="4" w:space="0" w:color="auto"/>
              <w:bottom w:val="single" w:sz="4" w:space="0" w:color="auto"/>
              <w:right w:val="single" w:sz="4" w:space="0" w:color="auto"/>
            </w:tcBorders>
          </w:tcPr>
          <w:p w14:paraId="1144D284">
            <w:pPr>
              <w:pStyle w:val="TableText"/>
            </w:pPr>
            <w:r>
              <w:t xml:space="preserve">Matrix dimensions then row-major values.</w:t>
            </w:r>
          </w:p>
        </w:tc>
      </w:tr>
    </w:tbl>
    <w:p w14:paraId="4C8D2FED">
      <w:pPr>
        <w:pStyle w:val="spacer"/>
      </w:pPr>
    </w:p>
    <w:p w14:paraId="2A2728CB">
      <w:pPr>
        <w:pStyle w:val="PARAGRAPH"/>
      </w:pPr>
      <w:r>
        <w:rPr>
          <w:b/>
        </w:rPr>
        <w:t xml:space="preserve">Avro schema fragment</w:t>
      </w:r>
    </w:p>
    <w:p w14:paraId="447742B8">
      <w:pPr>
        <w:pStyle w:val="CODE"/>
      </w:pPr>
      <w:r>
        <w:t xml:space="preserve">[</w:t>
      </w:r>
    </w:p>
    <w:p w14:paraId="1A7C1C48">
      <w:pPr>
        <w:pStyle w:val="CODE"/>
      </w:pPr>
      <w:r>
        <w:t xml:space="preserve">  "null",</w:t>
      </w:r>
    </w:p>
    <w:p w14:paraId="4980F1E8">
      <w:pPr>
        <w:pStyle w:val="CODE"/>
      </w:pPr>
      <w:r>
        <w:t xml:space="preserve">  {</w:t>
      </w:r>
    </w:p>
    <w:p w14:paraId="26A137FE">
      <w:pPr>
        <w:pStyle w:val="CODE"/>
      </w:pPr>
      <w:r>
        <w:t xml:space="preserve">    "fields": [</w:t>
      </w:r>
    </w:p>
    <w:p w14:paraId="45AFD8F3">
      <w:pPr>
        <w:pStyle w:val="CODE"/>
      </w:pPr>
      <w:r>
        <w:t xml:space="preserve">      {</w:t>
      </w:r>
    </w:p>
    <w:p w14:paraId="757756BB">
      <w:pPr>
        <w:pStyle w:val="CODE"/>
      </w:pPr>
      <w:r>
        <w:t xml:space="preserve">        "name": "dimensions",</w:t>
      </w:r>
    </w:p>
    <w:p w14:paraId="16B46367">
      <w:pPr>
        <w:pStyle w:val="CODE"/>
      </w:pPr>
      <w:r>
        <w:t xml:space="preserve">        "type": {</w:t>
      </w:r>
    </w:p>
    <w:p w14:paraId="1781BF23">
      <w:pPr>
        <w:pStyle w:val="CODE"/>
      </w:pPr>
      <w:r>
        <w:t xml:space="preserve">          "items": "int",</w:t>
      </w:r>
    </w:p>
    <w:p w14:paraId="59600479">
      <w:pPr>
        <w:pStyle w:val="CODE"/>
      </w:pPr>
      <w:r>
        <w:t xml:space="preserve">          "type": "array"</w:t>
      </w:r>
    </w:p>
    <w:p w14:paraId="476EEFEE">
      <w:pPr>
        <w:pStyle w:val="CODE"/>
      </w:pPr>
      <w:r>
        <w:t xml:space="preserve">        }</w:t>
      </w:r>
    </w:p>
    <w:p w14:paraId="66FE2D28">
      <w:pPr>
        <w:pStyle w:val="CODE"/>
      </w:pPr>
      <w:r>
        <w:t xml:space="preserve">      },</w:t>
      </w:r>
    </w:p>
    <w:p w14:paraId="20005E2E">
      <w:pPr>
        <w:pStyle w:val="CODE"/>
      </w:pPr>
      <w:r>
        <w:t xml:space="preserve">      {</w:t>
      </w:r>
    </w:p>
    <w:p w14:paraId="675DA7CD">
      <w:pPr>
        <w:pStyle w:val="CODE"/>
      </w:pPr>
      <w:r>
        <w:t xml:space="preserve">        "name": "values",</w:t>
      </w:r>
    </w:p>
    <w:p w14:paraId="58B5CE41">
      <w:pPr>
        <w:pStyle w:val="CODE"/>
      </w:pPr>
      <w:r>
        <w:t xml:space="preserve">        "type": {</w:t>
      </w:r>
    </w:p>
    <w:p w14:paraId="1334CA1D">
      <w:pPr>
        <w:pStyle w:val="CODE"/>
      </w:pPr>
      <w:r>
        <w:t xml:space="preserve">          "items": [</w:t>
      </w:r>
    </w:p>
    <w:p w14:paraId="17C17871">
      <w:pPr>
        <w:pStyle w:val="CODE"/>
      </w:pPr>
      <w:r>
        <w:t xml:space="preserve">            "null",</w:t>
      </w:r>
    </w:p>
    <w:p w14:paraId="541A47B8">
      <w:pPr>
        <w:pStyle w:val="CODE"/>
      </w:pPr>
      <w:r>
        <w:t xml:space="preserve">            "double"</w:t>
      </w:r>
    </w:p>
    <w:p w14:paraId="0CE7D00F">
      <w:pPr>
        <w:pStyle w:val="CODE"/>
      </w:pPr>
      <w:r>
        <w:t xml:space="preserve">          ],</w:t>
      </w:r>
    </w:p>
    <w:p w14:paraId="7A553E83">
      <w:pPr>
        <w:pStyle w:val="CODE"/>
      </w:pPr>
      <w:r>
        <w:t xml:space="preserve">          "type": "array"</w:t>
      </w:r>
    </w:p>
    <w:p w14:paraId="31AA406C">
      <w:pPr>
        <w:pStyle w:val="CODE"/>
      </w:pPr>
      <w:r>
        <w:t xml:space="preserve">        }</w:t>
      </w:r>
    </w:p>
    <w:p w14:paraId="15ABF2E7">
      <w:pPr>
        <w:pStyle w:val="CODE"/>
      </w:pPr>
      <w:r>
        <w:t xml:space="preserve">      }</w:t>
      </w:r>
    </w:p>
    <w:p w14:paraId="7551DB92">
      <w:pPr>
        <w:pStyle w:val="CODE"/>
      </w:pPr>
      <w:r>
        <w:t xml:space="preserve">    ],</w:t>
      </w:r>
    </w:p>
    <w:p w14:paraId="3C26BA21">
      <w:pPr>
        <w:pStyle w:val="CODE"/>
      </w:pPr>
      <w:r>
        <w:t xml:space="preserve">    "name": "TopMatrixOfDouble",</w:t>
      </w:r>
    </w:p>
    <w:p w14:paraId="0F2CDD2F">
      <w:pPr>
        <w:pStyle w:val="CODE"/>
      </w:pPr>
      <w:r>
        <w:t xml:space="preserve">    "namespace": "org.opcfoundation.ua.avro",</w:t>
      </w:r>
    </w:p>
    <w:p w14:paraId="3225CD55">
      <w:pPr>
        <w:pStyle w:val="CODE"/>
      </w:pPr>
      <w:r>
        <w:t xml:space="preserve">    "type": "record"</w:t>
      </w:r>
    </w:p>
    <w:p w14:paraId="7E098EF4">
      <w:pPr>
        <w:pStyle w:val="CODE"/>
      </w:pPr>
      <w:r>
        <w:t xml:space="preserve">  }</w:t>
      </w:r>
    </w:p>
    <w:p w14:paraId="3C0EEA99">
      <w:pPr>
        <w:pStyle w:val="CODE"/>
      </w:pPr>
      <w:r>
        <w:t xml:space="preserve">]</w:t>
      </w:r>
    </w:p>
    <w:p w14:paraId="3B198C39">
      <w:pPr>
        <w:pStyle w:val="PARAGRAPH"/>
      </w:pPr>
      <w:r>
        <w:rPr>
          <w:b/>
        </w:rPr>
        <w:t xml:space="preserve">Example value</w:t>
      </w:r>
      <w:r>
        <w:t xml:space="preserve"> (</w:t>
      </w:r>
      <w:r>
        <w:rPr>
          <w:rStyle w:val="VARIABLE"/>
        </w:rPr>
        <w:t xml:space="preserve">matrix_double_2x2_special</w:t>
      </w:r>
      <w:r>
        <w:t xml:space="preserve">)</w:t>
      </w:r>
    </w:p>
    <w:p w14:paraId="6DDDEDF0">
      <w:pPr>
        <w:pStyle w:val="CODE"/>
      </w:pPr>
      <w:r>
        <w:t xml:space="preserve">{"dimensions": [2, 2], "values": [1.0, "NaN", "-Infinity", -0.0]}</w:t>
      </w:r>
    </w:p>
    <w:p w14:paraId="1B3571A7">
      <w:pPr>
        <w:pStyle w:val="PARAGRAPH"/>
      </w:pPr>
      <w:r>
        <w:rPr>
          <w:b/>
        </w:rPr>
        <w:t xml:space="preserve">Encoded bytes</w:t>
      </w:r>
      <w:r>
        <w:t xml:space="preserve"> (43 bytes)</w:t>
      </w:r>
    </w:p>
    <w:p w14:paraId="6199F6DB">
      <w:pPr>
        <w:pStyle w:val="CODE"/>
      </w:pPr>
      <w:r>
        <w:t xml:space="preserve">02040404000802000000000000f03f02000000000000f87f02000000000000f0ff02000000000000008000</w:t>
      </w:r>
    </w:p>
    <w:p w14:paraId="4D87B66C">
      <w:pPr>
        <w:pStyle w:val="PARAGRAPH"/>
      </w:pPr>
      <w:r>
        <w:rPr>
          <w:b/>
        </w:rPr>
        <w:t xml:space="preserve">Annotated byte-level breakdown</w:t>
      </w:r>
    </w:p>
    <w:p w14:paraId="62A3A222">
      <w:pPr>
        <w:pStyle w:val="TABLE-title"/>
        <w:keepNext/>
      </w:pPr>
      <w:bookmarkStart w:id="630" w:name="_Tab_matrix_tab2"/>
      <w:r>
        <w:t xml:space="preserve">Table </w:t>
      </w:r>
      <w:r>
        <w:fldChar w:fldCharType="begin"/>
      </w:r>
      <w:r>
        <w:instrText xml:space="preserve"> SEQ Table \* ARABIC </w:instrText>
      </w:r>
      <w:r>
        <w:fldChar w:fldCharType="separate"/>
      </w:r>
      <w:r>
        <w:rPr>
          <w:noProof/>
        </w:rPr>
        <w:t xml:space="preserve">69</w:t>
      </w:r>
      <w:r>
        <w:fldChar w:fldCharType="end"/>
      </w:r>
      <w:r>
        <w:t xml:space="preserve"> – Matrix (2)</w:t>
      </w:r>
      <w:bookmarkEnd w:id="6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C89A78C">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07E5DA06">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0DCF0A0C">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1762C033">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AFBE806">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5795DE16">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736C4448">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7E808DB4">
            <w:pPr>
              <w:pStyle w:val="TableText"/>
            </w:pPr>
            <w:r>
              <w:t xml:space="preserve">$: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429B3E4">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30F25D9">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A785294">
            <w:pPr>
              <w:pStyle w:val="TableText"/>
            </w:pPr>
            <w:r>
              <w:rPr>
                <w:rStyle w:val="VARIABLE"/>
              </w:rPr>
              <w:t xml:space="preserve">04</w:t>
            </w:r>
          </w:p>
        </w:tc>
        <w:tc>
          <w:tcPr>
            <w:tcW w:w="2233" w:type="dxa"/>
            <w:tcBorders>
              <w:top w:val="single" w:sz="4" w:space="0" w:color="auto"/>
              <w:left w:val="single" w:sz="4" w:space="0" w:color="auto"/>
              <w:bottom w:val="single" w:sz="4" w:space="0" w:color="auto"/>
              <w:right w:val="single" w:sz="4" w:space="0" w:color="auto"/>
            </w:tcBorders>
          </w:tcPr>
          <w:p w14:paraId="170A6FF0">
            <w:pPr>
              <w:pStyle w:val="TableText"/>
            </w:pPr>
            <w:r>
              <w:t xml:space="preserve">$: branch 1 (org.opcfoundation.ua.avro.TopMatrixOfDouble).dimensions: array block 0 count = 2</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7E325F7">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1793A049">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85E72BE">
            <w:pPr>
              <w:pStyle w:val="TableText"/>
            </w:pPr>
            <w:r>
              <w:rPr>
                <w:rStyle w:val="VARIABLE"/>
              </w:rPr>
              <w:t xml:space="preserve">04</w:t>
            </w:r>
          </w:p>
        </w:tc>
        <w:tc>
          <w:tcPr>
            <w:tcW w:w="2233" w:type="dxa"/>
            <w:tcBorders>
              <w:top w:val="single" w:sz="4" w:space="0" w:color="auto"/>
              <w:left w:val="single" w:sz="4" w:space="0" w:color="auto"/>
              <w:bottom w:val="single" w:sz="4" w:space="0" w:color="auto"/>
              <w:right w:val="single" w:sz="4" w:space="0" w:color="auto"/>
            </w:tcBorders>
          </w:tcPr>
          <w:p w14:paraId="4E162D44">
            <w:pPr>
              <w:pStyle w:val="TableText"/>
            </w:pPr>
            <w:r>
              <w:t xml:space="preserve">$: branch 1 (org.opcfoundation.ua.avro.TopMatrixOfDouble).dimensions\[0\]: int = 2</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FEEF5EA">
            <w:pPr>
              <w:pStyle w:val="TableText"/>
            </w:pPr>
            <w:r>
              <w:t xml:space="preserve">3</w:t>
            </w:r>
          </w:p>
        </w:tc>
        <w:tc>
          <w:tcPr>
            <w:tcW w:w="2231" w:type="dxa"/>
            <w:tcBorders>
              <w:top w:val="single" w:sz="4" w:space="0" w:color="auto"/>
              <w:left w:val="single" w:sz="4" w:space="0" w:color="auto"/>
              <w:bottom w:val="single" w:sz="4" w:space="0" w:color="auto"/>
              <w:right w:val="single" w:sz="4" w:space="0" w:color="auto"/>
            </w:tcBorders>
          </w:tcPr>
          <w:p w14:paraId="7FAF9919">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D14FB20">
            <w:pPr>
              <w:pStyle w:val="TableText"/>
            </w:pPr>
            <w:r>
              <w:rPr>
                <w:rStyle w:val="VARIABLE"/>
              </w:rPr>
              <w:t xml:space="preserve">04</w:t>
            </w:r>
          </w:p>
        </w:tc>
        <w:tc>
          <w:tcPr>
            <w:tcW w:w="2233" w:type="dxa"/>
            <w:tcBorders>
              <w:top w:val="single" w:sz="4" w:space="0" w:color="auto"/>
              <w:left w:val="single" w:sz="4" w:space="0" w:color="auto"/>
              <w:bottom w:val="single" w:sz="4" w:space="0" w:color="auto"/>
              <w:right w:val="single" w:sz="4" w:space="0" w:color="auto"/>
            </w:tcBorders>
          </w:tcPr>
          <w:p w14:paraId="07842B2B">
            <w:pPr>
              <w:pStyle w:val="TableText"/>
            </w:pPr>
            <w:r>
              <w:t xml:space="preserve">$: branch 1 (org.opcfoundation.ua.avro.TopMatrixOfDouble).dimensions\[1\]: int = 2</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BF93A48">
            <w:pPr>
              <w:pStyle w:val="TableText"/>
            </w:pPr>
            <w:r>
              <w:t xml:space="preserve">4</w:t>
            </w:r>
          </w:p>
        </w:tc>
        <w:tc>
          <w:tcPr>
            <w:tcW w:w="2231" w:type="dxa"/>
            <w:tcBorders>
              <w:top w:val="single" w:sz="4" w:space="0" w:color="auto"/>
              <w:left w:val="single" w:sz="4" w:space="0" w:color="auto"/>
              <w:bottom w:val="single" w:sz="4" w:space="0" w:color="auto"/>
              <w:right w:val="single" w:sz="4" w:space="0" w:color="auto"/>
            </w:tcBorders>
          </w:tcPr>
          <w:p w14:paraId="70DF18ED">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A4C7DD9">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707C0B2C">
            <w:pPr>
              <w:pStyle w:val="TableText"/>
            </w:pPr>
            <w:r>
              <w:t xml:space="preserve">$: branch 1 (org.opcfoundation.ua.avro.TopMatrixOfDouble).dimensions: array block 1 count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00E5F87">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14:paraId="34EE69BA">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EC76521">
            <w:pPr>
              <w:pStyle w:val="TableText"/>
            </w:pPr>
            <w:r>
              <w:rPr>
                <w:rStyle w:val="VARIABLE"/>
              </w:rPr>
              <w:t xml:space="preserve">08</w:t>
            </w:r>
          </w:p>
        </w:tc>
        <w:tc>
          <w:tcPr>
            <w:tcW w:w="2233" w:type="dxa"/>
            <w:tcBorders>
              <w:top w:val="single" w:sz="4" w:space="0" w:color="auto"/>
              <w:left w:val="single" w:sz="4" w:space="0" w:color="auto"/>
              <w:bottom w:val="single" w:sz="4" w:space="0" w:color="auto"/>
              <w:right w:val="single" w:sz="4" w:space="0" w:color="auto"/>
            </w:tcBorders>
          </w:tcPr>
          <w:p w14:paraId="4E466112">
            <w:pPr>
              <w:pStyle w:val="TableText"/>
            </w:pPr>
            <w:r>
              <w:t xml:space="preserve">$: branch 1 (org.opcfoundation.ua.avro.TopMatrixOfDouble).values: array block 0 count = 4</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E759B86">
            <w:pPr>
              <w:pStyle w:val="TableText"/>
            </w:pPr>
            <w:r>
              <w:t xml:space="preserve">6</w:t>
            </w:r>
          </w:p>
        </w:tc>
        <w:tc>
          <w:tcPr>
            <w:tcW w:w="2231" w:type="dxa"/>
            <w:tcBorders>
              <w:top w:val="single" w:sz="4" w:space="0" w:color="auto"/>
              <w:left w:val="single" w:sz="4" w:space="0" w:color="auto"/>
              <w:bottom w:val="single" w:sz="4" w:space="0" w:color="auto"/>
              <w:right w:val="single" w:sz="4" w:space="0" w:color="auto"/>
            </w:tcBorders>
          </w:tcPr>
          <w:p w14:paraId="4B488C4E">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2D2EC9B">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4998E301">
            <w:pPr>
              <w:pStyle w:val="TableText"/>
            </w:pPr>
            <w:r>
              <w:t xml:space="preserve">$: branch 1 (org.opcfoundation.ua.avro.TopMatrixOfDouble).values\[0\]: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6BDB37C">
            <w:pPr>
              <w:pStyle w:val="TableText"/>
            </w:pPr>
            <w:r>
              <w:t xml:space="preserve">7</w:t>
            </w:r>
          </w:p>
        </w:tc>
        <w:tc>
          <w:tcPr>
            <w:tcW w:w="2231" w:type="dxa"/>
            <w:tcBorders>
              <w:top w:val="single" w:sz="4" w:space="0" w:color="auto"/>
              <w:left w:val="single" w:sz="4" w:space="0" w:color="auto"/>
              <w:bottom w:val="single" w:sz="4" w:space="0" w:color="auto"/>
              <w:right w:val="single" w:sz="4" w:space="0" w:color="auto"/>
            </w:tcBorders>
          </w:tcPr>
          <w:p w14:paraId="13D52A36">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6F4BD7DB">
            <w:pPr>
              <w:pStyle w:val="TableText"/>
            </w:pPr>
            <w:r>
              <w:rPr>
                <w:rStyle w:val="VARIABLE"/>
              </w:rPr>
              <w:t xml:space="preserve">00 00 00 00 00 00 f0 3f</w:t>
            </w:r>
          </w:p>
        </w:tc>
        <w:tc>
          <w:tcPr>
            <w:tcW w:w="2233" w:type="dxa"/>
            <w:tcBorders>
              <w:top w:val="single" w:sz="4" w:space="0" w:color="auto"/>
              <w:left w:val="single" w:sz="4" w:space="0" w:color="auto"/>
              <w:bottom w:val="single" w:sz="4" w:space="0" w:color="auto"/>
              <w:right w:val="single" w:sz="4" w:space="0" w:color="auto"/>
            </w:tcBorders>
          </w:tcPr>
          <w:p w14:paraId="55102B30">
            <w:pPr>
              <w:pStyle w:val="TableText"/>
            </w:pPr>
            <w:r>
              <w:t xml:space="preserve">$: branch 1 (org.opcfoundation.ua.avro.TopMatrixOfDouble).values\[0\]: branch 1 (double): float64 little-endian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5627172">
            <w:pPr>
              <w:pStyle w:val="TableText"/>
            </w:pPr>
            <w:r>
              <w:t xml:space="preserve">15</w:t>
            </w:r>
          </w:p>
        </w:tc>
        <w:tc>
          <w:tcPr>
            <w:tcW w:w="2231" w:type="dxa"/>
            <w:tcBorders>
              <w:top w:val="single" w:sz="4" w:space="0" w:color="auto"/>
              <w:left w:val="single" w:sz="4" w:space="0" w:color="auto"/>
              <w:bottom w:val="single" w:sz="4" w:space="0" w:color="auto"/>
              <w:right w:val="single" w:sz="4" w:space="0" w:color="auto"/>
            </w:tcBorders>
          </w:tcPr>
          <w:p w14:paraId="490D86D8">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A458266">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4FCD6FBC">
            <w:pPr>
              <w:pStyle w:val="TableText"/>
            </w:pPr>
            <w:r>
              <w:t xml:space="preserve">$: branch 1 (org.opcfoundation.ua.avro.TopMatrixOfDouble).values\[1\]: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3AD20D4">
            <w:pPr>
              <w:pStyle w:val="TableText"/>
            </w:pPr>
            <w:r>
              <w:t xml:space="preserve">16</w:t>
            </w:r>
          </w:p>
        </w:tc>
        <w:tc>
          <w:tcPr>
            <w:tcW w:w="2231" w:type="dxa"/>
            <w:tcBorders>
              <w:top w:val="single" w:sz="4" w:space="0" w:color="auto"/>
              <w:left w:val="single" w:sz="4" w:space="0" w:color="auto"/>
              <w:bottom w:val="single" w:sz="4" w:space="0" w:color="auto"/>
              <w:right w:val="single" w:sz="4" w:space="0" w:color="auto"/>
            </w:tcBorders>
          </w:tcPr>
          <w:p w14:paraId="5E06648C">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360E3C4B">
            <w:pPr>
              <w:pStyle w:val="TableText"/>
            </w:pPr>
            <w:r>
              <w:rPr>
                <w:rStyle w:val="VARIABLE"/>
              </w:rPr>
              <w:t xml:space="preserve">00 00 00 00 00 00 f8 7f</w:t>
            </w:r>
          </w:p>
        </w:tc>
        <w:tc>
          <w:tcPr>
            <w:tcW w:w="2233" w:type="dxa"/>
            <w:tcBorders>
              <w:top w:val="single" w:sz="4" w:space="0" w:color="auto"/>
              <w:left w:val="single" w:sz="4" w:space="0" w:color="auto"/>
              <w:bottom w:val="single" w:sz="4" w:space="0" w:color="auto"/>
              <w:right w:val="single" w:sz="4" w:space="0" w:color="auto"/>
            </w:tcBorders>
          </w:tcPr>
          <w:p w14:paraId="55F3414D">
            <w:pPr>
              <w:pStyle w:val="TableText"/>
            </w:pPr>
            <w:r>
              <w:t xml:space="preserve">$: branch 1 (org.opcfoundation.ua.avro.TopMatrixOfDouble).values\[1\]: branch 1 (double): float64 little-endian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43D0D9A">
            <w:pPr>
              <w:pStyle w:val="TableText"/>
            </w:pPr>
            <w:r>
              <w:t xml:space="preserve">24</w:t>
            </w:r>
          </w:p>
        </w:tc>
        <w:tc>
          <w:tcPr>
            <w:tcW w:w="2231" w:type="dxa"/>
            <w:tcBorders>
              <w:top w:val="single" w:sz="4" w:space="0" w:color="auto"/>
              <w:left w:val="single" w:sz="4" w:space="0" w:color="auto"/>
              <w:bottom w:val="single" w:sz="4" w:space="0" w:color="auto"/>
              <w:right w:val="single" w:sz="4" w:space="0" w:color="auto"/>
            </w:tcBorders>
          </w:tcPr>
          <w:p w14:paraId="50C58317">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7080901">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7D8DAAF1">
            <w:pPr>
              <w:pStyle w:val="TableText"/>
            </w:pPr>
            <w:r>
              <w:t xml:space="preserve">$: branch 1 (org.opcfoundation.ua.avro.TopMatrixOfDouble).values\[2\]: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9D996A5">
            <w:pPr>
              <w:pStyle w:val="TableText"/>
            </w:pPr>
            <w:r>
              <w:t xml:space="preserve">25</w:t>
            </w:r>
          </w:p>
        </w:tc>
        <w:tc>
          <w:tcPr>
            <w:tcW w:w="2231" w:type="dxa"/>
            <w:tcBorders>
              <w:top w:val="single" w:sz="4" w:space="0" w:color="auto"/>
              <w:left w:val="single" w:sz="4" w:space="0" w:color="auto"/>
              <w:bottom w:val="single" w:sz="4" w:space="0" w:color="auto"/>
              <w:right w:val="single" w:sz="4" w:space="0" w:color="auto"/>
            </w:tcBorders>
          </w:tcPr>
          <w:p w14:paraId="3B3E5072">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213C8C3F">
            <w:pPr>
              <w:pStyle w:val="TableText"/>
            </w:pPr>
            <w:r>
              <w:rPr>
                <w:rStyle w:val="VARIABLE"/>
              </w:rPr>
              <w:t xml:space="preserve">00 00 00 00 00 00 f0 ff</w:t>
            </w:r>
          </w:p>
        </w:tc>
        <w:tc>
          <w:tcPr>
            <w:tcW w:w="2233" w:type="dxa"/>
            <w:tcBorders>
              <w:top w:val="single" w:sz="4" w:space="0" w:color="auto"/>
              <w:left w:val="single" w:sz="4" w:space="0" w:color="auto"/>
              <w:bottom w:val="single" w:sz="4" w:space="0" w:color="auto"/>
              <w:right w:val="single" w:sz="4" w:space="0" w:color="auto"/>
            </w:tcBorders>
          </w:tcPr>
          <w:p w14:paraId="4D01CFD2">
            <w:pPr>
              <w:pStyle w:val="TableText"/>
            </w:pPr>
            <w:r>
              <w:t xml:space="preserve">$: branch 1 (org.opcfoundation.ua.avro.TopMatrixOfDouble).values\[2\]: branch 1 (double): float64 little-endian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9A8A72C">
            <w:pPr>
              <w:pStyle w:val="TableText"/>
            </w:pPr>
            <w:r>
              <w:t xml:space="preserve">33</w:t>
            </w:r>
          </w:p>
        </w:tc>
        <w:tc>
          <w:tcPr>
            <w:tcW w:w="2231" w:type="dxa"/>
            <w:tcBorders>
              <w:top w:val="single" w:sz="4" w:space="0" w:color="auto"/>
              <w:left w:val="single" w:sz="4" w:space="0" w:color="auto"/>
              <w:bottom w:val="single" w:sz="4" w:space="0" w:color="auto"/>
              <w:right w:val="single" w:sz="4" w:space="0" w:color="auto"/>
            </w:tcBorders>
          </w:tcPr>
          <w:p w14:paraId="1B57B3C0">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05780FD">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60341E61">
            <w:pPr>
              <w:pStyle w:val="TableText"/>
            </w:pPr>
            <w:r>
              <w:t xml:space="preserve">$: branch 1 (org.opcfoundation.ua.avro.TopMatrixOfDouble).values\[3\]: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66ADE55">
            <w:pPr>
              <w:pStyle w:val="TableText"/>
            </w:pPr>
            <w:r>
              <w:t xml:space="preserve">34</w:t>
            </w:r>
          </w:p>
        </w:tc>
        <w:tc>
          <w:tcPr>
            <w:tcW w:w="2231" w:type="dxa"/>
            <w:tcBorders>
              <w:top w:val="single" w:sz="4" w:space="0" w:color="auto"/>
              <w:left w:val="single" w:sz="4" w:space="0" w:color="auto"/>
              <w:bottom w:val="single" w:sz="4" w:space="0" w:color="auto"/>
              <w:right w:val="single" w:sz="4" w:space="0" w:color="auto"/>
            </w:tcBorders>
          </w:tcPr>
          <w:p w14:paraId="7092BA2F">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61CC315E">
            <w:pPr>
              <w:pStyle w:val="TableText"/>
            </w:pPr>
            <w:r>
              <w:rPr>
                <w:rStyle w:val="VARIABLE"/>
              </w:rPr>
              <w:t xml:space="preserve">00 00 00 00 00 00 00 80</w:t>
            </w:r>
          </w:p>
        </w:tc>
        <w:tc>
          <w:tcPr>
            <w:tcW w:w="2233" w:type="dxa"/>
            <w:tcBorders>
              <w:top w:val="single" w:sz="4" w:space="0" w:color="auto"/>
              <w:left w:val="single" w:sz="4" w:space="0" w:color="auto"/>
              <w:bottom w:val="single" w:sz="4" w:space="0" w:color="auto"/>
              <w:right w:val="single" w:sz="4" w:space="0" w:color="auto"/>
            </w:tcBorders>
          </w:tcPr>
          <w:p w14:paraId="49815645">
            <w:pPr>
              <w:pStyle w:val="TableText"/>
            </w:pPr>
            <w:r>
              <w:t xml:space="preserve">$: branch 1 (org.opcfoundation.ua.avro.TopMatrixOfDouble).values\[3\]: branch 1 (double): float64 little-endian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EF262F0">
            <w:pPr>
              <w:pStyle w:val="TableText"/>
            </w:pPr>
            <w:r>
              <w:t xml:space="preserve">42</w:t>
            </w:r>
          </w:p>
        </w:tc>
        <w:tc>
          <w:tcPr>
            <w:tcW w:w="2231" w:type="dxa"/>
            <w:tcBorders>
              <w:top w:val="single" w:sz="4" w:space="0" w:color="auto"/>
              <w:left w:val="single" w:sz="4" w:space="0" w:color="auto"/>
              <w:bottom w:val="single" w:sz="4" w:space="0" w:color="auto"/>
              <w:right w:val="single" w:sz="4" w:space="0" w:color="auto"/>
            </w:tcBorders>
          </w:tcPr>
          <w:p w14:paraId="10919B85">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B79EC45">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256F71D6">
            <w:pPr>
              <w:pStyle w:val="TableText"/>
            </w:pPr>
            <w:r>
              <w:t xml:space="preserve">$: branch 1 (org.opcfoundation.ua.avro.TopMatrixOfDouble).values: array block 1 count = 0</w:t>
            </w:r>
          </w:p>
        </w:tc>
      </w:tr>
    </w:tbl>
    <w:p w14:paraId="143A3FAA">
      <w:pPr>
        <w:pStyle w:val="spacer"/>
      </w:pPr>
    </w:p>
    <w:p w14:paraId="3B918265">
      <w:pPr>
        <w:pStyle w:val="ANNEX-heading2"/>
      </w:pPr>
      <w:bookmarkStart w:id="631" w:name="_Clause_cA_2_28"/>
      <w:r>
        <w:t xml:space="preserve">Structure</w:t>
      </w:r>
      <w:bookmarkEnd w:id="631"/>
    </w:p>
    <w:p w14:paraId="256F8B8A">
      <w:pPr>
        <w:pStyle w:val="PARAGRAPH"/>
      </w:pPr>
      <w:r>
        <w:rPr>
          <w:b/>
        </w:rPr>
        <w:t xml:space="preserve">SchemaId</w:t>
      </w:r>
      <w:r>
        <w:t xml:space="preserve"> </w:t>
      </w:r>
      <w:r>
        <w:rPr>
          <w:rStyle w:val="VARIABLE"/>
        </w:rPr>
        <w:t xml:space="preserve">088588111c53429d</w:t>
      </w:r>
    </w:p>
    <w:p w14:paraId="7E9CD7EE">
      <w:pPr>
        <w:pStyle w:val="TABLE-title"/>
        <w:keepNext/>
      </w:pPr>
      <w:bookmarkStart w:id="632" w:name="_Tab_structure_tab1"/>
      <w:r>
        <w:t xml:space="preserve">Table </w:t>
      </w:r>
      <w:r>
        <w:fldChar w:fldCharType="begin"/>
      </w:r>
      <w:r>
        <w:instrText xml:space="preserve"> SEQ Table \* ARABIC </w:instrText>
      </w:r>
      <w:r>
        <w:fldChar w:fldCharType="separate"/>
      </w:r>
      <w:r>
        <w:rPr>
          <w:noProof/>
        </w:rPr>
        <w:t xml:space="preserve">70</w:t>
      </w:r>
      <w:r>
        <w:fldChar w:fldCharType="end"/>
      </w:r>
      <w:r>
        <w:t xml:space="preserve"> – Structure</w:t>
      </w:r>
      <w:bookmarkEnd w:id="6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27DD810E">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50AC107B">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3BBF3B08">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1DA4C0EE">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F1CF360">
            <w:pPr>
              <w:pStyle w:val="TableText"/>
            </w:pPr>
            <w:r>
              <w:rPr>
                <w:rStyle w:val="VARIABLE"/>
              </w:rPr>
              <w:t xml:space="preserve">X</w:t>
            </w:r>
          </w:p>
        </w:tc>
        <w:tc>
          <w:tcPr>
            <w:tcW w:w="2231" w:type="dxa"/>
            <w:tcBorders>
              <w:top w:val="single" w:sz="4" w:space="0" w:color="auto"/>
              <w:left w:val="single" w:sz="4" w:space="0" w:color="auto"/>
              <w:bottom w:val="single" w:sz="4" w:space="0" w:color="auto"/>
              <w:right w:val="single" w:sz="4" w:space="0" w:color="auto"/>
            </w:tcBorders>
          </w:tcPr>
          <w:p w14:paraId="001FBB65">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015796B5">
            <w:pPr>
              <w:pStyle w:val="TableText"/>
            </w:pPr>
            <w:r>
              <w:t xml:space="preserve">present</w:t>
            </w:r>
          </w:p>
        </w:tc>
        <w:tc>
          <w:tcPr>
            <w:tcW w:w="2233" w:type="dxa"/>
            <w:tcBorders>
              <w:top w:val="single" w:sz="4" w:space="0" w:color="auto"/>
              <w:left w:val="single" w:sz="4" w:space="0" w:color="auto"/>
              <w:bottom w:val="single" w:sz="4" w:space="0" w:color="auto"/>
              <w:right w:val="single" w:sz="4" w:space="0" w:color="auto"/>
            </w:tcBorders>
          </w:tcPr>
          <w:p w14:paraId="29CAA3A6">
            <w:pPr>
              <w:pStyle w:val="TableText"/>
            </w:pPr>
            <w:r>
              <w:t xml:space="preserve">Plain structure: record fields in DataTypeDefinition order.</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800B6A7">
            <w:pPr>
              <w:pStyle w:val="TableText"/>
            </w:pPr>
            <w:r>
              <w:rPr>
                <w:rStyle w:val="VARIABLE"/>
              </w:rPr>
              <w:t xml:space="preserve">Y</w:t>
            </w:r>
          </w:p>
        </w:tc>
        <w:tc>
          <w:tcPr>
            <w:tcW w:w="2231" w:type="dxa"/>
            <w:tcBorders>
              <w:top w:val="single" w:sz="4" w:space="0" w:color="auto"/>
              <w:left w:val="single" w:sz="4" w:space="0" w:color="auto"/>
              <w:bottom w:val="single" w:sz="4" w:space="0" w:color="auto"/>
              <w:right w:val="single" w:sz="4" w:space="0" w:color="auto"/>
            </w:tcBorders>
          </w:tcPr>
          <w:p w14:paraId="170D5251">
            <w:pPr>
              <w:pStyle w:val="TableText"/>
            </w:pPr>
            <w:r>
              <w:rPr>
                <w:rStyle w:val="VARIABLE"/>
              </w:rPr>
              <w:t xml:space="preserve">"double"</w:t>
            </w:r>
          </w:p>
        </w:tc>
        <w:tc>
          <w:tcPr>
            <w:tcW w:w="2231" w:type="dxa"/>
            <w:tcBorders>
              <w:top w:val="single" w:sz="4" w:space="0" w:color="auto"/>
              <w:left w:val="single" w:sz="4" w:space="0" w:color="auto"/>
              <w:bottom w:val="single" w:sz="4" w:space="0" w:color="auto"/>
              <w:right w:val="single" w:sz="4" w:space="0" w:color="auto"/>
            </w:tcBorders>
          </w:tcPr>
          <w:p w14:paraId="6E4D52CD">
            <w:pPr>
              <w:pStyle w:val="TableText"/>
            </w:pPr>
            <w:r>
              <w:t xml:space="preserve">present</w:t>
            </w:r>
          </w:p>
        </w:tc>
        <w:tc>
          <w:tcPr>
            <w:tcW w:w="2233" w:type="dxa"/>
            <w:tcBorders>
              <w:top w:val="single" w:sz="4" w:space="0" w:color="auto"/>
              <w:left w:val="single" w:sz="4" w:space="0" w:color="auto"/>
              <w:bottom w:val="single" w:sz="4" w:space="0" w:color="auto"/>
              <w:right w:val="single" w:sz="4" w:space="0" w:color="auto"/>
            </w:tcBorders>
          </w:tcPr>
          <w:p w14:paraId="349EABDC">
            <w:pPr>
              <w:pStyle w:val="TableText"/>
            </w:pPr>
            <w:r>
              <w:t xml:space="preserve">Plain structure: record fields in DataTypeDefinition order.</w:t>
            </w:r>
          </w:p>
        </w:tc>
      </w:tr>
    </w:tbl>
    <w:p w14:paraId="4091A246">
      <w:pPr>
        <w:pStyle w:val="spacer"/>
      </w:pPr>
    </w:p>
    <w:p w14:paraId="138A2134">
      <w:pPr>
        <w:pStyle w:val="PARAGRAPH"/>
      </w:pPr>
      <w:r>
        <w:rPr>
          <w:b/>
        </w:rPr>
        <w:t xml:space="preserve">Avro schema fragment</w:t>
      </w:r>
    </w:p>
    <w:p w14:paraId="0BE83C38">
      <w:pPr>
        <w:pStyle w:val="CODE"/>
      </w:pPr>
      <w:r>
        <w:t xml:space="preserve">{</w:t>
      </w:r>
    </w:p>
    <w:p w14:paraId="4754259E">
      <w:pPr>
        <w:pStyle w:val="CODE"/>
      </w:pPr>
      <w:r>
        <w:t xml:space="preserve">  "fields": [</w:t>
      </w:r>
    </w:p>
    <w:p w14:paraId="2F1752BB">
      <w:pPr>
        <w:pStyle w:val="CODE"/>
      </w:pPr>
      <w:r>
        <w:t xml:space="preserve">    {</w:t>
      </w:r>
    </w:p>
    <w:p w14:paraId="3E630559">
      <w:pPr>
        <w:pStyle w:val="CODE"/>
      </w:pPr>
      <w:r>
        <w:t xml:space="preserve">      "name": "X",</w:t>
      </w:r>
    </w:p>
    <w:p w14:paraId="43BE50D1">
      <w:pPr>
        <w:pStyle w:val="CODE"/>
      </w:pPr>
      <w:r>
        <w:t xml:space="preserve">      "type": "double"</w:t>
      </w:r>
    </w:p>
    <w:p w14:paraId="66B8962F">
      <w:pPr>
        <w:pStyle w:val="CODE"/>
      </w:pPr>
      <w:r>
        <w:t xml:space="preserve">    },</w:t>
      </w:r>
    </w:p>
    <w:p w14:paraId="07BF9C07">
      <w:pPr>
        <w:pStyle w:val="CODE"/>
      </w:pPr>
      <w:r>
        <w:t xml:space="preserve">    {</w:t>
      </w:r>
    </w:p>
    <w:p w14:paraId="1668D980">
      <w:pPr>
        <w:pStyle w:val="CODE"/>
      </w:pPr>
      <w:r>
        <w:t xml:space="preserve">      "name": "Y",</w:t>
      </w:r>
    </w:p>
    <w:p w14:paraId="27259E81">
      <w:pPr>
        <w:pStyle w:val="CODE"/>
      </w:pPr>
      <w:r>
        <w:t xml:space="preserve">      "type": "double"</w:t>
      </w:r>
    </w:p>
    <w:p w14:paraId="367E3C3B">
      <w:pPr>
        <w:pStyle w:val="CODE"/>
      </w:pPr>
      <w:r>
        <w:t xml:space="preserve">    }</w:t>
      </w:r>
    </w:p>
    <w:p w14:paraId="1226DE79">
      <w:pPr>
        <w:pStyle w:val="CODE"/>
      </w:pPr>
      <w:r>
        <w:t xml:space="preserve">  ],</w:t>
      </w:r>
    </w:p>
    <w:p w14:paraId="76661CF7">
      <w:pPr>
        <w:pStyle w:val="CODE"/>
      </w:pPr>
      <w:r>
        <w:t xml:space="preserve">  "name": "Point",</w:t>
      </w:r>
    </w:p>
    <w:p w14:paraId="7CEE9142">
      <w:pPr>
        <w:pStyle w:val="CODE"/>
      </w:pPr>
      <w:r>
        <w:t xml:space="preserve">  "namespace": "org.opcfoundation.ua.avro",</w:t>
      </w:r>
    </w:p>
    <w:p w14:paraId="74720DF6">
      <w:pPr>
        <w:pStyle w:val="CODE"/>
      </w:pPr>
      <w:r>
        <w:t xml:space="preserve">  "type": "record"</w:t>
      </w:r>
    </w:p>
    <w:p w14:paraId="15EBF812">
      <w:pPr>
        <w:pStyle w:val="CODE"/>
      </w:pPr>
      <w:r>
        <w:t xml:space="preserve">}</w:t>
      </w:r>
    </w:p>
    <w:p w14:paraId="1EF5BC4F">
      <w:pPr>
        <w:pStyle w:val="PARAGRAPH"/>
      </w:pPr>
      <w:r>
        <w:rPr>
          <w:b/>
        </w:rPr>
        <w:t xml:space="preserve">Example value</w:t>
      </w:r>
      <w:r>
        <w:t xml:space="preserve"> (</w:t>
      </w:r>
      <w:r>
        <w:rPr>
          <w:rStyle w:val="VARIABLE"/>
        </w:rPr>
        <w:t xml:space="preserve">struct_point</w:t>
      </w:r>
      <w:r>
        <w:t xml:space="preserve">)</w:t>
      </w:r>
    </w:p>
    <w:p w14:paraId="316A41B4">
      <w:pPr>
        <w:pStyle w:val="CODE"/>
      </w:pPr>
      <w:r>
        <w:t xml:space="preserve">{"fields": {"X": 1.25, "Y": -3.5}, "type_name": "Point"}</w:t>
      </w:r>
    </w:p>
    <w:p w14:paraId="2E7212AD">
      <w:pPr>
        <w:pStyle w:val="PARAGRAPH"/>
      </w:pPr>
      <w:r>
        <w:rPr>
          <w:b/>
        </w:rPr>
        <w:t xml:space="preserve">Encoded bytes</w:t>
      </w:r>
      <w:r>
        <w:t xml:space="preserve"> (16 bytes)</w:t>
      </w:r>
    </w:p>
    <w:p w14:paraId="58D8AD1C">
      <w:pPr>
        <w:pStyle w:val="CODE"/>
      </w:pPr>
      <w:r>
        <w:t xml:space="preserve">000000000000f43f0000000000000cc0</w:t>
      </w:r>
    </w:p>
    <w:p w14:paraId="17620AA8">
      <w:pPr>
        <w:pStyle w:val="PARAGRAPH"/>
      </w:pPr>
      <w:r>
        <w:rPr>
          <w:b/>
        </w:rPr>
        <w:t xml:space="preserve">Annotated byte-level breakdown</w:t>
      </w:r>
    </w:p>
    <w:p w14:paraId="4EC5F542">
      <w:pPr>
        <w:pStyle w:val="TABLE-title"/>
        <w:keepNext/>
      </w:pPr>
      <w:bookmarkStart w:id="633" w:name="_Tab_structure_tab2"/>
      <w:r>
        <w:t xml:space="preserve">Table </w:t>
      </w:r>
      <w:r>
        <w:fldChar w:fldCharType="begin"/>
      </w:r>
      <w:r>
        <w:instrText xml:space="preserve"> SEQ Table \* ARABIC </w:instrText>
      </w:r>
      <w:r>
        <w:fldChar w:fldCharType="separate"/>
      </w:r>
      <w:r>
        <w:rPr>
          <w:noProof/>
        </w:rPr>
        <w:t xml:space="preserve">71</w:t>
      </w:r>
      <w:r>
        <w:fldChar w:fldCharType="end"/>
      </w:r>
      <w:r>
        <w:t xml:space="preserve"> – Structure (2)</w:t>
      </w:r>
      <w:bookmarkEnd w:id="6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BA6D214">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5171D454">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1245E067">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4E57E9C2">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BEC3AE4">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408C876A">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5A4903E1">
            <w:pPr>
              <w:pStyle w:val="TableText"/>
            </w:pPr>
            <w:r>
              <w:rPr>
                <w:rStyle w:val="VARIABLE"/>
              </w:rPr>
              <w:t xml:space="preserve">00 00 00 00 00 00 f4 3f</w:t>
            </w:r>
          </w:p>
        </w:tc>
        <w:tc>
          <w:tcPr>
            <w:tcW w:w="2233" w:type="dxa"/>
            <w:tcBorders>
              <w:top w:val="single" w:sz="4" w:space="0" w:color="auto"/>
              <w:left w:val="single" w:sz="4" w:space="0" w:color="auto"/>
              <w:bottom w:val="single" w:sz="4" w:space="0" w:color="auto"/>
              <w:right w:val="single" w:sz="4" w:space="0" w:color="auto"/>
            </w:tcBorders>
          </w:tcPr>
          <w:p w14:paraId="6A78C9A8">
            <w:pPr>
              <w:pStyle w:val="TableText"/>
            </w:pPr>
            <w:r>
              <w:t xml:space="preserve">$.X: float64 little-endian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2E2CE83">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2364BD7C">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146EDE99">
            <w:pPr>
              <w:pStyle w:val="TableText"/>
            </w:pPr>
            <w:r>
              <w:rPr>
                <w:rStyle w:val="VARIABLE"/>
              </w:rPr>
              <w:t xml:space="preserve">00 00 00 00 00 00 0c c0</w:t>
            </w:r>
          </w:p>
        </w:tc>
        <w:tc>
          <w:tcPr>
            <w:tcW w:w="2233" w:type="dxa"/>
            <w:tcBorders>
              <w:top w:val="single" w:sz="4" w:space="0" w:color="auto"/>
              <w:left w:val="single" w:sz="4" w:space="0" w:color="auto"/>
              <w:bottom w:val="single" w:sz="4" w:space="0" w:color="auto"/>
              <w:right w:val="single" w:sz="4" w:space="0" w:color="auto"/>
            </w:tcBorders>
          </w:tcPr>
          <w:p w14:paraId="3DF2F170">
            <w:pPr>
              <w:pStyle w:val="TableText"/>
            </w:pPr>
            <w:r>
              <w:t xml:space="preserve">$.Y: float64 little-endian</w:t>
            </w:r>
          </w:p>
        </w:tc>
      </w:tr>
    </w:tbl>
    <w:p w14:paraId="37E1624E">
      <w:pPr>
        <w:pStyle w:val="spacer"/>
      </w:pPr>
    </w:p>
    <w:p w14:paraId="67D46F82">
      <w:pPr>
        <w:pStyle w:val="ANNEX-heading2"/>
      </w:pPr>
      <w:bookmarkStart w:id="634" w:name="_Clause_cA_2_29"/>
      <w:r>
        <w:t xml:space="preserve">Structure with optional fields</w:t>
      </w:r>
      <w:bookmarkEnd w:id="634"/>
    </w:p>
    <w:p w14:paraId="0F03736A">
      <w:pPr>
        <w:pStyle w:val="PARAGRAPH"/>
      </w:pPr>
      <w:r>
        <w:rPr>
          <w:b/>
        </w:rPr>
        <w:t xml:space="preserve">SchemaId</w:t>
      </w:r>
      <w:r>
        <w:t xml:space="preserve"> </w:t>
      </w:r>
      <w:r>
        <w:rPr>
          <w:rStyle w:val="VARIABLE"/>
        </w:rPr>
        <w:t xml:space="preserve">87352c988d4b795d</w:t>
      </w:r>
    </w:p>
    <w:p w14:paraId="3719598B">
      <w:pPr>
        <w:pStyle w:val="TABLE-title"/>
        <w:keepNext/>
      </w:pPr>
      <w:bookmarkStart w:id="635" w:name="_Tab_structure_with_optional_fields_tab1"/>
      <w:r>
        <w:t xml:space="preserve">Table </w:t>
      </w:r>
      <w:r>
        <w:fldChar w:fldCharType="begin"/>
      </w:r>
      <w:r>
        <w:instrText xml:space="preserve"> SEQ Table \* ARABIC </w:instrText>
      </w:r>
      <w:r>
        <w:fldChar w:fldCharType="separate"/>
      </w:r>
      <w:r>
        <w:rPr>
          <w:noProof/>
        </w:rPr>
        <w:t xml:space="preserve">72</w:t>
      </w:r>
      <w:r>
        <w:fldChar w:fldCharType="end"/>
      </w:r>
      <w:r>
        <w:t xml:space="preserve"> – Structure with optional fields</w:t>
      </w:r>
      <w:bookmarkEnd w:id="6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122E195D">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3D00D4A1">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56B20185">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068B3346">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160FFA7">
            <w:pPr>
              <w:pStyle w:val="TableText"/>
            </w:pPr>
            <w:r>
              <w:rPr>
                <w:rStyle w:val="VARIABLE"/>
              </w:rPr>
              <w:t xml:space="preserve">Name</w:t>
            </w:r>
          </w:p>
        </w:tc>
        <w:tc>
          <w:tcPr>
            <w:tcW w:w="2231" w:type="dxa"/>
            <w:tcBorders>
              <w:top w:val="single" w:sz="4" w:space="0" w:color="auto"/>
              <w:left w:val="single" w:sz="4" w:space="0" w:color="auto"/>
              <w:bottom w:val="single" w:sz="4" w:space="0" w:color="auto"/>
              <w:right w:val="single" w:sz="4" w:space="0" w:color="auto"/>
            </w:tcBorders>
          </w:tcPr>
          <w:p w14:paraId="30256881">
            <w:pPr>
              <w:pStyle w:val="TableText"/>
            </w:pPr>
            <w:r>
              <w:rPr>
                <w:rStyle w:val="VARIABLE"/>
              </w:rPr>
              <w:t xml:space="preserve">["null", "string"]</w:t>
            </w:r>
          </w:p>
        </w:tc>
        <w:tc>
          <w:tcPr>
            <w:tcW w:w="2231" w:type="dxa"/>
            <w:tcBorders>
              <w:top w:val="single" w:sz="4" w:space="0" w:color="auto"/>
              <w:left w:val="single" w:sz="4" w:space="0" w:color="auto"/>
              <w:bottom w:val="single" w:sz="4" w:space="0" w:color="auto"/>
              <w:right w:val="single" w:sz="4" w:space="0" w:color="auto"/>
            </w:tcBorders>
          </w:tcPr>
          <w:p w14:paraId="467799ED">
            <w:pPr>
              <w:pStyle w:val="TableText"/>
            </w:pPr>
            <w:r>
              <w:t xml:space="preserve">optional wrapper</w:t>
            </w:r>
          </w:p>
        </w:tc>
        <w:tc>
          <w:tcPr>
            <w:tcW w:w="2233" w:type="dxa"/>
            <w:tcBorders>
              <w:top w:val="single" w:sz="4" w:space="0" w:color="auto"/>
              <w:left w:val="single" w:sz="4" w:space="0" w:color="auto"/>
              <w:bottom w:val="single" w:sz="4" w:space="0" w:color="auto"/>
              <w:right w:val="single" w:sz="4" w:space="0" w:color="auto"/>
            </w:tcBorders>
          </w:tcPr>
          <w:p w14:paraId="55427047">
            <w:pPr>
              <w:pStyle w:val="TableText"/>
            </w:pPr>
            <w:r>
              <w:t xml:space="preserve">Optional wrapper distinguishes absent from present-null.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0B7B960">
            <w:pPr>
              <w:pStyle w:val="TableText"/>
            </w:pPr>
            <w:r>
              <w:rPr>
                <w:rStyle w:val="VARIABLE"/>
              </w:rPr>
              <w:t xml:space="preserve">Age</w:t>
            </w:r>
          </w:p>
        </w:tc>
        <w:tc>
          <w:tcPr>
            <w:tcW w:w="2231" w:type="dxa"/>
            <w:tcBorders>
              <w:top w:val="single" w:sz="4" w:space="0" w:color="auto"/>
              <w:left w:val="single" w:sz="4" w:space="0" w:color="auto"/>
              <w:bottom w:val="single" w:sz="4" w:space="0" w:color="auto"/>
              <w:right w:val="single" w:sz="4" w:space="0" w:color="auto"/>
            </w:tcBorders>
          </w:tcPr>
          <w:p w14:paraId="7235EB65">
            <w:pPr>
              <w:pStyle w:val="TableText"/>
            </w:pPr>
            <w:r>
              <w:rPr>
                <w:rStyle w:val="VARIABLE"/>
              </w:rPr>
              <w:t xml:space="preserve">"int"</w:t>
            </w:r>
          </w:p>
        </w:tc>
        <w:tc>
          <w:tcPr>
            <w:tcW w:w="2231" w:type="dxa"/>
            <w:tcBorders>
              <w:top w:val="single" w:sz="4" w:space="0" w:color="auto"/>
              <w:left w:val="single" w:sz="4" w:space="0" w:color="auto"/>
              <w:bottom w:val="single" w:sz="4" w:space="0" w:color="auto"/>
              <w:right w:val="single" w:sz="4" w:space="0" w:color="auto"/>
            </w:tcBorders>
          </w:tcPr>
          <w:p w14:paraId="520C0CC7">
            <w:pPr>
              <w:pStyle w:val="TableText"/>
            </w:pPr>
            <w:r>
              <w:t xml:space="preserve">present</w:t>
            </w:r>
          </w:p>
        </w:tc>
        <w:tc>
          <w:tcPr>
            <w:tcW w:w="2233" w:type="dxa"/>
            <w:tcBorders>
              <w:top w:val="single" w:sz="4" w:space="0" w:color="auto"/>
              <w:left w:val="single" w:sz="4" w:space="0" w:color="auto"/>
              <w:bottom w:val="single" w:sz="4" w:space="0" w:color="auto"/>
              <w:right w:val="single" w:sz="4" w:space="0" w:color="auto"/>
            </w:tcBorders>
          </w:tcPr>
          <w:p w14:paraId="4EBDB333">
            <w:pPr>
              <w:pStyle w:val="TableText"/>
            </w:pPr>
            <w:r>
              <w:t xml:space="preserve">Optional wrapper distinguishes absent from present-null.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9367A22">
            <w:pPr>
              <w:pStyle w:val="TableText"/>
            </w:pPr>
            <w:r>
              <w:rPr>
                <w:rStyle w:val="VARIABLE"/>
              </w:rPr>
              <w:t xml:space="preserve">Email</w:t>
            </w:r>
          </w:p>
        </w:tc>
        <w:tc>
          <w:tcPr>
            <w:tcW w:w="2231" w:type="dxa"/>
            <w:tcBorders>
              <w:top w:val="single" w:sz="4" w:space="0" w:color="auto"/>
              <w:left w:val="single" w:sz="4" w:space="0" w:color="auto"/>
              <w:bottom w:val="single" w:sz="4" w:space="0" w:color="auto"/>
              <w:right w:val="single" w:sz="4" w:space="0" w:color="auto"/>
            </w:tcBorders>
          </w:tcPr>
          <w:p w14:paraId="714CB559">
            <w:pPr>
              <w:pStyle w:val="TableText"/>
            </w:pPr>
            <w:r>
              <w:rPr>
                <w:rStyle w:val="VARIABLE"/>
              </w:rPr>
              <w:t xml:space="preserve">["null", {"fields": [{"name": "value", "type": ["null", "string"]}], "name": "Person_Email_Optional",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77120928">
            <w:pPr>
              <w:pStyle w:val="TableText"/>
            </w:pPr>
            <w:r>
              <w:t xml:space="preserve">optional wrapper</w:t>
            </w:r>
          </w:p>
        </w:tc>
        <w:tc>
          <w:tcPr>
            <w:tcW w:w="2233" w:type="dxa"/>
            <w:tcBorders>
              <w:top w:val="single" w:sz="4" w:space="0" w:color="auto"/>
              <w:left w:val="single" w:sz="4" w:space="0" w:color="auto"/>
              <w:bottom w:val="single" w:sz="4" w:space="0" w:color="auto"/>
              <w:right w:val="single" w:sz="4" w:space="0" w:color="auto"/>
            </w:tcBorders>
          </w:tcPr>
          <w:p w14:paraId="4C041D22">
            <w:pPr>
              <w:pStyle w:val="TableText"/>
            </w:pPr>
            <w:r>
              <w:t xml:space="preserve">Optional wrapper distinguishes absent from present-null.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F7E4009">
            <w:pPr>
              <w:pStyle w:val="TableText"/>
            </w:pPr>
            <w:r>
              <w:rPr>
                <w:rStyle w:val="VARIABLE"/>
              </w:rPr>
              <w:t xml:space="preserve">Nickname</w:t>
            </w:r>
          </w:p>
        </w:tc>
        <w:tc>
          <w:tcPr>
            <w:tcW w:w="2231" w:type="dxa"/>
            <w:tcBorders>
              <w:top w:val="single" w:sz="4" w:space="0" w:color="auto"/>
              <w:left w:val="single" w:sz="4" w:space="0" w:color="auto"/>
              <w:bottom w:val="single" w:sz="4" w:space="0" w:color="auto"/>
              <w:right w:val="single" w:sz="4" w:space="0" w:color="auto"/>
            </w:tcBorders>
          </w:tcPr>
          <w:p w14:paraId="0A86C61B">
            <w:pPr>
              <w:pStyle w:val="TableText"/>
            </w:pPr>
            <w:r>
              <w:rPr>
                <w:rStyle w:val="VARIABLE"/>
              </w:rPr>
              <w:t xml:space="preserve">["null", {"fields": [{"name": "value", "type": ["null", "string"]}], "name": "Person_Nickname_Optional",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39E80A48">
            <w:pPr>
              <w:pStyle w:val="TableText"/>
            </w:pPr>
            <w:r>
              <w:t xml:space="preserve">optional wrapper</w:t>
            </w:r>
          </w:p>
        </w:tc>
        <w:tc>
          <w:tcPr>
            <w:tcW w:w="2233" w:type="dxa"/>
            <w:tcBorders>
              <w:top w:val="single" w:sz="4" w:space="0" w:color="auto"/>
              <w:left w:val="single" w:sz="4" w:space="0" w:color="auto"/>
              <w:bottom w:val="single" w:sz="4" w:space="0" w:color="auto"/>
              <w:right w:val="single" w:sz="4" w:space="0" w:color="auto"/>
            </w:tcBorders>
          </w:tcPr>
          <w:p w14:paraId="29183649">
            <w:pPr>
              <w:pStyle w:val="TableText"/>
            </w:pPr>
            <w:r>
              <w:t xml:space="preserve">Optional wrapper distinguishes absent from present-null.</w:t>
            </w:r>
          </w:p>
        </w:tc>
      </w:tr>
    </w:tbl>
    <w:p w14:paraId="0F58EBC7">
      <w:pPr>
        <w:pStyle w:val="spacer"/>
      </w:pPr>
    </w:p>
    <w:p w14:paraId="749A3D3C">
      <w:pPr>
        <w:pStyle w:val="PARAGRAPH"/>
      </w:pPr>
      <w:r>
        <w:rPr>
          <w:b/>
        </w:rPr>
        <w:t xml:space="preserve">Avro schema fragment</w:t>
      </w:r>
    </w:p>
    <w:p w14:paraId="3FB35027">
      <w:pPr>
        <w:pStyle w:val="CODE"/>
      </w:pPr>
      <w:r>
        <w:t xml:space="preserve">{</w:t>
      </w:r>
    </w:p>
    <w:p w14:paraId="7745D249">
      <w:pPr>
        <w:pStyle w:val="CODE"/>
      </w:pPr>
      <w:r>
        <w:t xml:space="preserve">  "fields": [</w:t>
      </w:r>
    </w:p>
    <w:p w14:paraId="6B0B5767">
      <w:pPr>
        <w:pStyle w:val="CODE"/>
      </w:pPr>
      <w:r>
        <w:t xml:space="preserve">    {</w:t>
      </w:r>
    </w:p>
    <w:p w14:paraId="337D5E34">
      <w:pPr>
        <w:pStyle w:val="CODE"/>
      </w:pPr>
      <w:r>
        <w:t xml:space="preserve">      "name": "Name",</w:t>
      </w:r>
    </w:p>
    <w:p w14:paraId="4519FF55">
      <w:pPr>
        <w:pStyle w:val="CODE"/>
      </w:pPr>
      <w:r>
        <w:t xml:space="preserve">      "type": [</w:t>
      </w:r>
    </w:p>
    <w:p w14:paraId="46F8F52D">
      <w:pPr>
        <w:pStyle w:val="CODE"/>
      </w:pPr>
      <w:r>
        <w:t xml:space="preserve">        "null",</w:t>
      </w:r>
    </w:p>
    <w:p w14:paraId="0AC5E724">
      <w:pPr>
        <w:pStyle w:val="CODE"/>
      </w:pPr>
      <w:r>
        <w:t xml:space="preserve">        "string"</w:t>
      </w:r>
    </w:p>
    <w:p w14:paraId="667539CF">
      <w:pPr>
        <w:pStyle w:val="CODE"/>
      </w:pPr>
      <w:r>
        <w:t xml:space="preserve">      ]</w:t>
      </w:r>
    </w:p>
    <w:p w14:paraId="5BCCE86A">
      <w:pPr>
        <w:pStyle w:val="CODE"/>
      </w:pPr>
      <w:r>
        <w:t xml:space="preserve">    },</w:t>
      </w:r>
    </w:p>
    <w:p w14:paraId="47501B02">
      <w:pPr>
        <w:pStyle w:val="CODE"/>
      </w:pPr>
      <w:r>
        <w:t xml:space="preserve">    {</w:t>
      </w:r>
    </w:p>
    <w:p w14:paraId="6E45EAC8">
      <w:pPr>
        <w:pStyle w:val="CODE"/>
      </w:pPr>
      <w:r>
        <w:t xml:space="preserve">      "name": "Age",</w:t>
      </w:r>
    </w:p>
    <w:p w14:paraId="1D980BE1">
      <w:pPr>
        <w:pStyle w:val="CODE"/>
      </w:pPr>
      <w:r>
        <w:t xml:space="preserve">      "type": "int"</w:t>
      </w:r>
    </w:p>
    <w:p w14:paraId="4461BEA6">
      <w:pPr>
        <w:pStyle w:val="CODE"/>
      </w:pPr>
      <w:r>
        <w:t xml:space="preserve">    },</w:t>
      </w:r>
    </w:p>
    <w:p w14:paraId="6993C62B">
      <w:pPr>
        <w:pStyle w:val="CODE"/>
      </w:pPr>
      <w:r>
        <w:t xml:space="preserve">    {</w:t>
      </w:r>
    </w:p>
    <w:p w14:paraId="5A1228E9">
      <w:pPr>
        <w:pStyle w:val="CODE"/>
      </w:pPr>
      <w:r>
        <w:t xml:space="preserve">      "default": null,</w:t>
      </w:r>
    </w:p>
    <w:p w14:paraId="1C204C4E">
      <w:pPr>
        <w:pStyle w:val="CODE"/>
      </w:pPr>
      <w:r>
        <w:t xml:space="preserve">      "name": "Email",</w:t>
      </w:r>
    </w:p>
    <w:p w14:paraId="07F8DC6E">
      <w:pPr>
        <w:pStyle w:val="CODE"/>
      </w:pPr>
      <w:r>
        <w:t xml:space="preserve">      "type": [</w:t>
      </w:r>
    </w:p>
    <w:p w14:paraId="5BD87DDD">
      <w:pPr>
        <w:pStyle w:val="CODE"/>
      </w:pPr>
      <w:r>
        <w:t xml:space="preserve">        "null",</w:t>
      </w:r>
    </w:p>
    <w:p w14:paraId="0BEA6C13">
      <w:pPr>
        <w:pStyle w:val="CODE"/>
      </w:pPr>
      <w:r>
        <w:t xml:space="preserve">        {</w:t>
      </w:r>
    </w:p>
    <w:p w14:paraId="72F2FA58">
      <w:pPr>
        <w:pStyle w:val="CODE"/>
      </w:pPr>
      <w:r>
        <w:t xml:space="preserve">          "fields": [</w:t>
      </w:r>
    </w:p>
    <w:p w14:paraId="13CAFFEF">
      <w:pPr>
        <w:pStyle w:val="CODE"/>
      </w:pPr>
      <w:r>
        <w:t xml:space="preserve">            {</w:t>
      </w:r>
    </w:p>
    <w:p w14:paraId="6E95D496">
      <w:pPr>
        <w:pStyle w:val="CODE"/>
      </w:pPr>
      <w:r>
        <w:t xml:space="preserve">              "name": "value",</w:t>
      </w:r>
    </w:p>
    <w:p w14:paraId="5BB9D673">
      <w:pPr>
        <w:pStyle w:val="CODE"/>
      </w:pPr>
      <w:r>
        <w:t xml:space="preserve">              "type": [</w:t>
      </w:r>
    </w:p>
    <w:p w14:paraId="783E37EA">
      <w:pPr>
        <w:pStyle w:val="CODE"/>
      </w:pPr>
      <w:r>
        <w:t xml:space="preserve">                "null",</w:t>
      </w:r>
    </w:p>
    <w:p w14:paraId="4172F38E">
      <w:pPr>
        <w:pStyle w:val="CODE"/>
      </w:pPr>
      <w:r>
        <w:t xml:space="preserve">                "string"</w:t>
      </w:r>
    </w:p>
    <w:p w14:paraId="5CF4ED42">
      <w:pPr>
        <w:pStyle w:val="CODE"/>
      </w:pPr>
      <w:r>
        <w:t xml:space="preserve">              ]</w:t>
      </w:r>
    </w:p>
    <w:p w14:paraId="437429CA">
      <w:pPr>
        <w:pStyle w:val="CODE"/>
      </w:pPr>
      <w:r>
        <w:t xml:space="preserve">            }</w:t>
      </w:r>
    </w:p>
    <w:p w14:paraId="565D8AA6">
      <w:pPr>
        <w:pStyle w:val="CODE"/>
      </w:pPr>
      <w:r>
        <w:t xml:space="preserve">          ],</w:t>
      </w:r>
    </w:p>
    <w:p w14:paraId="4CFFFB44">
      <w:pPr>
        <w:pStyle w:val="CODE"/>
      </w:pPr>
      <w:r>
        <w:t xml:space="preserve">          "name": "Person_Email_Optional",</w:t>
      </w:r>
    </w:p>
    <w:p w14:paraId="5E52427E">
      <w:pPr>
        <w:pStyle w:val="CODE"/>
      </w:pPr>
      <w:r>
        <w:t xml:space="preserve">          "namespace": "org.opcfoundation.ua.avro",</w:t>
      </w:r>
    </w:p>
    <w:p w14:paraId="3FB79B19">
      <w:pPr>
        <w:pStyle w:val="CODE"/>
      </w:pPr>
      <w:r>
        <w:t xml:space="preserve">          "type": "record"</w:t>
      </w:r>
    </w:p>
    <w:p w14:paraId="3BE03386">
      <w:pPr>
        <w:pStyle w:val="CODE"/>
      </w:pPr>
      <w:r>
        <w:t xml:space="preserve">        }</w:t>
      </w:r>
    </w:p>
    <w:p w14:paraId="6594964E">
      <w:pPr>
        <w:pStyle w:val="CODE"/>
      </w:pPr>
      <w:r>
        <w:t xml:space="preserve">      ]</w:t>
      </w:r>
    </w:p>
    <w:p w14:paraId="4CD66AB2">
      <w:pPr>
        <w:pStyle w:val="CODE"/>
      </w:pPr>
      <w:r>
        <w:t xml:space="preserve">    },</w:t>
      </w:r>
    </w:p>
    <w:p w14:paraId="4349E3EB">
      <w:pPr>
        <w:pStyle w:val="CODE"/>
      </w:pPr>
      <w:r>
        <w:t xml:space="preserve">    {</w:t>
      </w:r>
    </w:p>
    <w:p w14:paraId="26F82C78">
      <w:pPr>
        <w:pStyle w:val="CODE"/>
      </w:pPr>
      <w:r>
        <w:t xml:space="preserve">      "default": null,</w:t>
      </w:r>
    </w:p>
    <w:p w14:paraId="172B927C">
      <w:pPr>
        <w:pStyle w:val="CODE"/>
      </w:pPr>
      <w:r>
        <w:t xml:space="preserve">      "name": "Nickname",</w:t>
      </w:r>
    </w:p>
    <w:p w14:paraId="0DED5B26">
      <w:pPr>
        <w:pStyle w:val="CODE"/>
      </w:pPr>
      <w:r>
        <w:t xml:space="preserve">      "type": [</w:t>
      </w:r>
    </w:p>
    <w:p w14:paraId="666D7215">
      <w:pPr>
        <w:pStyle w:val="CODE"/>
      </w:pPr>
      <w:r>
        <w:t xml:space="preserve">        "null",</w:t>
      </w:r>
    </w:p>
    <w:p w14:paraId="099E74CC">
      <w:pPr>
        <w:pStyle w:val="CODE"/>
      </w:pPr>
      <w:r>
        <w:t xml:space="preserve">        {</w:t>
      </w:r>
    </w:p>
    <w:p w14:paraId="047312F1">
      <w:pPr>
        <w:pStyle w:val="CODE"/>
      </w:pPr>
      <w:r>
        <w:t xml:space="preserve">          "fields": [</w:t>
      </w:r>
    </w:p>
    <w:p w14:paraId="0015EE4B">
      <w:pPr>
        <w:pStyle w:val="CODE"/>
      </w:pPr>
      <w:r>
        <w:t xml:space="preserve">            {</w:t>
      </w:r>
    </w:p>
    <w:p w14:paraId="2F8CD1B6">
      <w:pPr>
        <w:pStyle w:val="CODE"/>
      </w:pPr>
      <w:r>
        <w:t xml:space="preserve">              "name": "value",</w:t>
      </w:r>
    </w:p>
    <w:p w14:paraId="2B497E58">
      <w:pPr>
        <w:pStyle w:val="CODE"/>
      </w:pPr>
      <w:r>
        <w:t xml:space="preserve">              "type": [</w:t>
      </w:r>
    </w:p>
    <w:p w14:paraId="0DBD417E">
      <w:pPr>
        <w:pStyle w:val="CODE"/>
      </w:pPr>
      <w:r>
        <w:t xml:space="preserve">                "null",</w:t>
      </w:r>
    </w:p>
    <w:p w14:paraId="332C513A">
      <w:pPr>
        <w:pStyle w:val="CODE"/>
      </w:pPr>
      <w:r>
        <w:t xml:space="preserve">                "string"</w:t>
      </w:r>
    </w:p>
    <w:p w14:paraId="1E4F7CA1">
      <w:pPr>
        <w:pStyle w:val="CODE"/>
      </w:pPr>
      <w:r>
        <w:t xml:space="preserve">              ]</w:t>
      </w:r>
    </w:p>
    <w:p w14:paraId="790B7ECB">
      <w:pPr>
        <w:pStyle w:val="CODE"/>
      </w:pPr>
      <w:r>
        <w:t xml:space="preserve">            }</w:t>
      </w:r>
    </w:p>
    <w:p w14:paraId="3C366F70">
      <w:pPr>
        <w:pStyle w:val="CODE"/>
      </w:pPr>
      <w:r>
        <w:t xml:space="preserve">          ],</w:t>
      </w:r>
    </w:p>
    <w:p w14:paraId="5D5CA79B">
      <w:pPr>
        <w:pStyle w:val="CODE"/>
      </w:pPr>
      <w:r>
        <w:t xml:space="preserve">          "name": "Person_Nickname_Optional",</w:t>
      </w:r>
    </w:p>
    <w:p w14:paraId="447E2677">
      <w:pPr>
        <w:pStyle w:val="CODE"/>
      </w:pPr>
      <w:r>
        <w:t xml:space="preserve">          "namespace": "org.opcfoundation.ua.avro",</w:t>
      </w:r>
    </w:p>
    <w:p w14:paraId="6C15A193">
      <w:pPr>
        <w:pStyle w:val="CODE"/>
      </w:pPr>
      <w:r>
        <w:t xml:space="preserve">          "type": "record"</w:t>
      </w:r>
    </w:p>
    <w:p w14:paraId="2CE6F042">
      <w:pPr>
        <w:pStyle w:val="CODE"/>
      </w:pPr>
      <w:r>
        <w:t xml:space="preserve">        }</w:t>
      </w:r>
    </w:p>
    <w:p w14:paraId="1DBAE1BC">
      <w:pPr>
        <w:pStyle w:val="CODE"/>
      </w:pPr>
      <w:r>
        <w:t xml:space="preserve">      ]</w:t>
      </w:r>
    </w:p>
    <w:p w14:paraId="21BD2E14">
      <w:pPr>
        <w:pStyle w:val="CODE"/>
      </w:pPr>
      <w:r>
        <w:t xml:space="preserve">    }</w:t>
      </w:r>
    </w:p>
    <w:p w14:paraId="11C1687C">
      <w:pPr>
        <w:pStyle w:val="CODE"/>
      </w:pPr>
      <w:r>
        <w:t xml:space="preserve">  ],</w:t>
      </w:r>
    </w:p>
    <w:p w14:paraId="63B5D6B7">
      <w:pPr>
        <w:pStyle w:val="CODE"/>
      </w:pPr>
      <w:r>
        <w:t xml:space="preserve">  "name": "Person",</w:t>
      </w:r>
    </w:p>
    <w:p w14:paraId="204CABC2">
      <w:pPr>
        <w:pStyle w:val="CODE"/>
      </w:pPr>
      <w:r>
        <w:t xml:space="preserve">  "namespace": "org.opcfoundation.ua.avro",</w:t>
      </w:r>
    </w:p>
    <w:p w14:paraId="4A93C2D2">
      <w:pPr>
        <w:pStyle w:val="CODE"/>
      </w:pPr>
      <w:r>
        <w:t xml:space="preserve">  "type": "record"</w:t>
      </w:r>
    </w:p>
    <w:p w14:paraId="69A1C928">
      <w:pPr>
        <w:pStyle w:val="CODE"/>
      </w:pPr>
      <w:r>
        <w:t xml:space="preserve">}</w:t>
      </w:r>
    </w:p>
    <w:p w14:paraId="772918EA">
      <w:pPr>
        <w:pStyle w:val="PARAGRAPH"/>
      </w:pPr>
      <w:r>
        <w:rPr>
          <w:b/>
        </w:rPr>
        <w:t xml:space="preserve">Example value</w:t>
      </w:r>
      <w:r>
        <w:t xml:space="preserve"> (</w:t>
      </w:r>
      <w:r>
        <w:rPr>
          <w:rStyle w:val="VARIABLE"/>
        </w:rPr>
        <w:t xml:space="preserve">struct_person_present_null</w:t>
      </w:r>
      <w:r>
        <w:t xml:space="preserve">)</w:t>
      </w:r>
    </w:p>
    <w:p w14:paraId="7F4291C1">
      <w:pPr>
        <w:pStyle w:val="CODE"/>
      </w:pPr>
      <w:r>
        <w:t xml:space="preserve">{"fields": {"Age": 9, "Email": null, "Name": "Zed"}, "type_name": "Person"}</w:t>
      </w:r>
    </w:p>
    <w:p w14:paraId="54467542">
      <w:pPr>
        <w:pStyle w:val="PARAGRAPH"/>
      </w:pPr>
      <w:r>
        <w:rPr>
          <w:b/>
        </w:rPr>
        <w:t xml:space="preserve">Encoded bytes</w:t>
      </w:r>
      <w:r>
        <w:t xml:space="preserve"> (9 bytes)</w:t>
      </w:r>
    </w:p>
    <w:p w14:paraId="573C2E3B">
      <w:pPr>
        <w:pStyle w:val="CODE"/>
      </w:pPr>
      <w:r>
        <w:t xml:space="preserve">02065a656412020000</w:t>
      </w:r>
    </w:p>
    <w:p w14:paraId="00FCACB0">
      <w:pPr>
        <w:pStyle w:val="PARAGRAPH"/>
      </w:pPr>
      <w:r>
        <w:rPr>
          <w:b/>
        </w:rPr>
        <w:t xml:space="preserve">Annotated byte-level breakdown</w:t>
      </w:r>
    </w:p>
    <w:p w14:paraId="2B6545BE">
      <w:pPr>
        <w:pStyle w:val="TABLE-title"/>
        <w:keepNext/>
      </w:pPr>
      <w:bookmarkStart w:id="636" w:name="_Tab_structure_with_optional_fields_tab2"/>
      <w:r>
        <w:t xml:space="preserve">Table </w:t>
      </w:r>
      <w:r>
        <w:fldChar w:fldCharType="begin"/>
      </w:r>
      <w:r>
        <w:instrText xml:space="preserve"> SEQ Table \* ARABIC </w:instrText>
      </w:r>
      <w:r>
        <w:fldChar w:fldCharType="separate"/>
      </w:r>
      <w:r>
        <w:rPr>
          <w:noProof/>
        </w:rPr>
        <w:t xml:space="preserve">73</w:t>
      </w:r>
      <w:r>
        <w:fldChar w:fldCharType="end"/>
      </w:r>
      <w:r>
        <w:t xml:space="preserve"> – Structure with optional fields (2)</w:t>
      </w:r>
      <w:bookmarkEnd w:id="6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1696A111">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0A43F963">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6CBDDAFB">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4DD6273C">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CDC13CE">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72FB9253">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A6CD50D">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57CB92E0">
            <w:pPr>
              <w:pStyle w:val="TableText"/>
            </w:pPr>
            <w:r>
              <w:t xml:space="preserve">$.Name: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A7306D7">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7C91328">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D014FEB">
            <w:pPr>
              <w:pStyle w:val="TableText"/>
            </w:pPr>
            <w:r>
              <w:rPr>
                <w:rStyle w:val="VARIABLE"/>
              </w:rPr>
              <w:t xml:space="preserve">06</w:t>
            </w:r>
          </w:p>
        </w:tc>
        <w:tc>
          <w:tcPr>
            <w:tcW w:w="2233" w:type="dxa"/>
            <w:tcBorders>
              <w:top w:val="single" w:sz="4" w:space="0" w:color="auto"/>
              <w:left w:val="single" w:sz="4" w:space="0" w:color="auto"/>
              <w:bottom w:val="single" w:sz="4" w:space="0" w:color="auto"/>
              <w:right w:val="single" w:sz="4" w:space="0" w:color="auto"/>
            </w:tcBorders>
          </w:tcPr>
          <w:p w14:paraId="4F906AD4">
            <w:pPr>
              <w:pStyle w:val="TableText"/>
            </w:pPr>
            <w:r>
              <w:t xml:space="preserve">$.Name: branch 1 (string): string length = 3</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7BF79AA">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52C1E891">
            <w:pPr>
              <w:pStyle w:val="TableText"/>
            </w:pPr>
            <w:r>
              <w:t xml:space="preserve">3</w:t>
            </w:r>
          </w:p>
        </w:tc>
        <w:tc>
          <w:tcPr>
            <w:tcW w:w="2231" w:type="dxa"/>
            <w:tcBorders>
              <w:top w:val="single" w:sz="4" w:space="0" w:color="auto"/>
              <w:left w:val="single" w:sz="4" w:space="0" w:color="auto"/>
              <w:bottom w:val="single" w:sz="4" w:space="0" w:color="auto"/>
              <w:right w:val="single" w:sz="4" w:space="0" w:color="auto"/>
            </w:tcBorders>
          </w:tcPr>
          <w:p w14:paraId="258221F1">
            <w:pPr>
              <w:pStyle w:val="TableText"/>
            </w:pPr>
            <w:r>
              <w:rPr>
                <w:rStyle w:val="VARIABLE"/>
              </w:rPr>
              <w:t xml:space="preserve">5a 65 64</w:t>
            </w:r>
          </w:p>
        </w:tc>
        <w:tc>
          <w:tcPr>
            <w:tcW w:w="2233" w:type="dxa"/>
            <w:tcBorders>
              <w:top w:val="single" w:sz="4" w:space="0" w:color="auto"/>
              <w:left w:val="single" w:sz="4" w:space="0" w:color="auto"/>
              <w:bottom w:val="single" w:sz="4" w:space="0" w:color="auto"/>
              <w:right w:val="single" w:sz="4" w:space="0" w:color="auto"/>
            </w:tcBorders>
          </w:tcPr>
          <w:p w14:paraId="16E204B4">
            <w:pPr>
              <w:pStyle w:val="TableText"/>
            </w:pPr>
            <w:r>
              <w:t xml:space="preserve">$.Name: branch 1 (string): string data</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87FED76">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14:paraId="76644512">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7BF18E51">
            <w:pPr>
              <w:pStyle w:val="TableText"/>
            </w:pPr>
            <w:r>
              <w:rPr>
                <w:rStyle w:val="VARIABLE"/>
              </w:rPr>
              <w:t xml:space="preserve">12</w:t>
            </w:r>
          </w:p>
        </w:tc>
        <w:tc>
          <w:tcPr>
            <w:tcW w:w="2233" w:type="dxa"/>
            <w:tcBorders>
              <w:top w:val="single" w:sz="4" w:space="0" w:color="auto"/>
              <w:left w:val="single" w:sz="4" w:space="0" w:color="auto"/>
              <w:bottom w:val="single" w:sz="4" w:space="0" w:color="auto"/>
              <w:right w:val="single" w:sz="4" w:space="0" w:color="auto"/>
            </w:tcBorders>
          </w:tcPr>
          <w:p w14:paraId="0244E346">
            <w:pPr>
              <w:pStyle w:val="TableText"/>
            </w:pPr>
            <w:r>
              <w:t xml:space="preserve">$.Age: int = 9</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8ECAB53">
            <w:pPr>
              <w:pStyle w:val="TableText"/>
            </w:pPr>
            <w:r>
              <w:t xml:space="preserve">6</w:t>
            </w:r>
          </w:p>
        </w:tc>
        <w:tc>
          <w:tcPr>
            <w:tcW w:w="2231" w:type="dxa"/>
            <w:tcBorders>
              <w:top w:val="single" w:sz="4" w:space="0" w:color="auto"/>
              <w:left w:val="single" w:sz="4" w:space="0" w:color="auto"/>
              <w:bottom w:val="single" w:sz="4" w:space="0" w:color="auto"/>
              <w:right w:val="single" w:sz="4" w:space="0" w:color="auto"/>
            </w:tcBorders>
          </w:tcPr>
          <w:p w14:paraId="2CB5029D">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2959C760">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2087FAB2">
            <w:pPr>
              <w:pStyle w:val="TableText"/>
            </w:pPr>
            <w:r>
              <w:t xml:space="preserve">$.Email: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12BA6E2">
            <w:pPr>
              <w:pStyle w:val="TableText"/>
            </w:pPr>
            <w:r>
              <w:t xml:space="preserve">7</w:t>
            </w:r>
          </w:p>
        </w:tc>
        <w:tc>
          <w:tcPr>
            <w:tcW w:w="2231" w:type="dxa"/>
            <w:tcBorders>
              <w:top w:val="single" w:sz="4" w:space="0" w:color="auto"/>
              <w:left w:val="single" w:sz="4" w:space="0" w:color="auto"/>
              <w:bottom w:val="single" w:sz="4" w:space="0" w:color="auto"/>
              <w:right w:val="single" w:sz="4" w:space="0" w:color="auto"/>
            </w:tcBorders>
          </w:tcPr>
          <w:p w14:paraId="5F7C91C8">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76038887">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1E3DBE46">
            <w:pPr>
              <w:pStyle w:val="TableText"/>
            </w:pPr>
            <w:r>
              <w:t xml:space="preserve">$.Email: branch 1 (org.opcfoundation.ua.avro.Person_Email_Optional).value: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B34B999">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1A5A237F">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5CF5F22B">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7B7E30E4">
            <w:pPr>
              <w:pStyle w:val="TableText"/>
            </w:pPr>
            <w:r>
              <w:t xml:space="preserve">$.Email: branch 1 (org.opcfoundation.ua.avro.Person_Email_Optional).value: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210DF35">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0837EAC3">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0EE04AF">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1AF9B133">
            <w:pPr>
              <w:pStyle w:val="TableText"/>
            </w:pPr>
            <w:r>
              <w:t xml:space="preserve">$.Nickname: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B39060B">
            <w:pPr>
              <w:pStyle w:val="TableText"/>
            </w:pPr>
            <w:r>
              <w:t xml:space="preserve">9</w:t>
            </w:r>
          </w:p>
        </w:tc>
        <w:tc>
          <w:tcPr>
            <w:tcW w:w="2231" w:type="dxa"/>
            <w:tcBorders>
              <w:top w:val="single" w:sz="4" w:space="0" w:color="auto"/>
              <w:left w:val="single" w:sz="4" w:space="0" w:color="auto"/>
              <w:bottom w:val="single" w:sz="4" w:space="0" w:color="auto"/>
              <w:right w:val="single" w:sz="4" w:space="0" w:color="auto"/>
            </w:tcBorders>
          </w:tcPr>
          <w:p w14:paraId="026D8C00">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0EEB1AF0">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6027DABB">
            <w:pPr>
              <w:pStyle w:val="TableText"/>
            </w:pPr>
            <w:r>
              <w:t xml:space="preserve">$.Nickname: branch 0 (null): null</w:t>
            </w:r>
          </w:p>
        </w:tc>
      </w:tr>
    </w:tbl>
    <w:p w14:paraId="184BD166">
      <w:pPr>
        <w:pStyle w:val="spacer"/>
      </w:pPr>
    </w:p>
    <w:p w14:paraId="3E4ABC13">
      <w:pPr>
        <w:pStyle w:val="ANNEX-heading2"/>
      </w:pPr>
      <w:bookmarkStart w:id="637" w:name="_Clause_cA_2_30"/>
      <w:r>
        <w:t xml:space="preserve">Union</w:t>
      </w:r>
      <w:bookmarkEnd w:id="637"/>
    </w:p>
    <w:p w14:paraId="48F3F236">
      <w:pPr>
        <w:pStyle w:val="PARAGRAPH"/>
      </w:pPr>
      <w:r>
        <w:rPr>
          <w:b/>
        </w:rPr>
        <w:t xml:space="preserve">SchemaId</w:t>
      </w:r>
      <w:r>
        <w:t xml:space="preserve"> </w:t>
      </w:r>
      <w:r>
        <w:rPr>
          <w:rStyle w:val="VARIABLE"/>
        </w:rPr>
        <w:t xml:space="preserve">f906a398dbbd6787</w:t>
      </w:r>
    </w:p>
    <w:p w14:paraId="1270A54C">
      <w:pPr>
        <w:pStyle w:val="TABLE-title"/>
        <w:keepNext/>
      </w:pPr>
      <w:bookmarkStart w:id="638" w:name="_Tab_union_tab1"/>
      <w:r>
        <w:t xml:space="preserve">Table </w:t>
      </w:r>
      <w:r>
        <w:fldChar w:fldCharType="begin"/>
      </w:r>
      <w:r>
        <w:instrText xml:space="preserve"> SEQ Table \* ARABIC </w:instrText>
      </w:r>
      <w:r>
        <w:fldChar w:fldCharType="separate"/>
      </w:r>
      <w:r>
        <w:rPr>
          <w:noProof/>
        </w:rPr>
        <w:t xml:space="preserve">74</w:t>
      </w:r>
      <w:r>
        <w:fldChar w:fldCharType="end"/>
      </w:r>
      <w:r>
        <w:t xml:space="preserve"> – Union</w:t>
      </w:r>
      <w:bookmarkEnd w:id="6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A127763">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355DF3BC">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393F99D5">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32409B12">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8E37BC8">
            <w:pPr>
              <w:pStyle w:val="TableText"/>
            </w:pPr>
            <w:r>
              <w:rPr>
                <w:rStyle w:val="VARIABLE"/>
              </w:rPr>
              <w:t xml:space="preserve">switch</w:t>
            </w:r>
          </w:p>
        </w:tc>
        <w:tc>
          <w:tcPr>
            <w:tcW w:w="2231" w:type="dxa"/>
            <w:tcBorders>
              <w:top w:val="single" w:sz="4" w:space="0" w:color="auto"/>
              <w:left w:val="single" w:sz="4" w:space="0" w:color="auto"/>
              <w:bottom w:val="single" w:sz="4" w:space="0" w:color="auto"/>
              <w:right w:val="single" w:sz="4" w:space="0" w:color="auto"/>
            </w:tcBorders>
          </w:tcPr>
          <w:p w14:paraId="0234FA89">
            <w:pPr>
              <w:pStyle w:val="TableText"/>
            </w:pPr>
            <w:r>
              <w:rPr>
                <w:rStyle w:val="VARIABLE"/>
              </w:rPr>
              <w:t xml:space="preserve">["null", "string"]</w:t>
            </w:r>
          </w:p>
        </w:tc>
        <w:tc>
          <w:tcPr>
            <w:tcW w:w="2231" w:type="dxa"/>
            <w:tcBorders>
              <w:top w:val="single" w:sz="4" w:space="0" w:color="auto"/>
              <w:left w:val="single" w:sz="4" w:space="0" w:color="auto"/>
              <w:bottom w:val="single" w:sz="4" w:space="0" w:color="auto"/>
              <w:right w:val="single" w:sz="4" w:space="0" w:color="auto"/>
            </w:tcBorders>
          </w:tcPr>
          <w:p w14:paraId="60C7E000">
            <w:pPr>
              <w:pStyle w:val="TableText"/>
            </w:pPr>
            <w:r>
              <w:t xml:space="preserve">optional wrapper</w:t>
            </w:r>
          </w:p>
        </w:tc>
        <w:tc>
          <w:tcPr>
            <w:tcW w:w="2233" w:type="dxa"/>
            <w:tcBorders>
              <w:top w:val="single" w:sz="4" w:space="0" w:color="auto"/>
              <w:left w:val="single" w:sz="4" w:space="0" w:color="auto"/>
              <w:bottom w:val="single" w:sz="4" w:space="0" w:color="auto"/>
              <w:right w:val="single" w:sz="4" w:space="0" w:color="auto"/>
            </w:tcBorders>
          </w:tcPr>
          <w:p w14:paraId="6A71C15F">
            <w:pPr>
              <w:pStyle w:val="TableText"/>
            </w:pPr>
            <w:r>
              <w:t xml:space="preserve">Union record: switch field plus record-wrapped selected value.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75659C0">
            <w:pPr>
              <w:pStyle w:val="TableText"/>
            </w:pPr>
            <w:r>
              <w:rPr>
                <w:rStyle w:val="VARIABLE"/>
              </w:rPr>
              <w:t xml:space="preserve">value</w:t>
            </w:r>
          </w:p>
        </w:tc>
        <w:tc>
          <w:tcPr>
            <w:tcW w:w="2231" w:type="dxa"/>
            <w:tcBorders>
              <w:top w:val="single" w:sz="4" w:space="0" w:color="auto"/>
              <w:left w:val="single" w:sz="4" w:space="0" w:color="auto"/>
              <w:bottom w:val="single" w:sz="4" w:space="0" w:color="auto"/>
              <w:right w:val="single" w:sz="4" w:space="0" w:color="auto"/>
            </w:tcBorders>
          </w:tcPr>
          <w:p w14:paraId="29BD0CA1">
            <w:pPr>
              <w:pStyle w:val="TableText"/>
            </w:pPr>
            <w:r>
              <w:rPr>
                <w:rStyle w:val="VARIABLE"/>
              </w:rPr>
              <w:t xml:space="preserve">["null", {"fields": [{"name": "AsInt", "type": "int"}], "name": "Measurement_AsInt_Branch", "namespace": "org.opcfoundation.ua.avro", "type": "record"}, {"fields": [{"name": "AsText", "type": ["null", "string"]}], "name": "Measurement_AsText_Branch", "namespace": "org.opcfoundation.ua.avro", "type": "record"}, {"fields": [{"name": "AsPoint", "type": "org.opcfoundation.ua.avro.Point"}], "name": "Measurement_AsPoint_Branch",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7DD7064C">
            <w:pPr>
              <w:pStyle w:val="TableText"/>
            </w:pPr>
            <w:r>
              <w:t xml:space="preserve">optional wrapper</w:t>
            </w:r>
          </w:p>
        </w:tc>
        <w:tc>
          <w:tcPr>
            <w:tcW w:w="2233" w:type="dxa"/>
            <w:tcBorders>
              <w:top w:val="single" w:sz="4" w:space="0" w:color="auto"/>
              <w:left w:val="single" w:sz="4" w:space="0" w:color="auto"/>
              <w:bottom w:val="single" w:sz="4" w:space="0" w:color="auto"/>
              <w:right w:val="single" w:sz="4" w:space="0" w:color="auto"/>
            </w:tcBorders>
          </w:tcPr>
          <w:p w14:paraId="4CA393B4">
            <w:pPr>
              <w:pStyle w:val="TableText"/>
            </w:pPr>
            <w:r>
              <w:t xml:space="preserve">Union record: switch field plus record-wrapped selected value.</w:t>
            </w:r>
          </w:p>
        </w:tc>
      </w:tr>
    </w:tbl>
    <w:p w14:paraId="22096D3C">
      <w:pPr>
        <w:pStyle w:val="spacer"/>
      </w:pPr>
    </w:p>
    <w:p w14:paraId="5A5E239A">
      <w:pPr>
        <w:pStyle w:val="PARAGRAPH"/>
      </w:pPr>
      <w:r>
        <w:rPr>
          <w:b/>
        </w:rPr>
        <w:t xml:space="preserve">Avro schema fragment</w:t>
      </w:r>
    </w:p>
    <w:p w14:paraId="3F2201C8">
      <w:pPr>
        <w:pStyle w:val="CODE"/>
      </w:pPr>
      <w:r>
        <w:t xml:space="preserve">{</w:t>
      </w:r>
    </w:p>
    <w:p w14:paraId="67165DC2">
      <w:pPr>
        <w:pStyle w:val="CODE"/>
      </w:pPr>
      <w:r>
        <w:t xml:space="preserve">  "fields": [</w:t>
      </w:r>
    </w:p>
    <w:p w14:paraId="0AFFF4F6">
      <w:pPr>
        <w:pStyle w:val="CODE"/>
      </w:pPr>
      <w:r>
        <w:t xml:space="preserve">    {</w:t>
      </w:r>
    </w:p>
    <w:p w14:paraId="671BD5BF">
      <w:pPr>
        <w:pStyle w:val="CODE"/>
      </w:pPr>
      <w:r>
        <w:t xml:space="preserve">      "default": null,</w:t>
      </w:r>
    </w:p>
    <w:p w14:paraId="32B4563F">
      <w:pPr>
        <w:pStyle w:val="CODE"/>
      </w:pPr>
      <w:r>
        <w:t xml:space="preserve">      "name": "switch",</w:t>
      </w:r>
    </w:p>
    <w:p w14:paraId="51E0B869">
      <w:pPr>
        <w:pStyle w:val="CODE"/>
      </w:pPr>
      <w:r>
        <w:t xml:space="preserve">      "type": [</w:t>
      </w:r>
    </w:p>
    <w:p w14:paraId="3C6660B3">
      <w:pPr>
        <w:pStyle w:val="CODE"/>
      </w:pPr>
      <w:r>
        <w:t xml:space="preserve">        "null",</w:t>
      </w:r>
    </w:p>
    <w:p w14:paraId="5505DDDA">
      <w:pPr>
        <w:pStyle w:val="CODE"/>
      </w:pPr>
      <w:r>
        <w:t xml:space="preserve">        "string"</w:t>
      </w:r>
    </w:p>
    <w:p w14:paraId="404C5CED">
      <w:pPr>
        <w:pStyle w:val="CODE"/>
      </w:pPr>
      <w:r>
        <w:t xml:space="preserve">      ]</w:t>
      </w:r>
    </w:p>
    <w:p w14:paraId="73557C41">
      <w:pPr>
        <w:pStyle w:val="CODE"/>
      </w:pPr>
      <w:r>
        <w:t xml:space="preserve">    },</w:t>
      </w:r>
    </w:p>
    <w:p w14:paraId="37DC1870">
      <w:pPr>
        <w:pStyle w:val="CODE"/>
      </w:pPr>
      <w:r>
        <w:t xml:space="preserve">    {</w:t>
      </w:r>
    </w:p>
    <w:p w14:paraId="34520450">
      <w:pPr>
        <w:pStyle w:val="CODE"/>
      </w:pPr>
      <w:r>
        <w:t xml:space="preserve">      "default": null,</w:t>
      </w:r>
    </w:p>
    <w:p w14:paraId="6A291F86">
      <w:pPr>
        <w:pStyle w:val="CODE"/>
      </w:pPr>
      <w:r>
        <w:t xml:space="preserve">      "name": "value",</w:t>
      </w:r>
    </w:p>
    <w:p w14:paraId="3EBD1344">
      <w:pPr>
        <w:pStyle w:val="CODE"/>
      </w:pPr>
      <w:r>
        <w:t xml:space="preserve">      "type": [</w:t>
      </w:r>
    </w:p>
    <w:p w14:paraId="39ECAAA5">
      <w:pPr>
        <w:pStyle w:val="CODE"/>
      </w:pPr>
      <w:r>
        <w:t xml:space="preserve">        "null",</w:t>
      </w:r>
    </w:p>
    <w:p w14:paraId="1A2C2A1A">
      <w:pPr>
        <w:pStyle w:val="CODE"/>
      </w:pPr>
      <w:r>
        <w:t xml:space="preserve">        {</w:t>
      </w:r>
    </w:p>
    <w:p w14:paraId="4279741B">
      <w:pPr>
        <w:pStyle w:val="CODE"/>
      </w:pPr>
      <w:r>
        <w:t xml:space="preserve">          "fields": [</w:t>
      </w:r>
    </w:p>
    <w:p w14:paraId="18AE7F7C">
      <w:pPr>
        <w:pStyle w:val="CODE"/>
      </w:pPr>
      <w:r>
        <w:t xml:space="preserve">            {</w:t>
      </w:r>
    </w:p>
    <w:p w14:paraId="6CB9F36E">
      <w:pPr>
        <w:pStyle w:val="CODE"/>
      </w:pPr>
      <w:r>
        <w:t xml:space="preserve">              "name": "AsInt",</w:t>
      </w:r>
    </w:p>
    <w:p w14:paraId="357C1A25">
      <w:pPr>
        <w:pStyle w:val="CODE"/>
      </w:pPr>
      <w:r>
        <w:t xml:space="preserve">              "type": "int"</w:t>
      </w:r>
    </w:p>
    <w:p w14:paraId="426733BE">
      <w:pPr>
        <w:pStyle w:val="CODE"/>
      </w:pPr>
      <w:r>
        <w:t xml:space="preserve">            }</w:t>
      </w:r>
    </w:p>
    <w:p w14:paraId="3A7E4D67">
      <w:pPr>
        <w:pStyle w:val="CODE"/>
      </w:pPr>
      <w:r>
        <w:t xml:space="preserve">          ],</w:t>
      </w:r>
    </w:p>
    <w:p w14:paraId="1E561A0A">
      <w:pPr>
        <w:pStyle w:val="CODE"/>
      </w:pPr>
      <w:r>
        <w:t xml:space="preserve">          "name": "Measurement_AsInt_Branch",</w:t>
      </w:r>
    </w:p>
    <w:p w14:paraId="20EEB025">
      <w:pPr>
        <w:pStyle w:val="CODE"/>
      </w:pPr>
      <w:r>
        <w:t xml:space="preserve">          "namespace": "org.opcfoundation.ua.avro",</w:t>
      </w:r>
    </w:p>
    <w:p w14:paraId="326F0024">
      <w:pPr>
        <w:pStyle w:val="CODE"/>
      </w:pPr>
      <w:r>
        <w:t xml:space="preserve">          "type": "record"</w:t>
      </w:r>
    </w:p>
    <w:p w14:paraId="0F440A15">
      <w:pPr>
        <w:pStyle w:val="CODE"/>
      </w:pPr>
      <w:r>
        <w:t xml:space="preserve">        },</w:t>
      </w:r>
    </w:p>
    <w:p w14:paraId="29CB6218">
      <w:pPr>
        <w:pStyle w:val="CODE"/>
      </w:pPr>
      <w:r>
        <w:t xml:space="preserve">        {</w:t>
      </w:r>
    </w:p>
    <w:p w14:paraId="061520BE">
      <w:pPr>
        <w:pStyle w:val="CODE"/>
      </w:pPr>
      <w:r>
        <w:t xml:space="preserve">          "fields": [</w:t>
      </w:r>
    </w:p>
    <w:p w14:paraId="45BA5A6F">
      <w:pPr>
        <w:pStyle w:val="CODE"/>
      </w:pPr>
      <w:r>
        <w:t xml:space="preserve">            {</w:t>
      </w:r>
    </w:p>
    <w:p w14:paraId="224235FE">
      <w:pPr>
        <w:pStyle w:val="CODE"/>
      </w:pPr>
      <w:r>
        <w:t xml:space="preserve">              "name": "AsText",</w:t>
      </w:r>
    </w:p>
    <w:p w14:paraId="56CFF6B6">
      <w:pPr>
        <w:pStyle w:val="CODE"/>
      </w:pPr>
      <w:r>
        <w:t xml:space="preserve">              "type": [</w:t>
      </w:r>
    </w:p>
    <w:p w14:paraId="5903DA82">
      <w:pPr>
        <w:pStyle w:val="CODE"/>
      </w:pPr>
      <w:r>
        <w:t xml:space="preserve">                "null",</w:t>
      </w:r>
    </w:p>
    <w:p w14:paraId="2DA13C22">
      <w:pPr>
        <w:pStyle w:val="CODE"/>
      </w:pPr>
      <w:r>
        <w:t xml:space="preserve">                "string"</w:t>
      </w:r>
    </w:p>
    <w:p w14:paraId="20C726B2">
      <w:pPr>
        <w:pStyle w:val="CODE"/>
      </w:pPr>
      <w:r>
        <w:t xml:space="preserve">              ]</w:t>
      </w:r>
    </w:p>
    <w:p w14:paraId="6374981B">
      <w:pPr>
        <w:pStyle w:val="CODE"/>
      </w:pPr>
      <w:r>
        <w:t xml:space="preserve">            }</w:t>
      </w:r>
    </w:p>
    <w:p w14:paraId="5A8ED132">
      <w:pPr>
        <w:pStyle w:val="CODE"/>
      </w:pPr>
      <w:r>
        <w:t xml:space="preserve">          ],</w:t>
      </w:r>
    </w:p>
    <w:p w14:paraId="504CB5C1">
      <w:pPr>
        <w:pStyle w:val="CODE"/>
      </w:pPr>
      <w:r>
        <w:t xml:space="preserve">          "name": "Measurement_AsText_Branch",</w:t>
      </w:r>
    </w:p>
    <w:p w14:paraId="7DF6C5C7">
      <w:pPr>
        <w:pStyle w:val="CODE"/>
      </w:pPr>
      <w:r>
        <w:t xml:space="preserve">          "namespace": "org.opcfoundation.ua.avro",</w:t>
      </w:r>
    </w:p>
    <w:p w14:paraId="4B81ED7A">
      <w:pPr>
        <w:pStyle w:val="CODE"/>
      </w:pPr>
      <w:r>
        <w:t xml:space="preserve">          "type": "record"</w:t>
      </w:r>
    </w:p>
    <w:p w14:paraId="309F0386">
      <w:pPr>
        <w:pStyle w:val="CODE"/>
      </w:pPr>
      <w:r>
        <w:t xml:space="preserve">        },</w:t>
      </w:r>
    </w:p>
    <w:p w14:paraId="512DADB1">
      <w:pPr>
        <w:pStyle w:val="CODE"/>
      </w:pPr>
      <w:r>
        <w:t xml:space="preserve">        {</w:t>
      </w:r>
    </w:p>
    <w:p w14:paraId="786569D1">
      <w:pPr>
        <w:pStyle w:val="CODE"/>
      </w:pPr>
      <w:r>
        <w:t xml:space="preserve">          "fields": [</w:t>
      </w:r>
    </w:p>
    <w:p w14:paraId="045F2352">
      <w:pPr>
        <w:pStyle w:val="CODE"/>
      </w:pPr>
      <w:r>
        <w:t xml:space="preserve">            {</w:t>
      </w:r>
    </w:p>
    <w:p w14:paraId="6D571809">
      <w:pPr>
        <w:pStyle w:val="CODE"/>
      </w:pPr>
      <w:r>
        <w:t xml:space="preserve">              "name": "AsPoint",</w:t>
      </w:r>
    </w:p>
    <w:p w14:paraId="7F01FFFF">
      <w:pPr>
        <w:pStyle w:val="CODE"/>
      </w:pPr>
      <w:r>
        <w:t xml:space="preserve">              "type": "org.opcfoundation.ua.avro.Point"</w:t>
      </w:r>
    </w:p>
    <w:p w14:paraId="344FAB45">
      <w:pPr>
        <w:pStyle w:val="CODE"/>
      </w:pPr>
      <w:r>
        <w:t xml:space="preserve">            }</w:t>
      </w:r>
    </w:p>
    <w:p w14:paraId="070E92E0">
      <w:pPr>
        <w:pStyle w:val="CODE"/>
      </w:pPr>
      <w:r>
        <w:t xml:space="preserve">          ],</w:t>
      </w:r>
    </w:p>
    <w:p w14:paraId="34DA0D8E">
      <w:pPr>
        <w:pStyle w:val="CODE"/>
      </w:pPr>
      <w:r>
        <w:t xml:space="preserve">          "name": "Measurement_AsPoint_Branch",</w:t>
      </w:r>
    </w:p>
    <w:p w14:paraId="7081FA2E">
      <w:pPr>
        <w:pStyle w:val="CODE"/>
      </w:pPr>
      <w:r>
        <w:t xml:space="preserve">          "namespace": "org.opcfoundation.ua.avro",</w:t>
      </w:r>
    </w:p>
    <w:p w14:paraId="47D08F7B">
      <w:pPr>
        <w:pStyle w:val="CODE"/>
      </w:pPr>
      <w:r>
        <w:t xml:space="preserve">          "type": "record"</w:t>
      </w:r>
    </w:p>
    <w:p w14:paraId="0AE08206">
      <w:pPr>
        <w:pStyle w:val="CODE"/>
      </w:pPr>
      <w:r>
        <w:t xml:space="preserve">        }</w:t>
      </w:r>
    </w:p>
    <w:p w14:paraId="615A6B4C">
      <w:pPr>
        <w:pStyle w:val="CODE"/>
      </w:pPr>
      <w:r>
        <w:t xml:space="preserve">      ]</w:t>
      </w:r>
    </w:p>
    <w:p w14:paraId="534C8D2C">
      <w:pPr>
        <w:pStyle w:val="CODE"/>
      </w:pPr>
      <w:r>
        <w:t xml:space="preserve">    }</w:t>
      </w:r>
    </w:p>
    <w:p w14:paraId="5C55C71A">
      <w:pPr>
        <w:pStyle w:val="CODE"/>
      </w:pPr>
      <w:r>
        <w:t xml:space="preserve">  ],</w:t>
      </w:r>
    </w:p>
    <w:p w14:paraId="2A2F232E">
      <w:pPr>
        <w:pStyle w:val="CODE"/>
      </w:pPr>
      <w:r>
        <w:t xml:space="preserve">  "name": "Measurement",</w:t>
      </w:r>
    </w:p>
    <w:p w14:paraId="436542FA">
      <w:pPr>
        <w:pStyle w:val="CODE"/>
      </w:pPr>
      <w:r>
        <w:t xml:space="preserve">  "namespace": "org.opcfoundation.ua.avro",</w:t>
      </w:r>
    </w:p>
    <w:p w14:paraId="5F78C1E1">
      <w:pPr>
        <w:pStyle w:val="CODE"/>
      </w:pPr>
      <w:r>
        <w:t xml:space="preserve">  "type": "record"</w:t>
      </w:r>
    </w:p>
    <w:p w14:paraId="5E865F60">
      <w:pPr>
        <w:pStyle w:val="CODE"/>
      </w:pPr>
      <w:r>
        <w:t xml:space="preserve">}</w:t>
      </w:r>
    </w:p>
    <w:p w14:paraId="1FCBE113">
      <w:pPr>
        <w:pStyle w:val="PARAGRAPH"/>
      </w:pPr>
      <w:r>
        <w:rPr>
          <w:b/>
        </w:rPr>
        <w:t xml:space="preserve">Example value</w:t>
      </w:r>
      <w:r>
        <w:t xml:space="preserve"> (</w:t>
      </w:r>
      <w:r>
        <w:rPr>
          <w:rStyle w:val="VARIABLE"/>
        </w:rPr>
        <w:t xml:space="preserve">union_point</w:t>
      </w:r>
      <w:r>
        <w:t xml:space="preserve">)</w:t>
      </w:r>
    </w:p>
    <w:p w14:paraId="7A385ABB">
      <w:pPr>
        <w:pStyle w:val="CODE"/>
      </w:pPr>
      <w:r>
        <w:t xml:space="preserve">{"field_name": "AsPoint", "value": {"fields": {"X": 9.0, "Y": 8.0}, "type_name": "Point"}}</w:t>
      </w:r>
    </w:p>
    <w:p w14:paraId="01B3ACC8">
      <w:pPr>
        <w:pStyle w:val="PARAGRAPH"/>
      </w:pPr>
      <w:r>
        <w:rPr>
          <w:b/>
        </w:rPr>
        <w:t xml:space="preserve">Encoded bytes</w:t>
      </w:r>
      <w:r>
        <w:t xml:space="preserve"> (26 bytes)</w:t>
      </w:r>
    </w:p>
    <w:p w14:paraId="0AF32E74">
      <w:pPr>
        <w:pStyle w:val="CODE"/>
      </w:pPr>
      <w:r>
        <w:t xml:space="preserve">020e4173506f696e740600000000000022400000000000002040</w:t>
      </w:r>
    </w:p>
    <w:p w14:paraId="7DDAA5B4">
      <w:pPr>
        <w:pStyle w:val="PARAGRAPH"/>
      </w:pPr>
      <w:r>
        <w:rPr>
          <w:b/>
        </w:rPr>
        <w:t xml:space="preserve">Annotated byte-level breakdown</w:t>
      </w:r>
    </w:p>
    <w:p w14:paraId="06959BB4">
      <w:pPr>
        <w:pStyle w:val="TABLE-title"/>
        <w:keepNext/>
      </w:pPr>
      <w:bookmarkStart w:id="639" w:name="_Tab_union_tab2"/>
      <w:r>
        <w:t xml:space="preserve">Table </w:t>
      </w:r>
      <w:r>
        <w:fldChar w:fldCharType="begin"/>
      </w:r>
      <w:r>
        <w:instrText xml:space="preserve"> SEQ Table \* ARABIC </w:instrText>
      </w:r>
      <w:r>
        <w:fldChar w:fldCharType="separate"/>
      </w:r>
      <w:r>
        <w:rPr>
          <w:noProof/>
        </w:rPr>
        <w:t xml:space="preserve">75</w:t>
      </w:r>
      <w:r>
        <w:fldChar w:fldCharType="end"/>
      </w:r>
      <w:r>
        <w:t xml:space="preserve"> – Union (2)</w:t>
      </w:r>
      <w:bookmarkEnd w:id="6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FDAD875">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1E90573C">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0172718D">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5B41210D">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21A2E1D">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368DD36B">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A5F4BA5">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4C1AAEA7">
            <w:pPr>
              <w:pStyle w:val="TableText"/>
            </w:pPr>
            <w:r>
              <w:t xml:space="preserve">$.switch: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990785A">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3F0FD6A2">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39462B98">
            <w:pPr>
              <w:pStyle w:val="TableText"/>
            </w:pPr>
            <w:r>
              <w:rPr>
                <w:rStyle w:val="VARIABLE"/>
              </w:rPr>
              <w:t xml:space="preserve">0e</w:t>
            </w:r>
          </w:p>
        </w:tc>
        <w:tc>
          <w:tcPr>
            <w:tcW w:w="2233" w:type="dxa"/>
            <w:tcBorders>
              <w:top w:val="single" w:sz="4" w:space="0" w:color="auto"/>
              <w:left w:val="single" w:sz="4" w:space="0" w:color="auto"/>
              <w:bottom w:val="single" w:sz="4" w:space="0" w:color="auto"/>
              <w:right w:val="single" w:sz="4" w:space="0" w:color="auto"/>
            </w:tcBorders>
          </w:tcPr>
          <w:p w14:paraId="525C76A9">
            <w:pPr>
              <w:pStyle w:val="TableText"/>
            </w:pPr>
            <w:r>
              <w:t xml:space="preserve">$.switch: branch 1 (string): string length = 7</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2214635">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1B414D02">
            <w:pPr>
              <w:pStyle w:val="TableText"/>
            </w:pPr>
            <w:r>
              <w:t xml:space="preserve">7</w:t>
            </w:r>
          </w:p>
        </w:tc>
        <w:tc>
          <w:tcPr>
            <w:tcW w:w="2231" w:type="dxa"/>
            <w:tcBorders>
              <w:top w:val="single" w:sz="4" w:space="0" w:color="auto"/>
              <w:left w:val="single" w:sz="4" w:space="0" w:color="auto"/>
              <w:bottom w:val="single" w:sz="4" w:space="0" w:color="auto"/>
              <w:right w:val="single" w:sz="4" w:space="0" w:color="auto"/>
            </w:tcBorders>
          </w:tcPr>
          <w:p w14:paraId="3C3535D5">
            <w:pPr>
              <w:pStyle w:val="TableText"/>
            </w:pPr>
            <w:r>
              <w:rPr>
                <w:rStyle w:val="VARIABLE"/>
              </w:rPr>
              <w:t xml:space="preserve">41 73 50 6f 69 6e 74</w:t>
            </w:r>
          </w:p>
        </w:tc>
        <w:tc>
          <w:tcPr>
            <w:tcW w:w="2233" w:type="dxa"/>
            <w:tcBorders>
              <w:top w:val="single" w:sz="4" w:space="0" w:color="auto"/>
              <w:left w:val="single" w:sz="4" w:space="0" w:color="auto"/>
              <w:bottom w:val="single" w:sz="4" w:space="0" w:color="auto"/>
              <w:right w:val="single" w:sz="4" w:space="0" w:color="auto"/>
            </w:tcBorders>
          </w:tcPr>
          <w:p w14:paraId="700D3C43">
            <w:pPr>
              <w:pStyle w:val="TableText"/>
            </w:pPr>
            <w:r>
              <w:t xml:space="preserve">$.switch: branch 1 (string): string data</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269EED2">
            <w:pPr>
              <w:pStyle w:val="TableText"/>
            </w:pPr>
            <w:r>
              <w:t xml:space="preserve">9</w:t>
            </w:r>
          </w:p>
        </w:tc>
        <w:tc>
          <w:tcPr>
            <w:tcW w:w="2231" w:type="dxa"/>
            <w:tcBorders>
              <w:top w:val="single" w:sz="4" w:space="0" w:color="auto"/>
              <w:left w:val="single" w:sz="4" w:space="0" w:color="auto"/>
              <w:bottom w:val="single" w:sz="4" w:space="0" w:color="auto"/>
              <w:right w:val="single" w:sz="4" w:space="0" w:color="auto"/>
            </w:tcBorders>
          </w:tcPr>
          <w:p w14:paraId="4BBD0F1C">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EE33EEA">
            <w:pPr>
              <w:pStyle w:val="TableText"/>
            </w:pPr>
            <w:r>
              <w:rPr>
                <w:rStyle w:val="VARIABLE"/>
              </w:rPr>
              <w:t xml:space="preserve">06</w:t>
            </w:r>
          </w:p>
        </w:tc>
        <w:tc>
          <w:tcPr>
            <w:tcW w:w="2233" w:type="dxa"/>
            <w:tcBorders>
              <w:top w:val="single" w:sz="4" w:space="0" w:color="auto"/>
              <w:left w:val="single" w:sz="4" w:space="0" w:color="auto"/>
              <w:bottom w:val="single" w:sz="4" w:space="0" w:color="auto"/>
              <w:right w:val="single" w:sz="4" w:space="0" w:color="auto"/>
            </w:tcBorders>
          </w:tcPr>
          <w:p w14:paraId="71A50265">
            <w:pPr>
              <w:pStyle w:val="TableText"/>
            </w:pPr>
            <w:r>
              <w:t xml:space="preserve">$.value: union branch index = 3</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424FF95">
            <w:pPr>
              <w:pStyle w:val="TableText"/>
            </w:pPr>
            <w:r>
              <w:t xml:space="preserve">10</w:t>
            </w:r>
          </w:p>
        </w:tc>
        <w:tc>
          <w:tcPr>
            <w:tcW w:w="2231" w:type="dxa"/>
            <w:tcBorders>
              <w:top w:val="single" w:sz="4" w:space="0" w:color="auto"/>
              <w:left w:val="single" w:sz="4" w:space="0" w:color="auto"/>
              <w:bottom w:val="single" w:sz="4" w:space="0" w:color="auto"/>
              <w:right w:val="single" w:sz="4" w:space="0" w:color="auto"/>
            </w:tcBorders>
          </w:tcPr>
          <w:p w14:paraId="387620C1">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7BA35D53">
            <w:pPr>
              <w:pStyle w:val="TableText"/>
            </w:pPr>
            <w:r>
              <w:rPr>
                <w:rStyle w:val="VARIABLE"/>
              </w:rPr>
              <w:t xml:space="preserve">00 00 00 00 00 00 22 40</w:t>
            </w:r>
          </w:p>
        </w:tc>
        <w:tc>
          <w:tcPr>
            <w:tcW w:w="2233" w:type="dxa"/>
            <w:tcBorders>
              <w:top w:val="single" w:sz="4" w:space="0" w:color="auto"/>
              <w:left w:val="single" w:sz="4" w:space="0" w:color="auto"/>
              <w:bottom w:val="single" w:sz="4" w:space="0" w:color="auto"/>
              <w:right w:val="single" w:sz="4" w:space="0" w:color="auto"/>
            </w:tcBorders>
          </w:tcPr>
          <w:p w14:paraId="0FDF3F18">
            <w:pPr>
              <w:pStyle w:val="TableText"/>
            </w:pPr>
            <w:r>
              <w:t xml:space="preserve">$.value: branch 3 (org.opcfoundation.ua.avro.Measurement_AsPoint_Branch).AsPoint.X: float64 little-endian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47B889">
            <w:pPr>
              <w:pStyle w:val="TableText"/>
            </w:pPr>
            <w:r>
              <w:t xml:space="preserve">18</w:t>
            </w:r>
          </w:p>
        </w:tc>
        <w:tc>
          <w:tcPr>
            <w:tcW w:w="2231" w:type="dxa"/>
            <w:tcBorders>
              <w:top w:val="single" w:sz="4" w:space="0" w:color="auto"/>
              <w:left w:val="single" w:sz="4" w:space="0" w:color="auto"/>
              <w:bottom w:val="single" w:sz="4" w:space="0" w:color="auto"/>
              <w:right w:val="single" w:sz="4" w:space="0" w:color="auto"/>
            </w:tcBorders>
          </w:tcPr>
          <w:p w14:paraId="60B3749D">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552A3ABC">
            <w:pPr>
              <w:pStyle w:val="TableText"/>
            </w:pPr>
            <w:r>
              <w:rPr>
                <w:rStyle w:val="VARIABLE"/>
              </w:rPr>
              <w:t xml:space="preserve">00 00 00 00 00 00 20 40</w:t>
            </w:r>
          </w:p>
        </w:tc>
        <w:tc>
          <w:tcPr>
            <w:tcW w:w="2233" w:type="dxa"/>
            <w:tcBorders>
              <w:top w:val="single" w:sz="4" w:space="0" w:color="auto"/>
              <w:left w:val="single" w:sz="4" w:space="0" w:color="auto"/>
              <w:bottom w:val="single" w:sz="4" w:space="0" w:color="auto"/>
              <w:right w:val="single" w:sz="4" w:space="0" w:color="auto"/>
            </w:tcBorders>
          </w:tcPr>
          <w:p w14:paraId="29A951C8">
            <w:pPr>
              <w:pStyle w:val="TableText"/>
            </w:pPr>
            <w:r>
              <w:t xml:space="preserve">$.value: branch 3 (org.opcfoundation.ua.avro.Measurement_AsPoint_Branch).AsPoint.Y: float64 little-endian</w:t>
            </w:r>
          </w:p>
        </w:tc>
      </w:tr>
    </w:tbl>
    <w:p w14:paraId="6CADC8D1">
      <w:pPr>
        <w:pStyle w:val="spacer"/>
      </w:pPr>
    </w:p>
    <w:p w14:paraId="3FCC0807">
      <w:pPr>
        <w:pStyle w:val="ANNEX-heading2"/>
      </w:pPr>
      <w:bookmarkStart w:id="640" w:name="_Clause_cA_2_31"/>
      <w:r>
        <w:t xml:space="preserve">Worked structured DataType: Envelope</w:t>
      </w:r>
      <w:bookmarkEnd w:id="640"/>
    </w:p>
    <w:p w14:paraId="6DBCD864">
      <w:pPr>
        <w:pStyle w:val="PARAGRAPH"/>
      </w:pPr>
      <w:r>
        <w:rPr>
          <w:b/>
        </w:rPr>
        <w:t xml:space="preserve">SchemaId</w:t>
      </w:r>
      <w:r>
        <w:t xml:space="preserve"> </w:t>
      </w:r>
      <w:r>
        <w:rPr>
          <w:rStyle w:val="VARIABLE"/>
        </w:rPr>
        <w:t xml:space="preserve">d5b98856c5cee45e</w:t>
      </w:r>
    </w:p>
    <w:p w14:paraId="3FFDF7BF">
      <w:pPr>
        <w:pStyle w:val="TABLE-title"/>
        <w:keepNext/>
      </w:pPr>
      <w:bookmarkStart w:id="641" w:name="_Tab_worked_structured_datatype__envelope_tab1"/>
      <w:r>
        <w:t xml:space="preserve">Table </w:t>
      </w:r>
      <w:r>
        <w:fldChar w:fldCharType="begin"/>
      </w:r>
      <w:r>
        <w:instrText xml:space="preserve"> SEQ Table \* ARABIC </w:instrText>
      </w:r>
      <w:r>
        <w:fldChar w:fldCharType="separate"/>
      </w:r>
      <w:r>
        <w:rPr>
          <w:noProof/>
        </w:rPr>
        <w:t xml:space="preserve">76</w:t>
      </w:r>
      <w:r>
        <w:fldChar w:fldCharType="end"/>
      </w:r>
      <w:r>
        <w:t xml:space="preserve"> – Worked structured DataType: Envelope</w:t>
      </w:r>
      <w:bookmarkEnd w:id="6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8356546">
            <w:pPr>
              <w:pStyle w:val="TableText"/>
            </w:pPr>
            <w:r>
              <w:t xml:space="preserve">Field</w:t>
            </w:r>
          </w:p>
        </w:tc>
        <w:tc>
          <w:tcPr>
            <w:tcW w:w="2231" w:type="dxa"/>
            <w:tcBorders>
              <w:top w:val="single" w:sz="4" w:space="0" w:color="auto"/>
              <w:left w:val="single" w:sz="4" w:space="0" w:color="auto"/>
              <w:bottom w:val="double" w:sz="4" w:space="0" w:color="auto"/>
              <w:right w:val="single" w:sz="4" w:space="0" w:color="auto"/>
            </w:tcBorders>
          </w:tcPr>
          <w:p w14:paraId="38BB709B">
            <w:pPr>
              <w:pStyle w:val="TableText"/>
            </w:pPr>
            <w:r>
              <w:t xml:space="preserve">Avro type</w:t>
            </w:r>
          </w:p>
        </w:tc>
        <w:tc>
          <w:tcPr>
            <w:tcW w:w="2231" w:type="dxa"/>
            <w:tcBorders>
              <w:top w:val="single" w:sz="4" w:space="0" w:color="auto"/>
              <w:left w:val="single" w:sz="4" w:space="0" w:color="auto"/>
              <w:bottom w:val="double" w:sz="4" w:space="0" w:color="auto"/>
              <w:right w:val="single" w:sz="4" w:space="0" w:color="auto"/>
            </w:tcBorders>
          </w:tcPr>
          <w:p w14:paraId="326A6B68">
            <w:pPr>
              <w:pStyle w:val="TableText"/>
            </w:pPr>
            <w:r>
              <w:t xml:space="preserve">Presence / nullability</w:t>
            </w:r>
          </w:p>
        </w:tc>
        <w:tc>
          <w:tcPr>
            <w:tcW w:w="2233" w:type="dxa"/>
            <w:tcBorders>
              <w:top w:val="single" w:sz="4" w:space="0" w:color="auto"/>
              <w:left w:val="single" w:sz="4" w:space="0" w:color="auto"/>
              <w:bottom w:val="double" w:sz="4" w:space="0" w:color="auto"/>
              <w:right w:val="single" w:sz="4" w:space="0" w:color="auto"/>
            </w:tcBorders>
          </w:tcPr>
          <w:p w14:paraId="4858974A">
            <w:pPr>
              <w:pStyle w:val="TableText"/>
            </w:pPr>
            <w:r>
              <w:t xml:space="preserve">Notes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F1F2671">
            <w:pPr>
              <w:pStyle w:val="TableText"/>
            </w:pPr>
            <w:r>
              <w:rPr>
                <w:rStyle w:val="VARIABLE"/>
              </w:rPr>
              <w:t xml:space="preserve">Id</w:t>
            </w:r>
          </w:p>
        </w:tc>
        <w:tc>
          <w:tcPr>
            <w:tcW w:w="2231" w:type="dxa"/>
            <w:tcBorders>
              <w:top w:val="single" w:sz="4" w:space="0" w:color="auto"/>
              <w:left w:val="single" w:sz="4" w:space="0" w:color="auto"/>
              <w:bottom w:val="single" w:sz="4" w:space="0" w:color="auto"/>
              <w:right w:val="single" w:sz="4" w:space="0" w:color="auto"/>
            </w:tcBorders>
          </w:tcPr>
          <w:p w14:paraId="6310294D">
            <w:pPr>
              <w:pStyle w:val="TableText"/>
            </w:pPr>
            <w:r>
              <w:rPr>
                <w:rStyle w:val="VARIABLE"/>
              </w:rPr>
              <w:t xml:space="preserve">["null", "string"]</w:t>
            </w:r>
          </w:p>
        </w:tc>
        <w:tc>
          <w:tcPr>
            <w:tcW w:w="2231" w:type="dxa"/>
            <w:tcBorders>
              <w:top w:val="single" w:sz="4" w:space="0" w:color="auto"/>
              <w:left w:val="single" w:sz="4" w:space="0" w:color="auto"/>
              <w:bottom w:val="single" w:sz="4" w:space="0" w:color="auto"/>
              <w:right w:val="single" w:sz="4" w:space="0" w:color="auto"/>
            </w:tcBorders>
          </w:tcPr>
          <w:p w14:paraId="3CFF24AD">
            <w:pPr>
              <w:pStyle w:val="TableText"/>
            </w:pPr>
            <w:r>
              <w:t xml:space="preserve">optional wrapper</w:t>
            </w:r>
          </w:p>
        </w:tc>
        <w:tc>
          <w:tcPr>
            <w:tcW w:w="2233" w:type="dxa"/>
            <w:tcBorders>
              <w:top w:val="single" w:sz="4" w:space="0" w:color="auto"/>
              <w:left w:val="single" w:sz="4" w:space="0" w:color="auto"/>
              <w:bottom w:val="single" w:sz="4" w:space="0" w:color="auto"/>
              <w:right w:val="single" w:sz="4" w:space="0" w:color="auto"/>
            </w:tcBorders>
          </w:tcPr>
          <w:p w14:paraId="139AED1C">
            <w:pPr>
              <w:pStyle w:val="TableText"/>
            </w:pPr>
            <w:r>
              <w:t xml:space="preserve">Nested structure with array and subtyped ExtensionObject payload.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2CD6741">
            <w:pPr>
              <w:pStyle w:val="TableText"/>
            </w:pPr>
            <w:r>
              <w:rPr>
                <w:rStyle w:val="VARIABLE"/>
              </w:rPr>
              <w:t xml:space="preserve">Location</w:t>
            </w:r>
          </w:p>
        </w:tc>
        <w:tc>
          <w:tcPr>
            <w:tcW w:w="2231" w:type="dxa"/>
            <w:tcBorders>
              <w:top w:val="single" w:sz="4" w:space="0" w:color="auto"/>
              <w:left w:val="single" w:sz="4" w:space="0" w:color="auto"/>
              <w:bottom w:val="single" w:sz="4" w:space="0" w:color="auto"/>
              <w:right w:val="single" w:sz="4" w:space="0" w:color="auto"/>
            </w:tcBorders>
          </w:tcPr>
          <w:p w14:paraId="22480BEE">
            <w:pPr>
              <w:pStyle w:val="TableText"/>
            </w:pPr>
            <w:r>
              <w:rPr>
                <w:rStyle w:val="VARIABLE"/>
              </w:rPr>
              <w:t xml:space="preserve">"org.opcfoundation.ua.avro.Point"</w:t>
            </w:r>
          </w:p>
        </w:tc>
        <w:tc>
          <w:tcPr>
            <w:tcW w:w="2231" w:type="dxa"/>
            <w:tcBorders>
              <w:top w:val="single" w:sz="4" w:space="0" w:color="auto"/>
              <w:left w:val="single" w:sz="4" w:space="0" w:color="auto"/>
              <w:bottom w:val="single" w:sz="4" w:space="0" w:color="auto"/>
              <w:right w:val="single" w:sz="4" w:space="0" w:color="auto"/>
            </w:tcBorders>
          </w:tcPr>
          <w:p w14:paraId="3D40E93B">
            <w:pPr>
              <w:pStyle w:val="TableText"/>
            </w:pPr>
            <w:r>
              <w:t xml:space="preserve">present</w:t>
            </w:r>
          </w:p>
        </w:tc>
        <w:tc>
          <w:tcPr>
            <w:tcW w:w="2233" w:type="dxa"/>
            <w:tcBorders>
              <w:top w:val="single" w:sz="4" w:space="0" w:color="auto"/>
              <w:left w:val="single" w:sz="4" w:space="0" w:color="auto"/>
              <w:bottom w:val="single" w:sz="4" w:space="0" w:color="auto"/>
              <w:right w:val="single" w:sz="4" w:space="0" w:color="auto"/>
            </w:tcBorders>
          </w:tcPr>
          <w:p w14:paraId="433337D0">
            <w:pPr>
              <w:pStyle w:val="TableText"/>
            </w:pPr>
            <w:r>
              <w:t xml:space="preserve">Nested structure with array and subtyped ExtensionObject payload.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955C6A3">
            <w:pPr>
              <w:pStyle w:val="TableText"/>
            </w:pPr>
            <w:r>
              <w:rPr>
                <w:rStyle w:val="VARIABLE"/>
              </w:rPr>
              <w:t xml:space="preserve">Tags</w:t>
            </w:r>
          </w:p>
        </w:tc>
        <w:tc>
          <w:tcPr>
            <w:tcW w:w="2231" w:type="dxa"/>
            <w:tcBorders>
              <w:top w:val="single" w:sz="4" w:space="0" w:color="auto"/>
              <w:left w:val="single" w:sz="4" w:space="0" w:color="auto"/>
              <w:bottom w:val="single" w:sz="4" w:space="0" w:color="auto"/>
              <w:right w:val="single" w:sz="4" w:space="0" w:color="auto"/>
            </w:tcBorders>
          </w:tcPr>
          <w:p w14:paraId="7A6AA473">
            <w:pPr>
              <w:pStyle w:val="TableText"/>
            </w:pPr>
            <w:r>
              <w:rPr>
                <w:rStyle w:val="VARIABLE"/>
              </w:rPr>
              <w:t xml:space="preserve">{"items": ["null", "string"], "type": "array"}</w:t>
            </w:r>
          </w:p>
        </w:tc>
        <w:tc>
          <w:tcPr>
            <w:tcW w:w="2231" w:type="dxa"/>
            <w:tcBorders>
              <w:top w:val="single" w:sz="4" w:space="0" w:color="auto"/>
              <w:left w:val="single" w:sz="4" w:space="0" w:color="auto"/>
              <w:bottom w:val="single" w:sz="4" w:space="0" w:color="auto"/>
              <w:right w:val="single" w:sz="4" w:space="0" w:color="auto"/>
            </w:tcBorders>
          </w:tcPr>
          <w:p w14:paraId="1AB95E23">
            <w:pPr>
              <w:pStyle w:val="TableText"/>
            </w:pPr>
            <w:r>
              <w:t xml:space="preserve">present</w:t>
            </w:r>
          </w:p>
        </w:tc>
        <w:tc>
          <w:tcPr>
            <w:tcW w:w="2233" w:type="dxa"/>
            <w:tcBorders>
              <w:top w:val="single" w:sz="4" w:space="0" w:color="auto"/>
              <w:left w:val="single" w:sz="4" w:space="0" w:color="auto"/>
              <w:bottom w:val="single" w:sz="4" w:space="0" w:color="auto"/>
              <w:right w:val="single" w:sz="4" w:space="0" w:color="auto"/>
            </w:tcBorders>
          </w:tcPr>
          <w:p w14:paraId="2900A5B5">
            <w:pPr>
              <w:pStyle w:val="TableText"/>
            </w:pPr>
            <w:r>
              <w:t xml:space="preserve">Nested structure with array and subtyped ExtensionObject payload.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DAB582F">
            <w:pPr>
              <w:pStyle w:val="TableText"/>
            </w:pPr>
            <w:r>
              <w:rPr>
                <w:rStyle w:val="VARIABLE"/>
              </w:rPr>
              <w:t xml:space="preserve">Payload</w:t>
            </w:r>
          </w:p>
        </w:tc>
        <w:tc>
          <w:tcPr>
            <w:tcW w:w="2231" w:type="dxa"/>
            <w:tcBorders>
              <w:top w:val="single" w:sz="4" w:space="0" w:color="auto"/>
              <w:left w:val="single" w:sz="4" w:space="0" w:color="auto"/>
              <w:bottom w:val="single" w:sz="4" w:space="0" w:color="auto"/>
              <w:right w:val="single" w:sz="4" w:space="0" w:color="auto"/>
            </w:tcBorders>
          </w:tcPr>
          <w:p w14:paraId="7B3679C8">
            <w:pPr>
              <w:pStyle w:val="TableText"/>
            </w:pPr>
            <w:r>
              <w:rPr>
                <w:rStyle w:val="VARIABLE"/>
              </w:rPr>
              <w:t xml:space="preserve">["null", "org.opcfoundation.ua.avro.ExtensionObject"]</w:t>
            </w:r>
          </w:p>
        </w:tc>
        <w:tc>
          <w:tcPr>
            <w:tcW w:w="2231" w:type="dxa"/>
            <w:tcBorders>
              <w:top w:val="single" w:sz="4" w:space="0" w:color="auto"/>
              <w:left w:val="single" w:sz="4" w:space="0" w:color="auto"/>
              <w:bottom w:val="single" w:sz="4" w:space="0" w:color="auto"/>
              <w:right w:val="single" w:sz="4" w:space="0" w:color="auto"/>
            </w:tcBorders>
          </w:tcPr>
          <w:p w14:paraId="224CC228">
            <w:pPr>
              <w:pStyle w:val="TableText"/>
            </w:pPr>
            <w:r>
              <w:t xml:space="preserve">optional wrapper</w:t>
            </w:r>
          </w:p>
        </w:tc>
        <w:tc>
          <w:tcPr>
            <w:tcW w:w="2233" w:type="dxa"/>
            <w:tcBorders>
              <w:top w:val="single" w:sz="4" w:space="0" w:color="auto"/>
              <w:left w:val="single" w:sz="4" w:space="0" w:color="auto"/>
              <w:bottom w:val="single" w:sz="4" w:space="0" w:color="auto"/>
              <w:right w:val="single" w:sz="4" w:space="0" w:color="auto"/>
            </w:tcBorders>
          </w:tcPr>
          <w:p w14:paraId="782EA75F">
            <w:pPr>
              <w:pStyle w:val="TableText"/>
            </w:pPr>
            <w:r>
              <w:t xml:space="preserve">Nested structure with array and subtyped ExtensionObject payload.</w:t>
            </w:r>
          </w:p>
        </w:tc>
      </w:tr>
    </w:tbl>
    <w:p w14:paraId="5A363EA0">
      <w:pPr>
        <w:pStyle w:val="spacer"/>
      </w:pPr>
    </w:p>
    <w:p w14:paraId="7B5DE7C8">
      <w:pPr>
        <w:pStyle w:val="PARAGRAPH"/>
      </w:pPr>
      <w:r>
        <w:rPr>
          <w:b/>
        </w:rPr>
        <w:t xml:space="preserve">Avro schema fragment</w:t>
      </w:r>
    </w:p>
    <w:p w14:paraId="02B58A69">
      <w:pPr>
        <w:pStyle w:val="CODE"/>
      </w:pPr>
      <w:r>
        <w:t xml:space="preserve">{</w:t>
      </w:r>
    </w:p>
    <w:p w14:paraId="0920A7E1">
      <w:pPr>
        <w:pStyle w:val="CODE"/>
      </w:pPr>
      <w:r>
        <w:t xml:space="preserve">  "fields": [</w:t>
      </w:r>
    </w:p>
    <w:p w14:paraId="3BFC4BF7">
      <w:pPr>
        <w:pStyle w:val="CODE"/>
      </w:pPr>
      <w:r>
        <w:t xml:space="preserve">    {</w:t>
      </w:r>
    </w:p>
    <w:p w14:paraId="532A5397">
      <w:pPr>
        <w:pStyle w:val="CODE"/>
      </w:pPr>
      <w:r>
        <w:t xml:space="preserve">      "name": "Id",</w:t>
      </w:r>
    </w:p>
    <w:p w14:paraId="0CC16C51">
      <w:pPr>
        <w:pStyle w:val="CODE"/>
      </w:pPr>
      <w:r>
        <w:t xml:space="preserve">      "type": [</w:t>
      </w:r>
    </w:p>
    <w:p w14:paraId="49030C4A">
      <w:pPr>
        <w:pStyle w:val="CODE"/>
      </w:pPr>
      <w:r>
        <w:t xml:space="preserve">        "null",</w:t>
      </w:r>
    </w:p>
    <w:p w14:paraId="3C413FEC">
      <w:pPr>
        <w:pStyle w:val="CODE"/>
      </w:pPr>
      <w:r>
        <w:t xml:space="preserve">        "string"</w:t>
      </w:r>
    </w:p>
    <w:p w14:paraId="6EA98858">
      <w:pPr>
        <w:pStyle w:val="CODE"/>
      </w:pPr>
      <w:r>
        <w:t xml:space="preserve">      ]</w:t>
      </w:r>
    </w:p>
    <w:p w14:paraId="79D69F83">
      <w:pPr>
        <w:pStyle w:val="CODE"/>
      </w:pPr>
      <w:r>
        <w:t xml:space="preserve">    },</w:t>
      </w:r>
    </w:p>
    <w:p w14:paraId="28E9935B">
      <w:pPr>
        <w:pStyle w:val="CODE"/>
      </w:pPr>
      <w:r>
        <w:t xml:space="preserve">    {</w:t>
      </w:r>
    </w:p>
    <w:p w14:paraId="3A71CBE8">
      <w:pPr>
        <w:pStyle w:val="CODE"/>
      </w:pPr>
      <w:r>
        <w:t xml:space="preserve">      "name": "Location",</w:t>
      </w:r>
    </w:p>
    <w:p w14:paraId="29E96F9A">
      <w:pPr>
        <w:pStyle w:val="CODE"/>
      </w:pPr>
      <w:r>
        <w:t xml:space="preserve">      "type": "org.opcfoundation.ua.avro.Point"</w:t>
      </w:r>
    </w:p>
    <w:p w14:paraId="114FBA0C">
      <w:pPr>
        <w:pStyle w:val="CODE"/>
      </w:pPr>
      <w:r>
        <w:t xml:space="preserve">    },</w:t>
      </w:r>
    </w:p>
    <w:p w14:paraId="59B76815">
      <w:pPr>
        <w:pStyle w:val="CODE"/>
      </w:pPr>
      <w:r>
        <w:t xml:space="preserve">    {</w:t>
      </w:r>
    </w:p>
    <w:p w14:paraId="4B8F14B3">
      <w:pPr>
        <w:pStyle w:val="CODE"/>
      </w:pPr>
      <w:r>
        <w:t xml:space="preserve">      "name": "Tags",</w:t>
      </w:r>
    </w:p>
    <w:p w14:paraId="31DA7CAB">
      <w:pPr>
        <w:pStyle w:val="CODE"/>
      </w:pPr>
      <w:r>
        <w:t xml:space="preserve">      "type": {</w:t>
      </w:r>
    </w:p>
    <w:p w14:paraId="501742F5">
      <w:pPr>
        <w:pStyle w:val="CODE"/>
      </w:pPr>
      <w:r>
        <w:t xml:space="preserve">        "items": [</w:t>
      </w:r>
    </w:p>
    <w:p w14:paraId="753C1BCD">
      <w:pPr>
        <w:pStyle w:val="CODE"/>
      </w:pPr>
      <w:r>
        <w:t xml:space="preserve">          "null",</w:t>
      </w:r>
    </w:p>
    <w:p w14:paraId="21A84D2F">
      <w:pPr>
        <w:pStyle w:val="CODE"/>
      </w:pPr>
      <w:r>
        <w:t xml:space="preserve">          "string"</w:t>
      </w:r>
    </w:p>
    <w:p w14:paraId="175F99AB">
      <w:pPr>
        <w:pStyle w:val="CODE"/>
      </w:pPr>
      <w:r>
        <w:t xml:space="preserve">        ],</w:t>
      </w:r>
    </w:p>
    <w:p w14:paraId="4CC82078">
      <w:pPr>
        <w:pStyle w:val="CODE"/>
      </w:pPr>
      <w:r>
        <w:t xml:space="preserve">        "type": "array"</w:t>
      </w:r>
    </w:p>
    <w:p w14:paraId="32631C3F">
      <w:pPr>
        <w:pStyle w:val="CODE"/>
      </w:pPr>
      <w:r>
        <w:t xml:space="preserve">      }</w:t>
      </w:r>
    </w:p>
    <w:p w14:paraId="7FBEDCB3">
      <w:pPr>
        <w:pStyle w:val="CODE"/>
      </w:pPr>
      <w:r>
        <w:t xml:space="preserve">    },</w:t>
      </w:r>
    </w:p>
    <w:p w14:paraId="251371EF">
      <w:pPr>
        <w:pStyle w:val="CODE"/>
      </w:pPr>
      <w:r>
        <w:t xml:space="preserve">    {</w:t>
      </w:r>
    </w:p>
    <w:p w14:paraId="557F53B7">
      <w:pPr>
        <w:pStyle w:val="CODE"/>
      </w:pPr>
      <w:r>
        <w:t xml:space="preserve">      "name": "Payload",</w:t>
      </w:r>
    </w:p>
    <w:p w14:paraId="335692D2">
      <w:pPr>
        <w:pStyle w:val="CODE"/>
      </w:pPr>
      <w:r>
        <w:t xml:space="preserve">      "type": [</w:t>
      </w:r>
    </w:p>
    <w:p w14:paraId="5AAC8FC1">
      <w:pPr>
        <w:pStyle w:val="CODE"/>
      </w:pPr>
      <w:r>
        <w:t xml:space="preserve">        "null",</w:t>
      </w:r>
    </w:p>
    <w:p w14:paraId="1F612ADE">
      <w:pPr>
        <w:pStyle w:val="CODE"/>
      </w:pPr>
      <w:r>
        <w:t xml:space="preserve">        "org.opcfoundation.ua.avro.ExtensionObject"</w:t>
      </w:r>
    </w:p>
    <w:p w14:paraId="1A15DD61">
      <w:pPr>
        <w:pStyle w:val="CODE"/>
      </w:pPr>
      <w:r>
        <w:t xml:space="preserve">      ]</w:t>
      </w:r>
    </w:p>
    <w:p w14:paraId="1E1DF180">
      <w:pPr>
        <w:pStyle w:val="CODE"/>
      </w:pPr>
      <w:r>
        <w:t xml:space="preserve">    }</w:t>
      </w:r>
    </w:p>
    <w:p w14:paraId="5A1DCB58">
      <w:pPr>
        <w:pStyle w:val="CODE"/>
      </w:pPr>
      <w:r>
        <w:t xml:space="preserve">  ],</w:t>
      </w:r>
    </w:p>
    <w:p w14:paraId="50C38B92">
      <w:pPr>
        <w:pStyle w:val="CODE"/>
      </w:pPr>
      <w:r>
        <w:t xml:space="preserve">  "name": "Envelope",</w:t>
      </w:r>
    </w:p>
    <w:p w14:paraId="5C8A7A0C">
      <w:pPr>
        <w:pStyle w:val="CODE"/>
      </w:pPr>
      <w:r>
        <w:t xml:space="preserve">  "namespace": "org.opcfoundation.ua.avro",</w:t>
      </w:r>
    </w:p>
    <w:p w14:paraId="12F8A8BF">
      <w:pPr>
        <w:pStyle w:val="CODE"/>
      </w:pPr>
      <w:r>
        <w:t xml:space="preserve">  "type": "record"</w:t>
      </w:r>
    </w:p>
    <w:p w14:paraId="1260E75F">
      <w:pPr>
        <w:pStyle w:val="CODE"/>
      </w:pPr>
      <w:r>
        <w:t xml:space="preserve">}</w:t>
      </w:r>
    </w:p>
    <w:p w14:paraId="0515E26B">
      <w:pPr>
        <w:pStyle w:val="PARAGRAPH"/>
      </w:pPr>
      <w:r>
        <w:rPr>
          <w:b/>
        </w:rPr>
        <w:t xml:space="preserve">Example value</w:t>
      </w:r>
      <w:r>
        <w:t xml:space="preserve"> (</w:t>
      </w:r>
      <w:r>
        <w:rPr>
          <w:rStyle w:val="VARIABLE"/>
        </w:rPr>
        <w:t xml:space="preserve">envelope</w:t>
      </w:r>
      <w:r>
        <w:t xml:space="preserve">)</w:t>
      </w:r>
    </w:p>
    <w:p w14:paraId="7DA6F8C4">
      <w:pPr>
        <w:pStyle w:val="CODE"/>
      </w:pPr>
      <w:r>
        <w:t xml:space="preserve">{"fields": {"Id": "E1", "Location": {"fields": {"X": 0.0, "Y": 0.0}, "type_name": "Point"}, "Payload": {"body": {"fields": {"X": 2.0, "Y": 3.0}, "type_name": "Point"}, "type_id": {"id_type": 0, "identifier": 3001, "namespace": 0}}, "Tags": ["x", null, "z"]}, "type_name": "Envelope"}</w:t>
      </w:r>
    </w:p>
    <w:p w14:paraId="45CBDFD0">
      <w:pPr>
        <w:pStyle w:val="PARAGRAPH"/>
      </w:pPr>
      <w:r>
        <w:rPr>
          <w:b/>
        </w:rPr>
        <w:t xml:space="preserve">Encoded bytes</w:t>
      </w:r>
      <w:r>
        <w:t xml:space="preserve"> (55 bytes)</w:t>
      </w:r>
    </w:p>
    <w:p w14:paraId="73436DD4">
      <w:pPr>
        <w:pStyle w:val="CODE"/>
      </w:pPr>
      <w:r>
        <w:t xml:space="preserve">0204453100000000000000000000000000000000060202780002027a0002000002f22e0000000200000000000000400000000000000840</w:t>
      </w:r>
    </w:p>
    <w:p w14:paraId="6AB4B76A">
      <w:pPr>
        <w:pStyle w:val="PARAGRAPH"/>
      </w:pPr>
      <w:r>
        <w:rPr>
          <w:b/>
        </w:rPr>
        <w:t xml:space="preserve">Annotated byte-level breakdown</w:t>
      </w:r>
    </w:p>
    <w:p w14:paraId="6D5905DA">
      <w:pPr>
        <w:pStyle w:val="TABLE-title"/>
        <w:keepNext/>
      </w:pPr>
      <w:bookmarkStart w:id="642" w:name="_Tab_worked_structured_datatype__envelope_tab2"/>
      <w:r>
        <w:t xml:space="preserve">Table </w:t>
      </w:r>
      <w:r>
        <w:fldChar w:fldCharType="begin"/>
      </w:r>
      <w:r>
        <w:instrText xml:space="preserve"> SEQ Table \* ARABIC </w:instrText>
      </w:r>
      <w:r>
        <w:fldChar w:fldCharType="separate"/>
      </w:r>
      <w:r>
        <w:rPr>
          <w:noProof/>
        </w:rPr>
        <w:t xml:space="preserve">77</w:t>
      </w:r>
      <w:r>
        <w:fldChar w:fldCharType="end"/>
      </w:r>
      <w:r>
        <w:t xml:space="preserve"> – Worked structured DataType: Envelope (2)</w:t>
      </w:r>
      <w:bookmarkEnd w:id="6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3D8032A">
            <w:pPr>
              <w:pStyle w:val="TableText"/>
            </w:pPr>
            <w:r>
              <w:t xml:space="preserve">Offset</w:t>
            </w:r>
          </w:p>
        </w:tc>
        <w:tc>
          <w:tcPr>
            <w:tcW w:w="2231" w:type="dxa"/>
            <w:tcBorders>
              <w:top w:val="single" w:sz="4" w:space="0" w:color="auto"/>
              <w:left w:val="single" w:sz="4" w:space="0" w:color="auto"/>
              <w:bottom w:val="double" w:sz="4" w:space="0" w:color="auto"/>
              <w:right w:val="single" w:sz="4" w:space="0" w:color="auto"/>
            </w:tcBorders>
          </w:tcPr>
          <w:p w14:paraId="5AEDD08D">
            <w:pPr>
              <w:pStyle w:val="TableText"/>
            </w:pPr>
            <w:r>
              <w:t xml:space="preserve">Len</w:t>
            </w:r>
          </w:p>
        </w:tc>
        <w:tc>
          <w:tcPr>
            <w:tcW w:w="2231" w:type="dxa"/>
            <w:tcBorders>
              <w:top w:val="single" w:sz="4" w:space="0" w:color="auto"/>
              <w:left w:val="single" w:sz="4" w:space="0" w:color="auto"/>
              <w:bottom w:val="double" w:sz="4" w:space="0" w:color="auto"/>
              <w:right w:val="single" w:sz="4" w:space="0" w:color="auto"/>
            </w:tcBorders>
          </w:tcPr>
          <w:p w14:paraId="6C98E668">
            <w:pPr>
              <w:pStyle w:val="TableText"/>
            </w:pPr>
            <w:r>
              <w:t xml:space="preserve">Bytes</w:t>
            </w:r>
          </w:p>
        </w:tc>
        <w:tc>
          <w:tcPr>
            <w:tcW w:w="2233" w:type="dxa"/>
            <w:tcBorders>
              <w:top w:val="single" w:sz="4" w:space="0" w:color="auto"/>
              <w:left w:val="single" w:sz="4" w:space="0" w:color="auto"/>
              <w:bottom w:val="double" w:sz="4" w:space="0" w:color="auto"/>
              <w:right w:val="single" w:sz="4" w:space="0" w:color="auto"/>
            </w:tcBorders>
          </w:tcPr>
          <w:p w14:paraId="355CF68A">
            <w:pPr>
              <w:pStyle w:val="TableText"/>
            </w:pPr>
            <w:r>
              <w:t xml:space="preserve">Field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E53FCF0">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44CD697B">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21AD7950">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3DDF3EEE">
            <w:pPr>
              <w:pStyle w:val="TableText"/>
            </w:pPr>
            <w:r>
              <w:t xml:space="preserve">$.Id: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07F2E24">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2AC26F0B">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72B4B4A">
            <w:pPr>
              <w:pStyle w:val="TableText"/>
            </w:pPr>
            <w:r>
              <w:rPr>
                <w:rStyle w:val="VARIABLE"/>
              </w:rPr>
              <w:t xml:space="preserve">04</w:t>
            </w:r>
          </w:p>
        </w:tc>
        <w:tc>
          <w:tcPr>
            <w:tcW w:w="2233" w:type="dxa"/>
            <w:tcBorders>
              <w:top w:val="single" w:sz="4" w:space="0" w:color="auto"/>
              <w:left w:val="single" w:sz="4" w:space="0" w:color="auto"/>
              <w:bottom w:val="single" w:sz="4" w:space="0" w:color="auto"/>
              <w:right w:val="single" w:sz="4" w:space="0" w:color="auto"/>
            </w:tcBorders>
          </w:tcPr>
          <w:p w14:paraId="2F9EDCDD">
            <w:pPr>
              <w:pStyle w:val="TableText"/>
            </w:pPr>
            <w:r>
              <w:t xml:space="preserve">$.Id: branch 1 (string): string length = 2</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BF04049">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427F0BF6">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47707BB8">
            <w:pPr>
              <w:pStyle w:val="TableText"/>
            </w:pPr>
            <w:r>
              <w:rPr>
                <w:rStyle w:val="VARIABLE"/>
              </w:rPr>
              <w:t xml:space="preserve">45 31</w:t>
            </w:r>
          </w:p>
        </w:tc>
        <w:tc>
          <w:tcPr>
            <w:tcW w:w="2233" w:type="dxa"/>
            <w:tcBorders>
              <w:top w:val="single" w:sz="4" w:space="0" w:color="auto"/>
              <w:left w:val="single" w:sz="4" w:space="0" w:color="auto"/>
              <w:bottom w:val="single" w:sz="4" w:space="0" w:color="auto"/>
              <w:right w:val="single" w:sz="4" w:space="0" w:color="auto"/>
            </w:tcBorders>
          </w:tcPr>
          <w:p w14:paraId="19D9ED7E">
            <w:pPr>
              <w:pStyle w:val="TableText"/>
            </w:pPr>
            <w:r>
              <w:t xml:space="preserve">$.Id: branch 1 (string): string data</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0AAF409">
            <w:pPr>
              <w:pStyle w:val="TableText"/>
            </w:pPr>
            <w:r>
              <w:t xml:space="preserve">4</w:t>
            </w:r>
          </w:p>
        </w:tc>
        <w:tc>
          <w:tcPr>
            <w:tcW w:w="2231" w:type="dxa"/>
            <w:tcBorders>
              <w:top w:val="single" w:sz="4" w:space="0" w:color="auto"/>
              <w:left w:val="single" w:sz="4" w:space="0" w:color="auto"/>
              <w:bottom w:val="single" w:sz="4" w:space="0" w:color="auto"/>
              <w:right w:val="single" w:sz="4" w:space="0" w:color="auto"/>
            </w:tcBorders>
          </w:tcPr>
          <w:p w14:paraId="1652D016">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1C41D89F">
            <w:pPr>
              <w:pStyle w:val="TableText"/>
            </w:pPr>
            <w:r>
              <w:rPr>
                <w:rStyle w:val="VARIABLE"/>
              </w:rPr>
              <w:t xml:space="preserve">00 00 00 00 00 00 00 00</w:t>
            </w:r>
          </w:p>
        </w:tc>
        <w:tc>
          <w:tcPr>
            <w:tcW w:w="2233" w:type="dxa"/>
            <w:tcBorders>
              <w:top w:val="single" w:sz="4" w:space="0" w:color="auto"/>
              <w:left w:val="single" w:sz="4" w:space="0" w:color="auto"/>
              <w:bottom w:val="single" w:sz="4" w:space="0" w:color="auto"/>
              <w:right w:val="single" w:sz="4" w:space="0" w:color="auto"/>
            </w:tcBorders>
          </w:tcPr>
          <w:p w14:paraId="7775EABF">
            <w:pPr>
              <w:pStyle w:val="TableText"/>
            </w:pPr>
            <w:r>
              <w:t xml:space="preserve">$.Location.X: float64 little-endian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80F3464">
            <w:pPr>
              <w:pStyle w:val="TableText"/>
            </w:pPr>
            <w:r>
              <w:t xml:space="preserve">12</w:t>
            </w:r>
          </w:p>
        </w:tc>
        <w:tc>
          <w:tcPr>
            <w:tcW w:w="2231" w:type="dxa"/>
            <w:tcBorders>
              <w:top w:val="single" w:sz="4" w:space="0" w:color="auto"/>
              <w:left w:val="single" w:sz="4" w:space="0" w:color="auto"/>
              <w:bottom w:val="single" w:sz="4" w:space="0" w:color="auto"/>
              <w:right w:val="single" w:sz="4" w:space="0" w:color="auto"/>
            </w:tcBorders>
          </w:tcPr>
          <w:p w14:paraId="540A93BA">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1578E8C0">
            <w:pPr>
              <w:pStyle w:val="TableText"/>
            </w:pPr>
            <w:r>
              <w:rPr>
                <w:rStyle w:val="VARIABLE"/>
              </w:rPr>
              <w:t xml:space="preserve">00 00 00 00 00 00 00 00</w:t>
            </w:r>
          </w:p>
        </w:tc>
        <w:tc>
          <w:tcPr>
            <w:tcW w:w="2233" w:type="dxa"/>
            <w:tcBorders>
              <w:top w:val="single" w:sz="4" w:space="0" w:color="auto"/>
              <w:left w:val="single" w:sz="4" w:space="0" w:color="auto"/>
              <w:bottom w:val="single" w:sz="4" w:space="0" w:color="auto"/>
              <w:right w:val="single" w:sz="4" w:space="0" w:color="auto"/>
            </w:tcBorders>
          </w:tcPr>
          <w:p w14:paraId="323D7D4E">
            <w:pPr>
              <w:pStyle w:val="TableText"/>
            </w:pPr>
            <w:r>
              <w:t xml:space="preserve">$.Location.Y: float64 little-endian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16F678D">
            <w:pPr>
              <w:pStyle w:val="TableText"/>
            </w:pPr>
            <w:r>
              <w:t xml:space="preserve">20</w:t>
            </w:r>
          </w:p>
        </w:tc>
        <w:tc>
          <w:tcPr>
            <w:tcW w:w="2231" w:type="dxa"/>
            <w:tcBorders>
              <w:top w:val="single" w:sz="4" w:space="0" w:color="auto"/>
              <w:left w:val="single" w:sz="4" w:space="0" w:color="auto"/>
              <w:bottom w:val="single" w:sz="4" w:space="0" w:color="auto"/>
              <w:right w:val="single" w:sz="4" w:space="0" w:color="auto"/>
            </w:tcBorders>
          </w:tcPr>
          <w:p w14:paraId="6710BB51">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2D50CACE">
            <w:pPr>
              <w:pStyle w:val="TableText"/>
            </w:pPr>
            <w:r>
              <w:rPr>
                <w:rStyle w:val="VARIABLE"/>
              </w:rPr>
              <w:t xml:space="preserve">06</w:t>
            </w:r>
          </w:p>
        </w:tc>
        <w:tc>
          <w:tcPr>
            <w:tcW w:w="2233" w:type="dxa"/>
            <w:tcBorders>
              <w:top w:val="single" w:sz="4" w:space="0" w:color="auto"/>
              <w:left w:val="single" w:sz="4" w:space="0" w:color="auto"/>
              <w:bottom w:val="single" w:sz="4" w:space="0" w:color="auto"/>
              <w:right w:val="single" w:sz="4" w:space="0" w:color="auto"/>
            </w:tcBorders>
          </w:tcPr>
          <w:p w14:paraId="53C94E39">
            <w:pPr>
              <w:pStyle w:val="TableText"/>
            </w:pPr>
            <w:r>
              <w:t xml:space="preserve">$.Tags: array block 0 count = 3</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F31C967">
            <w:pPr>
              <w:pStyle w:val="TableText"/>
            </w:pPr>
            <w:r>
              <w:t xml:space="preserve">21</w:t>
            </w:r>
          </w:p>
        </w:tc>
        <w:tc>
          <w:tcPr>
            <w:tcW w:w="2231" w:type="dxa"/>
            <w:tcBorders>
              <w:top w:val="single" w:sz="4" w:space="0" w:color="auto"/>
              <w:left w:val="single" w:sz="4" w:space="0" w:color="auto"/>
              <w:bottom w:val="single" w:sz="4" w:space="0" w:color="auto"/>
              <w:right w:val="single" w:sz="4" w:space="0" w:color="auto"/>
            </w:tcBorders>
          </w:tcPr>
          <w:p w14:paraId="15350748">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43F95EA">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5A70912C">
            <w:pPr>
              <w:pStyle w:val="TableText"/>
            </w:pPr>
            <w:r>
              <w:t xml:space="preserve">$.Tags\[0\]: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8697459">
            <w:pPr>
              <w:pStyle w:val="TableText"/>
            </w:pPr>
            <w:r>
              <w:t xml:space="preserve">22</w:t>
            </w:r>
          </w:p>
        </w:tc>
        <w:tc>
          <w:tcPr>
            <w:tcW w:w="2231" w:type="dxa"/>
            <w:tcBorders>
              <w:top w:val="single" w:sz="4" w:space="0" w:color="auto"/>
              <w:left w:val="single" w:sz="4" w:space="0" w:color="auto"/>
              <w:bottom w:val="single" w:sz="4" w:space="0" w:color="auto"/>
              <w:right w:val="single" w:sz="4" w:space="0" w:color="auto"/>
            </w:tcBorders>
          </w:tcPr>
          <w:p w14:paraId="4D8C4E7C">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17416709">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4AC72EF9">
            <w:pPr>
              <w:pStyle w:val="TableText"/>
            </w:pPr>
            <w:r>
              <w:t xml:space="preserve">$.Tags\[0\]: branch 1 (string): string length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20C3153">
            <w:pPr>
              <w:pStyle w:val="TableText"/>
            </w:pPr>
            <w:r>
              <w:t xml:space="preserve">23</w:t>
            </w:r>
          </w:p>
        </w:tc>
        <w:tc>
          <w:tcPr>
            <w:tcW w:w="2231" w:type="dxa"/>
            <w:tcBorders>
              <w:top w:val="single" w:sz="4" w:space="0" w:color="auto"/>
              <w:left w:val="single" w:sz="4" w:space="0" w:color="auto"/>
              <w:bottom w:val="single" w:sz="4" w:space="0" w:color="auto"/>
              <w:right w:val="single" w:sz="4" w:space="0" w:color="auto"/>
            </w:tcBorders>
          </w:tcPr>
          <w:p w14:paraId="332FEAA8">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06E9444">
            <w:pPr>
              <w:pStyle w:val="TableText"/>
            </w:pPr>
            <w:r>
              <w:rPr>
                <w:rStyle w:val="VARIABLE"/>
              </w:rPr>
              <w:t xml:space="preserve">78</w:t>
            </w:r>
          </w:p>
        </w:tc>
        <w:tc>
          <w:tcPr>
            <w:tcW w:w="2233" w:type="dxa"/>
            <w:tcBorders>
              <w:top w:val="single" w:sz="4" w:space="0" w:color="auto"/>
              <w:left w:val="single" w:sz="4" w:space="0" w:color="auto"/>
              <w:bottom w:val="single" w:sz="4" w:space="0" w:color="auto"/>
              <w:right w:val="single" w:sz="4" w:space="0" w:color="auto"/>
            </w:tcBorders>
          </w:tcPr>
          <w:p w14:paraId="3D4010DA">
            <w:pPr>
              <w:pStyle w:val="TableText"/>
            </w:pPr>
            <w:r>
              <w:t xml:space="preserve">$.Tags\[0\]: branch 1 (string): string data</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EE5B9A7">
            <w:pPr>
              <w:pStyle w:val="TableText"/>
            </w:pPr>
            <w:r>
              <w:t xml:space="preserve">24</w:t>
            </w:r>
          </w:p>
        </w:tc>
        <w:tc>
          <w:tcPr>
            <w:tcW w:w="2231" w:type="dxa"/>
            <w:tcBorders>
              <w:top w:val="single" w:sz="4" w:space="0" w:color="auto"/>
              <w:left w:val="single" w:sz="4" w:space="0" w:color="auto"/>
              <w:bottom w:val="single" w:sz="4" w:space="0" w:color="auto"/>
              <w:right w:val="single" w:sz="4" w:space="0" w:color="auto"/>
            </w:tcBorders>
          </w:tcPr>
          <w:p w14:paraId="7EF4D447">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FFB8FE7">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367BC27C">
            <w:pPr>
              <w:pStyle w:val="TableText"/>
            </w:pPr>
            <w:r>
              <w:t xml:space="preserve">$.Tags\[1\]: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7FB1484">
            <w:pPr>
              <w:pStyle w:val="TableText"/>
            </w:pPr>
            <w:r>
              <w:t xml:space="preserve">25</w:t>
            </w:r>
          </w:p>
        </w:tc>
        <w:tc>
          <w:tcPr>
            <w:tcW w:w="2231" w:type="dxa"/>
            <w:tcBorders>
              <w:top w:val="single" w:sz="4" w:space="0" w:color="auto"/>
              <w:left w:val="single" w:sz="4" w:space="0" w:color="auto"/>
              <w:bottom w:val="single" w:sz="4" w:space="0" w:color="auto"/>
              <w:right w:val="single" w:sz="4" w:space="0" w:color="auto"/>
            </w:tcBorders>
          </w:tcPr>
          <w:p w14:paraId="6AD20346">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289607A1">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63983764">
            <w:pPr>
              <w:pStyle w:val="TableText"/>
            </w:pPr>
            <w:r>
              <w:t xml:space="preserve">$.Tags\[1\]: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4CBD929">
            <w:pPr>
              <w:pStyle w:val="TableText"/>
            </w:pPr>
            <w:r>
              <w:t xml:space="preserve">25</w:t>
            </w:r>
          </w:p>
        </w:tc>
        <w:tc>
          <w:tcPr>
            <w:tcW w:w="2231" w:type="dxa"/>
            <w:tcBorders>
              <w:top w:val="single" w:sz="4" w:space="0" w:color="auto"/>
              <w:left w:val="single" w:sz="4" w:space="0" w:color="auto"/>
              <w:bottom w:val="single" w:sz="4" w:space="0" w:color="auto"/>
              <w:right w:val="single" w:sz="4" w:space="0" w:color="auto"/>
            </w:tcBorders>
          </w:tcPr>
          <w:p w14:paraId="79AC4F60">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26DA6FC">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67E009E9">
            <w:pPr>
              <w:pStyle w:val="TableText"/>
            </w:pPr>
            <w:r>
              <w:t xml:space="preserve">$.Tags\[2\]: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BE5269C">
            <w:pPr>
              <w:pStyle w:val="TableText"/>
            </w:pPr>
            <w:r>
              <w:t xml:space="preserve">26</w:t>
            </w:r>
          </w:p>
        </w:tc>
        <w:tc>
          <w:tcPr>
            <w:tcW w:w="2231" w:type="dxa"/>
            <w:tcBorders>
              <w:top w:val="single" w:sz="4" w:space="0" w:color="auto"/>
              <w:left w:val="single" w:sz="4" w:space="0" w:color="auto"/>
              <w:bottom w:val="single" w:sz="4" w:space="0" w:color="auto"/>
              <w:right w:val="single" w:sz="4" w:space="0" w:color="auto"/>
            </w:tcBorders>
          </w:tcPr>
          <w:p w14:paraId="16ABFFAC">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86B32A3">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570BF3C4">
            <w:pPr>
              <w:pStyle w:val="TableText"/>
            </w:pPr>
            <w:r>
              <w:t xml:space="preserve">$.Tags\[2\]: branch 1 (string): string length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040DCBF">
            <w:pPr>
              <w:pStyle w:val="TableText"/>
            </w:pPr>
            <w:r>
              <w:t xml:space="preserve">27</w:t>
            </w:r>
          </w:p>
        </w:tc>
        <w:tc>
          <w:tcPr>
            <w:tcW w:w="2231" w:type="dxa"/>
            <w:tcBorders>
              <w:top w:val="single" w:sz="4" w:space="0" w:color="auto"/>
              <w:left w:val="single" w:sz="4" w:space="0" w:color="auto"/>
              <w:bottom w:val="single" w:sz="4" w:space="0" w:color="auto"/>
              <w:right w:val="single" w:sz="4" w:space="0" w:color="auto"/>
            </w:tcBorders>
          </w:tcPr>
          <w:p w14:paraId="1B4A9286">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0FC913D">
            <w:pPr>
              <w:pStyle w:val="TableText"/>
            </w:pPr>
            <w:r>
              <w:rPr>
                <w:rStyle w:val="VARIABLE"/>
              </w:rPr>
              <w:t xml:space="preserve">7a</w:t>
            </w:r>
          </w:p>
        </w:tc>
        <w:tc>
          <w:tcPr>
            <w:tcW w:w="2233" w:type="dxa"/>
            <w:tcBorders>
              <w:top w:val="single" w:sz="4" w:space="0" w:color="auto"/>
              <w:left w:val="single" w:sz="4" w:space="0" w:color="auto"/>
              <w:bottom w:val="single" w:sz="4" w:space="0" w:color="auto"/>
              <w:right w:val="single" w:sz="4" w:space="0" w:color="auto"/>
            </w:tcBorders>
          </w:tcPr>
          <w:p w14:paraId="78D1F2E1">
            <w:pPr>
              <w:pStyle w:val="TableText"/>
            </w:pPr>
            <w:r>
              <w:t xml:space="preserve">$.Tags\[2\]: branch 1 (string): string data</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5C15FD0">
            <w:pPr>
              <w:pStyle w:val="TableText"/>
            </w:pPr>
            <w:r>
              <w:t xml:space="preserve">28</w:t>
            </w:r>
          </w:p>
        </w:tc>
        <w:tc>
          <w:tcPr>
            <w:tcW w:w="2231" w:type="dxa"/>
            <w:tcBorders>
              <w:top w:val="single" w:sz="4" w:space="0" w:color="auto"/>
              <w:left w:val="single" w:sz="4" w:space="0" w:color="auto"/>
              <w:bottom w:val="single" w:sz="4" w:space="0" w:color="auto"/>
              <w:right w:val="single" w:sz="4" w:space="0" w:color="auto"/>
            </w:tcBorders>
          </w:tcPr>
          <w:p w14:paraId="74705B97">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F6C4522">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707F3F65">
            <w:pPr>
              <w:pStyle w:val="TableText"/>
            </w:pPr>
            <w:r>
              <w:t xml:space="preserve">$.Tags: array block 1 count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82402EA">
            <w:pPr>
              <w:pStyle w:val="TableText"/>
            </w:pPr>
            <w:r>
              <w:t xml:space="preserve">29</w:t>
            </w:r>
          </w:p>
        </w:tc>
        <w:tc>
          <w:tcPr>
            <w:tcW w:w="2231" w:type="dxa"/>
            <w:tcBorders>
              <w:top w:val="single" w:sz="4" w:space="0" w:color="auto"/>
              <w:left w:val="single" w:sz="4" w:space="0" w:color="auto"/>
              <w:bottom w:val="single" w:sz="4" w:space="0" w:color="auto"/>
              <w:right w:val="single" w:sz="4" w:space="0" w:color="auto"/>
            </w:tcBorders>
          </w:tcPr>
          <w:p w14:paraId="50E57132">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4CA5616F">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3D61D92C">
            <w:pPr>
              <w:pStyle w:val="TableText"/>
            </w:pPr>
            <w:r>
              <w:t xml:space="preserve">$.Payload: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D9E9C5E">
            <w:pPr>
              <w:pStyle w:val="TableText"/>
            </w:pPr>
            <w:r>
              <w:t xml:space="preserve">30</w:t>
            </w:r>
          </w:p>
        </w:tc>
        <w:tc>
          <w:tcPr>
            <w:tcW w:w="2231" w:type="dxa"/>
            <w:tcBorders>
              <w:top w:val="single" w:sz="4" w:space="0" w:color="auto"/>
              <w:left w:val="single" w:sz="4" w:space="0" w:color="auto"/>
              <w:bottom w:val="single" w:sz="4" w:space="0" w:color="auto"/>
              <w:right w:val="single" w:sz="4" w:space="0" w:color="auto"/>
            </w:tcBorders>
          </w:tcPr>
          <w:p w14:paraId="78D58298">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32EBE821">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635FC7EB">
            <w:pPr>
              <w:pStyle w:val="TableText"/>
            </w:pPr>
            <w:r>
              <w:t xml:space="preserve">$.Payload: branch 1 (org.opcfoundation.ua.avro.ExtensionObject).typeId.namespace: int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6435B69">
            <w:pPr>
              <w:pStyle w:val="TableText"/>
            </w:pPr>
            <w:r>
              <w:t xml:space="preserve">31</w:t>
            </w:r>
          </w:p>
        </w:tc>
        <w:tc>
          <w:tcPr>
            <w:tcW w:w="2231" w:type="dxa"/>
            <w:tcBorders>
              <w:top w:val="single" w:sz="4" w:space="0" w:color="auto"/>
              <w:left w:val="single" w:sz="4" w:space="0" w:color="auto"/>
              <w:bottom w:val="single" w:sz="4" w:space="0" w:color="auto"/>
              <w:right w:val="single" w:sz="4" w:space="0" w:color="auto"/>
            </w:tcBorders>
          </w:tcPr>
          <w:p w14:paraId="19ADCA2A">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561E425E">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44E76ED6">
            <w:pPr>
              <w:pStyle w:val="TableText"/>
            </w:pPr>
            <w:r>
              <w:t xml:space="preserve">$.Payload: branch 1 (org.opcfoundation.ua.avro.ExtensionObject).typeId.idType: int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75E8BE4">
            <w:pPr>
              <w:pStyle w:val="TableText"/>
            </w:pPr>
            <w:r>
              <w:t xml:space="preserve">32</w:t>
            </w:r>
          </w:p>
        </w:tc>
        <w:tc>
          <w:tcPr>
            <w:tcW w:w="2231" w:type="dxa"/>
            <w:tcBorders>
              <w:top w:val="single" w:sz="4" w:space="0" w:color="auto"/>
              <w:left w:val="single" w:sz="4" w:space="0" w:color="auto"/>
              <w:bottom w:val="single" w:sz="4" w:space="0" w:color="auto"/>
              <w:right w:val="single" w:sz="4" w:space="0" w:color="auto"/>
            </w:tcBorders>
          </w:tcPr>
          <w:p w14:paraId="57350334">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03B7E096">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1E2ACBD1">
            <w:pPr>
              <w:pStyle w:val="TableText"/>
            </w:pPr>
            <w:r>
              <w:t xml:space="preserve">$.Payload: branch 1 (org.opcfoundation.ua.avro.ExtensionObject).typeId.numeric: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7FC26F0">
            <w:pPr>
              <w:pStyle w:val="TableText"/>
            </w:pPr>
            <w:r>
              <w:t xml:space="preserve">33</w:t>
            </w:r>
          </w:p>
        </w:tc>
        <w:tc>
          <w:tcPr>
            <w:tcW w:w="2231" w:type="dxa"/>
            <w:tcBorders>
              <w:top w:val="single" w:sz="4" w:space="0" w:color="auto"/>
              <w:left w:val="single" w:sz="4" w:space="0" w:color="auto"/>
              <w:bottom w:val="single" w:sz="4" w:space="0" w:color="auto"/>
              <w:right w:val="single" w:sz="4" w:space="0" w:color="auto"/>
            </w:tcBorders>
          </w:tcPr>
          <w:p w14:paraId="16C97EE4">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63F3155B">
            <w:pPr>
              <w:pStyle w:val="TableText"/>
            </w:pPr>
            <w:r>
              <w:rPr>
                <w:rStyle w:val="VARIABLE"/>
              </w:rPr>
              <w:t xml:space="preserve">f2 2e</w:t>
            </w:r>
          </w:p>
        </w:tc>
        <w:tc>
          <w:tcPr>
            <w:tcW w:w="2233" w:type="dxa"/>
            <w:tcBorders>
              <w:top w:val="single" w:sz="4" w:space="0" w:color="auto"/>
              <w:left w:val="single" w:sz="4" w:space="0" w:color="auto"/>
              <w:bottom w:val="single" w:sz="4" w:space="0" w:color="auto"/>
              <w:right w:val="single" w:sz="4" w:space="0" w:color="auto"/>
            </w:tcBorders>
          </w:tcPr>
          <w:p w14:paraId="3C036564">
            <w:pPr>
              <w:pStyle w:val="TableText"/>
            </w:pPr>
            <w:r>
              <w:t xml:space="preserve">$.Payload: branch 1 (org.opcfoundation.ua.avro.ExtensionObject).typeId.numeric: branch 1 (long): long = 3001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C187335">
            <w:pPr>
              <w:pStyle w:val="TableText"/>
            </w:pPr>
            <w:r>
              <w:t xml:space="preserve">35</w:t>
            </w:r>
          </w:p>
        </w:tc>
        <w:tc>
          <w:tcPr>
            <w:tcW w:w="2231" w:type="dxa"/>
            <w:tcBorders>
              <w:top w:val="single" w:sz="4" w:space="0" w:color="auto"/>
              <w:left w:val="single" w:sz="4" w:space="0" w:color="auto"/>
              <w:bottom w:val="single" w:sz="4" w:space="0" w:color="auto"/>
              <w:right w:val="single" w:sz="4" w:space="0" w:color="auto"/>
            </w:tcBorders>
          </w:tcPr>
          <w:p w14:paraId="4B084B90">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B776A98">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2CA71C64">
            <w:pPr>
              <w:pStyle w:val="TableText"/>
            </w:pPr>
            <w:r>
              <w:t xml:space="preserve">$.Payload: branch 1 (org.opcfoundation.ua.avro.ExtensionObject).typeId.string: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2B2C035">
            <w:pPr>
              <w:pStyle w:val="TableText"/>
            </w:pPr>
            <w:r>
              <w:t xml:space="preserve">36</w:t>
            </w:r>
          </w:p>
        </w:tc>
        <w:tc>
          <w:tcPr>
            <w:tcW w:w="2231" w:type="dxa"/>
            <w:tcBorders>
              <w:top w:val="single" w:sz="4" w:space="0" w:color="auto"/>
              <w:left w:val="single" w:sz="4" w:space="0" w:color="auto"/>
              <w:bottom w:val="single" w:sz="4" w:space="0" w:color="auto"/>
              <w:right w:val="single" w:sz="4" w:space="0" w:color="auto"/>
            </w:tcBorders>
          </w:tcPr>
          <w:p w14:paraId="483195F4">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3AC5E2B7">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04B6E038">
            <w:pPr>
              <w:pStyle w:val="TableText"/>
            </w:pPr>
            <w:r>
              <w:t xml:space="preserve">$.Payload: branch 1 (org.opcfoundation.ua.avro.ExtensionObject).typeId.string: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4B37A7C">
            <w:pPr>
              <w:pStyle w:val="TableText"/>
            </w:pPr>
            <w:r>
              <w:t xml:space="preserve">36</w:t>
            </w:r>
          </w:p>
        </w:tc>
        <w:tc>
          <w:tcPr>
            <w:tcW w:w="2231" w:type="dxa"/>
            <w:tcBorders>
              <w:top w:val="single" w:sz="4" w:space="0" w:color="auto"/>
              <w:left w:val="single" w:sz="4" w:space="0" w:color="auto"/>
              <w:bottom w:val="single" w:sz="4" w:space="0" w:color="auto"/>
              <w:right w:val="single" w:sz="4" w:space="0" w:color="auto"/>
            </w:tcBorders>
          </w:tcPr>
          <w:p w14:paraId="46C99211">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D90E5C4">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735BD4B5">
            <w:pPr>
              <w:pStyle w:val="TableText"/>
            </w:pPr>
            <w:r>
              <w:t xml:space="preserve">$.Payload: branch 1 (org.opcfoundation.ua.avro.ExtensionObject).typeId.guid: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E6CA756">
            <w:pPr>
              <w:pStyle w:val="TableText"/>
            </w:pPr>
            <w:r>
              <w:t xml:space="preserve">37</w:t>
            </w:r>
          </w:p>
        </w:tc>
        <w:tc>
          <w:tcPr>
            <w:tcW w:w="2231" w:type="dxa"/>
            <w:tcBorders>
              <w:top w:val="single" w:sz="4" w:space="0" w:color="auto"/>
              <w:left w:val="single" w:sz="4" w:space="0" w:color="auto"/>
              <w:bottom w:val="single" w:sz="4" w:space="0" w:color="auto"/>
              <w:right w:val="single" w:sz="4" w:space="0" w:color="auto"/>
            </w:tcBorders>
          </w:tcPr>
          <w:p w14:paraId="219559F8">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097D7444">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16FE488B">
            <w:pPr>
              <w:pStyle w:val="TableText"/>
            </w:pPr>
            <w:r>
              <w:t xml:space="preserve">$.Payload: branch 1 (org.opcfoundation.ua.avro.ExtensionObject).typeId.guid: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54AF973">
            <w:pPr>
              <w:pStyle w:val="TableText"/>
            </w:pPr>
            <w:r>
              <w:t xml:space="preserve">37</w:t>
            </w:r>
          </w:p>
        </w:tc>
        <w:tc>
          <w:tcPr>
            <w:tcW w:w="2231" w:type="dxa"/>
            <w:tcBorders>
              <w:top w:val="single" w:sz="4" w:space="0" w:color="auto"/>
              <w:left w:val="single" w:sz="4" w:space="0" w:color="auto"/>
              <w:bottom w:val="single" w:sz="4" w:space="0" w:color="auto"/>
              <w:right w:val="single" w:sz="4" w:space="0" w:color="auto"/>
            </w:tcBorders>
          </w:tcPr>
          <w:p w14:paraId="558EFF8D">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CB48F4A">
            <w:pPr>
              <w:pStyle w:val="TableText"/>
            </w:pPr>
            <w:r>
              <w:rPr>
                <w:rStyle w:val="VARIABLE"/>
              </w:rPr>
              <w:t xml:space="preserve">00</w:t>
            </w:r>
          </w:p>
        </w:tc>
        <w:tc>
          <w:tcPr>
            <w:tcW w:w="2233" w:type="dxa"/>
            <w:tcBorders>
              <w:top w:val="single" w:sz="4" w:space="0" w:color="auto"/>
              <w:left w:val="single" w:sz="4" w:space="0" w:color="auto"/>
              <w:bottom w:val="single" w:sz="4" w:space="0" w:color="auto"/>
              <w:right w:val="single" w:sz="4" w:space="0" w:color="auto"/>
            </w:tcBorders>
          </w:tcPr>
          <w:p w14:paraId="3E82880A">
            <w:pPr>
              <w:pStyle w:val="TableText"/>
            </w:pPr>
            <w:r>
              <w:t xml:space="preserve">$.Payload: branch 1 (org.opcfoundation.ua.avro.ExtensionObject).typeId.opaque: union branch index = 0</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5368EF3">
            <w:pPr>
              <w:pStyle w:val="TableText"/>
            </w:pPr>
            <w:r>
              <w:t xml:space="preserve">38</w:t>
            </w:r>
          </w:p>
        </w:tc>
        <w:tc>
          <w:tcPr>
            <w:tcW w:w="2231" w:type="dxa"/>
            <w:tcBorders>
              <w:top w:val="single" w:sz="4" w:space="0" w:color="auto"/>
              <w:left w:val="single" w:sz="4" w:space="0" w:color="auto"/>
              <w:bottom w:val="single" w:sz="4" w:space="0" w:color="auto"/>
              <w:right w:val="single" w:sz="4" w:space="0" w:color="auto"/>
            </w:tcBorders>
          </w:tcPr>
          <w:p w14:paraId="0875B881">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6EF6256C">
            <w:pPr>
              <w:pStyle w:val="TableText"/>
            </w:pPr>
            <w:r>
              <w:rPr>
                <w:rStyle w:val="VARIABLE"/>
              </w:rPr>
              <w:t xml:space="preserve">—</w:t>
            </w:r>
          </w:p>
        </w:tc>
        <w:tc>
          <w:tcPr>
            <w:tcW w:w="2233" w:type="dxa"/>
            <w:tcBorders>
              <w:top w:val="single" w:sz="4" w:space="0" w:color="auto"/>
              <w:left w:val="single" w:sz="4" w:space="0" w:color="auto"/>
              <w:bottom w:val="single" w:sz="4" w:space="0" w:color="auto"/>
              <w:right w:val="single" w:sz="4" w:space="0" w:color="auto"/>
            </w:tcBorders>
          </w:tcPr>
          <w:p w14:paraId="13485A01">
            <w:pPr>
              <w:pStyle w:val="TableText"/>
            </w:pPr>
            <w:r>
              <w:t xml:space="preserve">$.Payload: branch 1 (org.opcfoundation.ua.avro.ExtensionObject).typeId.opaque: branch 0 (null): null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FA8A042">
            <w:pPr>
              <w:pStyle w:val="TableText"/>
            </w:pPr>
            <w:r>
              <w:t xml:space="preserve">38</w:t>
            </w:r>
          </w:p>
        </w:tc>
        <w:tc>
          <w:tcPr>
            <w:tcW w:w="2231" w:type="dxa"/>
            <w:tcBorders>
              <w:top w:val="single" w:sz="4" w:space="0" w:color="auto"/>
              <w:left w:val="single" w:sz="4" w:space="0" w:color="auto"/>
              <w:bottom w:val="single" w:sz="4" w:space="0" w:color="auto"/>
              <w:right w:val="single" w:sz="4" w:space="0" w:color="auto"/>
            </w:tcBorders>
          </w:tcPr>
          <w:p w14:paraId="3364CEAC">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8C12133">
            <w:pPr>
              <w:pStyle w:val="TableText"/>
            </w:pPr>
            <w:r>
              <w:rPr>
                <w:rStyle w:val="VARIABLE"/>
              </w:rPr>
              <w:t xml:space="preserve">02</w:t>
            </w:r>
          </w:p>
        </w:tc>
        <w:tc>
          <w:tcPr>
            <w:tcW w:w="2233" w:type="dxa"/>
            <w:tcBorders>
              <w:top w:val="single" w:sz="4" w:space="0" w:color="auto"/>
              <w:left w:val="single" w:sz="4" w:space="0" w:color="auto"/>
              <w:bottom w:val="single" w:sz="4" w:space="0" w:color="auto"/>
              <w:right w:val="single" w:sz="4" w:space="0" w:color="auto"/>
            </w:tcBorders>
          </w:tcPr>
          <w:p w14:paraId="7EC0AE60">
            <w:pPr>
              <w:pStyle w:val="TableText"/>
            </w:pPr>
            <w:r>
              <w:t xml:space="preserve">$.Payload: branch 1 (org.opcfoundation.ua.avro.ExtensionObject).body: union branch index = 1</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2BC67C">
            <w:pPr>
              <w:pStyle w:val="TableText"/>
            </w:pPr>
            <w:r>
              <w:t xml:space="preserve">39</w:t>
            </w:r>
          </w:p>
        </w:tc>
        <w:tc>
          <w:tcPr>
            <w:tcW w:w="2231" w:type="dxa"/>
            <w:tcBorders>
              <w:top w:val="single" w:sz="4" w:space="0" w:color="auto"/>
              <w:left w:val="single" w:sz="4" w:space="0" w:color="auto"/>
              <w:bottom w:val="single" w:sz="4" w:space="0" w:color="auto"/>
              <w:right w:val="single" w:sz="4" w:space="0" w:color="auto"/>
            </w:tcBorders>
          </w:tcPr>
          <w:p w14:paraId="5010C799">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42AAA36B">
            <w:pPr>
              <w:pStyle w:val="TableText"/>
            </w:pPr>
            <w:r>
              <w:rPr>
                <w:rStyle w:val="VARIABLE"/>
              </w:rPr>
              <w:t xml:space="preserve">00 00 00 00 00 00 00 40</w:t>
            </w:r>
          </w:p>
        </w:tc>
        <w:tc>
          <w:tcPr>
            <w:tcW w:w="2233" w:type="dxa"/>
            <w:tcBorders>
              <w:top w:val="single" w:sz="4" w:space="0" w:color="auto"/>
              <w:left w:val="single" w:sz="4" w:space="0" w:color="auto"/>
              <w:bottom w:val="single" w:sz="4" w:space="0" w:color="auto"/>
              <w:right w:val="single" w:sz="4" w:space="0" w:color="auto"/>
            </w:tcBorders>
          </w:tcPr>
          <w:p w14:paraId="7241A1D7">
            <w:pPr>
              <w:pStyle w:val="TableText"/>
            </w:pPr>
            <w:r>
              <w:t xml:space="preserve">$.Payload: branch 1 (org.opcfoundation.ua.avro.ExtensionObject).body: branch 1 (org.opcfoundation.ua.avro.Point).X: float64 little-endian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393B864">
            <w:pPr>
              <w:pStyle w:val="TableText"/>
            </w:pPr>
            <w:r>
              <w:t xml:space="preserve">47</w:t>
            </w:r>
          </w:p>
        </w:tc>
        <w:tc>
          <w:tcPr>
            <w:tcW w:w="2231" w:type="dxa"/>
            <w:tcBorders>
              <w:top w:val="single" w:sz="4" w:space="0" w:color="auto"/>
              <w:left w:val="single" w:sz="4" w:space="0" w:color="auto"/>
              <w:bottom w:val="single" w:sz="4" w:space="0" w:color="auto"/>
              <w:right w:val="single" w:sz="4" w:space="0" w:color="auto"/>
            </w:tcBorders>
          </w:tcPr>
          <w:p w14:paraId="70736A69">
            <w:pPr>
              <w:pStyle w:val="TableText"/>
            </w:pPr>
            <w:r>
              <w:t xml:space="preserve">8</w:t>
            </w:r>
          </w:p>
        </w:tc>
        <w:tc>
          <w:tcPr>
            <w:tcW w:w="2231" w:type="dxa"/>
            <w:tcBorders>
              <w:top w:val="single" w:sz="4" w:space="0" w:color="auto"/>
              <w:left w:val="single" w:sz="4" w:space="0" w:color="auto"/>
              <w:bottom w:val="single" w:sz="4" w:space="0" w:color="auto"/>
              <w:right w:val="single" w:sz="4" w:space="0" w:color="auto"/>
            </w:tcBorders>
          </w:tcPr>
          <w:p w14:paraId="53A99351">
            <w:pPr>
              <w:pStyle w:val="TableText"/>
            </w:pPr>
            <w:r>
              <w:rPr>
                <w:rStyle w:val="VARIABLE"/>
              </w:rPr>
              <w:t xml:space="preserve">00 00 00 00 00 00 08 40</w:t>
            </w:r>
          </w:p>
        </w:tc>
        <w:tc>
          <w:tcPr>
            <w:tcW w:w="2233" w:type="dxa"/>
            <w:tcBorders>
              <w:top w:val="single" w:sz="4" w:space="0" w:color="auto"/>
              <w:left w:val="single" w:sz="4" w:space="0" w:color="auto"/>
              <w:bottom w:val="single" w:sz="4" w:space="0" w:color="auto"/>
              <w:right w:val="single" w:sz="4" w:space="0" w:color="auto"/>
            </w:tcBorders>
          </w:tcPr>
          <w:p w14:paraId="1A69BF40">
            <w:pPr>
              <w:pStyle w:val="TableText"/>
            </w:pPr>
            <w:r>
              <w:t xml:space="preserve">$.Payload: branch 1 (org.opcfoundation.ua.avro.ExtensionObject).body: branch 1 (org.opcfoundation.ua.avro.Point).Y: float64 little-endian</w:t>
            </w:r>
          </w:p>
        </w:tc>
      </w:tr>
    </w:tbl>
    <w:p w14:paraId="47C45279">
      <w:pPr>
        <w:pStyle w:val="spacer"/>
      </w:pPr>
    </w:p>
    <w:p w14:paraId="7872DE7B">
      <w:pPr>
        <w:pStyle w:val="PARAGRAPH"/>
      </w:pPr>
      <w:r>
        <w:t xml:space="preserve">&lt;!-- END GENERATED: type-reference --&gt;</w:t>
      </w:r>
    </w:p>
    <w:p w14:paraId="6885D573">
      <w:pPr>
        <w:pStyle w:val="ANNEXtitle"/>
        <w:pageBreakBefore/>
      </w:pPr>
      <w:bookmarkStart w:id="643" w:name="_Annex_cB"/>
      <w:r>
        <w:t xml:space="preserve">(informative)</w:t>
      </w:r>
      <w:r>
        <w:br/>
      </w:r>
      <w:r>
        <w:br/>
      </w:r>
      <w:r>
        <w:t xml:space="preserve">PubSub Action and Discovery schema examples</w:t>
      </w:r>
      <w:bookmarkEnd w:id="643"/>
    </w:p>
    <w:p w14:paraId="75155A76">
      <w:pPr>
        <w:pStyle w:val="PARAGRAPH"/>
      </w:pPr>
      <w:r>
        <w:t xml:space="preserve">The PubSub message mapping of </w:t>
      </w:r>
      <w:r>
        <w:fldChar w:fldCharType="begin"/>
      </w:r>
      <w:r>
        <w:instrText xml:space="preserve"> REF _Clause_c6_8 \r \h </w:instrText>
      </w:r>
      <w:r>
        <w:fldChar w:fldCharType="separate"/>
      </w:r>
      <w:r>
        <w:rPr>
          <w:noProof/>
        </w:rPr>
        <w:t xml:space="preserve">6.8</w:t>
      </w:r>
      <w:r>
        <w:fldChar w:fldCharType="end"/>
      </w:r>
      <w:r>
        <w:t xml:space="preserve"> publishes the fixed data NetworkMessage envelope (</w:t>
      </w:r>
      <w:r>
        <w:fldChar w:fldCharType="begin"/>
      </w:r>
      <w:r>
        <w:instrText xml:space="preserve"> REF _Clause_c6_8_1 \r \h </w:instrText>
      </w:r>
      <w:r>
        <w:fldChar w:fldCharType="separate"/>
      </w:r>
      <w:r>
        <w:rPr>
          <w:noProof/>
        </w:rPr>
        <w:t xml:space="preserve">6.8.1</w:t>
      </w:r>
      <w:r>
        <w:fldChar w:fldCharType="end"/>
      </w:r>
      <w:r>
        <w:t xml:space="preserve">) and compact envelope schemas for Action and Discovery messages in </w:t>
      </w:r>
      <w:r>
        <w:rPr>
          <w:rStyle w:val="VARIABLE"/>
        </w:rPr>
        <w:t xml:space="preserve">../extras/avro-encoding/schemas/</w:t>
      </w:r>
      <w:r>
        <w:t xml:space="preserve">. The fixed data NetworkMessage envelope is </w:t>
      </w:r>
      <w:r>
        <w:rPr>
          <w:rStyle w:val="VARIABLE"/>
        </w:rPr>
        <w:t xml:space="preserve">AvroNetworkMessage.avsc</w:t>
      </w:r>
      <w:r>
        <w:t xml:space="preserve">, its opaque payload entry is </w:t>
      </w:r>
      <w:r>
        <w:rPr>
          <w:rStyle w:val="VARIABLE"/>
        </w:rPr>
        <w:t xml:space="preserve">AvroDataSetPayloadEntry.avsc</w:t>
      </w:r>
      <w:r>
        <w:t xml:space="preserve">, and the un-enveloped batch is </w:t>
      </w:r>
      <w:r>
        <w:rPr>
          <w:rStyle w:val="VARIABLE"/>
        </w:rPr>
        <w:t xml:space="preserve">AvroDataSetMessageBatch.avsc</w:t>
      </w:r>
      <w:r>
        <w:t xml:space="preserve">. The Action request/response envelopes are </w:t>
      </w:r>
      <w:r>
        <w:rPr>
          <w:rStyle w:val="VARIABLE"/>
        </w:rPr>
        <w:t xml:space="preserve">AvroActionRequestNetworkMessage.avsc</w:t>
      </w:r>
      <w:r>
        <w:t xml:space="preserve"> and </w:t>
      </w:r>
      <w:r>
        <w:rPr>
          <w:rStyle w:val="VARIABLE"/>
        </w:rPr>
        <w:t xml:space="preserve">AvroActionResponseNetworkMessage.avsc</w:t>
      </w:r>
      <w:r>
        <w:t xml:space="preserve">, each containing an array of request/response DataSetMessages. Discovery examples include </w:t>
      </w:r>
      <w:r>
        <w:rPr>
          <w:rStyle w:val="VARIABLE"/>
        </w:rPr>
        <w:t xml:space="preserve">AvroDataSetMetaData.avsc</w:t>
      </w:r>
      <w:r>
        <w:t xml:space="preserve">, </w:t>
      </w:r>
      <w:r>
        <w:rPr>
          <w:rStyle w:val="VARIABLE"/>
        </w:rPr>
        <w:t xml:space="preserve">AvroDataSetWriterConfigurationAnnouncement.avsc</w:t>
      </w:r>
      <w:r>
        <w:t xml:space="preserve">, </w:t>
      </w:r>
      <w:r>
        <w:rPr>
          <w:rStyle w:val="VARIABLE"/>
        </w:rPr>
        <w:t xml:space="preserve">AvroActionResponderConfigurationAnnouncement.avsc</w:t>
      </w:r>
      <w:r>
        <w:t xml:space="preserve">, </w:t>
      </w:r>
      <w:r>
        <w:rPr>
          <w:rStyle w:val="VARIABLE"/>
        </w:rPr>
        <w:t xml:space="preserve">AvroDiscoveryProbe.avsc</w:t>
      </w:r>
      <w:r>
        <w:t xml:space="preserve"> and </w:t>
      </w:r>
      <w:r>
        <w:rPr>
          <w:rStyle w:val="VARIABLE"/>
        </w:rPr>
        <w:t xml:space="preserve">AvroPublisherEndpointsAnnouncement.avsc</w:t>
      </w:r>
      <w:r>
        <w:t xml:space="preserve">. The generated schemas use the built-in </w:t>
      </w:r>
      <w:r>
        <w:rPr>
          <w:rStyle w:val="VARIABLE"/>
        </w:rPr>
        <w:t xml:space="preserve">Variant</w:t>
      </w:r>
      <w:r>
        <w:t xml:space="preserve">, </w:t>
      </w:r>
      <w:r>
        <w:rPr>
          <w:rStyle w:val="VARIABLE"/>
        </w:rPr>
        <w:t xml:space="preserve">DataValue</w:t>
      </w:r>
      <w:r>
        <w:t xml:space="preserve">, </w:t>
      </w:r>
      <w:r>
        <w:rPr>
          <w:rStyle w:val="VARIABLE"/>
        </w:rPr>
        <w:t xml:space="preserve">NodeId</w:t>
      </w:r>
      <w:r>
        <w:t xml:space="preserve">, </w:t>
      </w:r>
      <w:r>
        <w:rPr>
          <w:rStyle w:val="VARIABLE"/>
        </w:rPr>
        <w:t xml:space="preserve">StatusCode</w:t>
      </w:r>
      <w:r>
        <w:t xml:space="preserve">, </w:t>
      </w:r>
      <w:r>
        <w:rPr>
          <w:rStyle w:val="VARIABLE"/>
        </w:rPr>
        <w:t xml:space="preserve">DiagnosticInfo</w:t>
      </w:r>
      <w:r>
        <w:t xml:space="preserve"> and </w:t>
      </w:r>
      <w:r>
        <w:rPr>
          <w:rStyle w:val="VARIABLE"/>
        </w:rPr>
        <w:t xml:space="preserve">ExtensionObject</w:t>
      </w:r>
      <w:r>
        <w:t xml:space="preserve"> records from Annex A. Reduced base-UA shapes and fallbacks are documented in </w:t>
      </w:r>
      <w:r>
        <w:fldChar w:fldCharType="begin"/>
      </w:r>
      <w:r>
        <w:instrText xml:space="preserve"> REF _Clause_c6_8_3 \r \h </w:instrText>
      </w:r>
      <w:r>
        <w:fldChar w:fldCharType="separate"/>
      </w:r>
      <w:r>
        <w:rPr>
          <w:noProof/>
        </w:rPr>
        <w:t xml:space="preserve">6.8.3</w:t>
      </w:r>
      <w:r>
        <w:fldChar w:fldCharType="end"/>
      </w:r>
      <w:r>
        <w:t xml:space="preserve">.</w:t>
      </w:r>
    </w:p>
    <w:p w14:paraId="67DA3147">
      <w:pPr>
        <w:pStyle w:val="PARAGRAPH"/>
      </w:pPr>
      <w:r>
        <w:t xml:space="preserve">Compact examples publish the exact generated schema files below. Do not edit these JSON blocks by hand; copy them from </w:t>
      </w:r>
      <w:r>
        <w:rPr>
          <w:rStyle w:val="VARIABLE"/>
        </w:rPr>
        <w:t xml:space="preserve">..\extras\avro-encoding\schemas\*.avsc</w:t>
      </w:r>
      <w:r>
        <w:t xml:space="preserve">.</w:t>
      </w:r>
    </w:p>
    <w:p w14:paraId="0A4D09A9">
      <w:pPr>
        <w:pStyle w:val="PARAGRAPH"/>
      </w:pPr>
      <w:r>
        <w:t xml:space="preserve">The published fixed NetworkMessage envelope schema is </w:t>
      </w:r>
      <w:r>
        <w:rPr>
          <w:rStyle w:val="VARIABLE"/>
        </w:rPr>
        <w:t xml:space="preserve">../extras/avro-encoding/schemas/AvroNetworkMessage.avsc</w:t>
      </w:r>
      <w:r>
        <w:t xml:space="preserve">:</w:t>
      </w:r>
    </w:p>
    <w:p w14:paraId="33E473C4">
      <w:pPr>
        <w:pStyle w:val="CODE"/>
      </w:pPr>
      <w:r>
        <w:t xml:space="preserve">{</w:t>
      </w:r>
    </w:p>
    <w:p w14:paraId="0B9C70E5">
      <w:pPr>
        <w:pStyle w:val="CODE"/>
      </w:pPr>
      <w:r>
        <w:t xml:space="preserve">  "fields": [</w:t>
      </w:r>
    </w:p>
    <w:p w14:paraId="1B59988C">
      <w:pPr>
        <w:pStyle w:val="CODE"/>
      </w:pPr>
      <w:r>
        <w:t xml:space="preserve">    {</w:t>
      </w:r>
    </w:p>
    <w:p w14:paraId="134F93FA">
      <w:pPr>
        <w:pStyle w:val="CODE"/>
      </w:pPr>
      <w:r>
        <w:t xml:space="preserve">      "name": "PublisherId",</w:t>
      </w:r>
    </w:p>
    <w:p w14:paraId="15B10566">
      <w:pPr>
        <w:pStyle w:val="CODE"/>
      </w:pPr>
      <w:r>
        <w:t xml:space="preserve">      "type": [</w:t>
      </w:r>
    </w:p>
    <w:p w14:paraId="5EE8E43B">
      <w:pPr>
        <w:pStyle w:val="CODE"/>
      </w:pPr>
      <w:r>
        <w:t xml:space="preserve">        "null",</w:t>
      </w:r>
    </w:p>
    <w:p w14:paraId="48F7B0A4">
      <w:pPr>
        <w:pStyle w:val="CODE"/>
      </w:pPr>
      <w:r>
        <w:t xml:space="preserve">        "string"</w:t>
      </w:r>
    </w:p>
    <w:p w14:paraId="4D5F98E8">
      <w:pPr>
        <w:pStyle w:val="CODE"/>
      </w:pPr>
      <w:r>
        <w:t xml:space="preserve">      ]</w:t>
      </w:r>
    </w:p>
    <w:p w14:paraId="027E8E32">
      <w:pPr>
        <w:pStyle w:val="CODE"/>
      </w:pPr>
      <w:r>
        <w:t xml:space="preserve">    },</w:t>
      </w:r>
    </w:p>
    <w:p w14:paraId="4E23942F">
      <w:pPr>
        <w:pStyle w:val="CODE"/>
      </w:pPr>
      <w:r>
        <w:t xml:space="preserve">    {</w:t>
      </w:r>
    </w:p>
    <w:p w14:paraId="3DBA4401">
      <w:pPr>
        <w:pStyle w:val="CODE"/>
      </w:pPr>
      <w:r>
        <w:t xml:space="preserve">      "name": "DataSetClassId",</w:t>
      </w:r>
    </w:p>
    <w:p w14:paraId="3EE2E669">
      <w:pPr>
        <w:pStyle w:val="CODE"/>
      </w:pPr>
      <w:r>
        <w:t xml:space="preserve">      "type": "org.opcfoundation.ua.avro.Guid"</w:t>
      </w:r>
    </w:p>
    <w:p w14:paraId="7DEA5AC2">
      <w:pPr>
        <w:pStyle w:val="CODE"/>
      </w:pPr>
      <w:r>
        <w:t xml:space="preserve">    },</w:t>
      </w:r>
    </w:p>
    <w:p w14:paraId="7E43F568">
      <w:pPr>
        <w:pStyle w:val="CODE"/>
      </w:pPr>
      <w:r>
        <w:t xml:space="preserve">    {</w:t>
      </w:r>
    </w:p>
    <w:p w14:paraId="0B9DDDAA">
      <w:pPr>
        <w:pStyle w:val="CODE"/>
      </w:pPr>
      <w:r>
        <w:t xml:space="preserve">      "name": "WriterGroupId",</w:t>
      </w:r>
    </w:p>
    <w:p w14:paraId="5D4F60E2">
      <w:pPr>
        <w:pStyle w:val="CODE"/>
      </w:pPr>
      <w:r>
        <w:t xml:space="preserve">      "type": "int"</w:t>
      </w:r>
    </w:p>
    <w:p w14:paraId="0404EB0E">
      <w:pPr>
        <w:pStyle w:val="CODE"/>
      </w:pPr>
      <w:r>
        <w:t xml:space="preserve">    },</w:t>
      </w:r>
    </w:p>
    <w:p w14:paraId="058B24BA">
      <w:pPr>
        <w:pStyle w:val="CODE"/>
      </w:pPr>
      <w:r>
        <w:t xml:space="preserve">    {</w:t>
      </w:r>
    </w:p>
    <w:p w14:paraId="16E60168">
      <w:pPr>
        <w:pStyle w:val="CODE"/>
      </w:pPr>
      <w:r>
        <w:t xml:space="preserve">      "name": "GroupVersion",</w:t>
      </w:r>
    </w:p>
    <w:p w14:paraId="3D84328C">
      <w:pPr>
        <w:pStyle w:val="CODE"/>
      </w:pPr>
      <w:r>
        <w:t xml:space="preserve">      "type": "int"</w:t>
      </w:r>
    </w:p>
    <w:p w14:paraId="506B1DC9">
      <w:pPr>
        <w:pStyle w:val="CODE"/>
      </w:pPr>
      <w:r>
        <w:t xml:space="preserve">    },</w:t>
      </w:r>
    </w:p>
    <w:p w14:paraId="192839DD">
      <w:pPr>
        <w:pStyle w:val="CODE"/>
      </w:pPr>
      <w:r>
        <w:t xml:space="preserve">    {</w:t>
      </w:r>
    </w:p>
    <w:p w14:paraId="5CACC9F9">
      <w:pPr>
        <w:pStyle w:val="CODE"/>
      </w:pPr>
      <w:r>
        <w:t xml:space="preserve">      "name": "NetworkMessageNumber",</w:t>
      </w:r>
    </w:p>
    <w:p w14:paraId="1BD1CF8B">
      <w:pPr>
        <w:pStyle w:val="CODE"/>
      </w:pPr>
      <w:r>
        <w:t xml:space="preserve">      "type": "int"</w:t>
      </w:r>
    </w:p>
    <w:p w14:paraId="69716DF0">
      <w:pPr>
        <w:pStyle w:val="CODE"/>
      </w:pPr>
      <w:r>
        <w:t xml:space="preserve">    },</w:t>
      </w:r>
    </w:p>
    <w:p w14:paraId="0AEAE392">
      <w:pPr>
        <w:pStyle w:val="CODE"/>
      </w:pPr>
      <w:r>
        <w:t xml:space="preserve">    {</w:t>
      </w:r>
    </w:p>
    <w:p w14:paraId="00FE2BCD">
      <w:pPr>
        <w:pStyle w:val="CODE"/>
      </w:pPr>
      <w:r>
        <w:t xml:space="preserve">      "name": "SequenceNumber",</w:t>
      </w:r>
    </w:p>
    <w:p w14:paraId="1EDE86C5">
      <w:pPr>
        <w:pStyle w:val="CODE"/>
      </w:pPr>
      <w:r>
        <w:t xml:space="preserve">      "type": "int"</w:t>
      </w:r>
    </w:p>
    <w:p w14:paraId="66316D76">
      <w:pPr>
        <w:pStyle w:val="CODE"/>
      </w:pPr>
      <w:r>
        <w:t xml:space="preserve">    },</w:t>
      </w:r>
    </w:p>
    <w:p w14:paraId="70EC944C">
      <w:pPr>
        <w:pStyle w:val="CODE"/>
      </w:pPr>
      <w:r>
        <w:t xml:space="preserve">    {</w:t>
      </w:r>
    </w:p>
    <w:p w14:paraId="2E350F57">
      <w:pPr>
        <w:pStyle w:val="CODE"/>
      </w:pPr>
      <w:r>
        <w:t xml:space="preserve">      "name": "Timestamp",</w:t>
      </w:r>
    </w:p>
    <w:p w14:paraId="31952F56">
      <w:pPr>
        <w:pStyle w:val="CODE"/>
      </w:pPr>
      <w:r>
        <w:t xml:space="preserve">      "type": "long"</w:t>
      </w:r>
    </w:p>
    <w:p w14:paraId="67205B6D">
      <w:pPr>
        <w:pStyle w:val="CODE"/>
      </w:pPr>
      <w:r>
        <w:t xml:space="preserve">    },</w:t>
      </w:r>
    </w:p>
    <w:p w14:paraId="1240852A">
      <w:pPr>
        <w:pStyle w:val="CODE"/>
      </w:pPr>
      <w:r>
        <w:t xml:space="preserve">    {</w:t>
      </w:r>
    </w:p>
    <w:p w14:paraId="6DDB9F54">
      <w:pPr>
        <w:pStyle w:val="CODE"/>
      </w:pPr>
      <w:r>
        <w:t xml:space="preserve">      "name": "PicoSeconds",</w:t>
      </w:r>
    </w:p>
    <w:p w14:paraId="2C94E758">
      <w:pPr>
        <w:pStyle w:val="CODE"/>
      </w:pPr>
      <w:r>
        <w:t xml:space="preserve">      "type": "int"</w:t>
      </w:r>
    </w:p>
    <w:p w14:paraId="6F58CDA2">
      <w:pPr>
        <w:pStyle w:val="CODE"/>
      </w:pPr>
      <w:r>
        <w:t xml:space="preserve">    },</w:t>
      </w:r>
    </w:p>
    <w:p w14:paraId="13174749">
      <w:pPr>
        <w:pStyle w:val="CODE"/>
      </w:pPr>
      <w:r>
        <w:t xml:space="preserve">    {</w:t>
      </w:r>
    </w:p>
    <w:p w14:paraId="5B4AFC48">
      <w:pPr>
        <w:pStyle w:val="CODE"/>
      </w:pPr>
      <w:r>
        <w:t xml:space="preserve">      "name": "PromotedFields",</w:t>
      </w:r>
    </w:p>
    <w:p w14:paraId="2F84C754">
      <w:pPr>
        <w:pStyle w:val="CODE"/>
      </w:pPr>
      <w:r>
        <w:t xml:space="preserve">      "type": {</w:t>
      </w:r>
    </w:p>
    <w:p w14:paraId="0C425619">
      <w:pPr>
        <w:pStyle w:val="CODE"/>
      </w:pPr>
      <w:r>
        <w:t xml:space="preserve">        "items": [</w:t>
      </w:r>
    </w:p>
    <w:p w14:paraId="58FB7BE7">
      <w:pPr>
        <w:pStyle w:val="CODE"/>
      </w:pPr>
      <w:r>
        <w:t xml:space="preserve">          "null",</w:t>
      </w:r>
    </w:p>
    <w:p w14:paraId="71E73DEC">
      <w:pPr>
        <w:pStyle w:val="CODE"/>
      </w:pPr>
      <w:r>
        <w:t xml:space="preserve">          "org.opcfoundation.ua.avro.Variant"</w:t>
      </w:r>
    </w:p>
    <w:p w14:paraId="517489D1">
      <w:pPr>
        <w:pStyle w:val="CODE"/>
      </w:pPr>
      <w:r>
        <w:t xml:space="preserve">        ],</w:t>
      </w:r>
    </w:p>
    <w:p w14:paraId="260DF630">
      <w:pPr>
        <w:pStyle w:val="CODE"/>
      </w:pPr>
      <w:r>
        <w:t xml:space="preserve">        "type": "array"</w:t>
      </w:r>
    </w:p>
    <w:p w14:paraId="3222F081">
      <w:pPr>
        <w:pStyle w:val="CODE"/>
      </w:pPr>
      <w:r>
        <w:t xml:space="preserve">      }</w:t>
      </w:r>
    </w:p>
    <w:p w14:paraId="55A96F4A">
      <w:pPr>
        <w:pStyle w:val="CODE"/>
      </w:pPr>
      <w:r>
        <w:t xml:space="preserve">    },</w:t>
      </w:r>
    </w:p>
    <w:p w14:paraId="6D0F51AA">
      <w:pPr>
        <w:pStyle w:val="CODE"/>
      </w:pPr>
      <w:r>
        <w:t xml:space="preserve">    {</w:t>
      </w:r>
    </w:p>
    <w:p w14:paraId="3E47AE93">
      <w:pPr>
        <w:pStyle w:val="CODE"/>
      </w:pPr>
      <w:r>
        <w:t xml:space="preserve">      "name": "Payload",</w:t>
      </w:r>
    </w:p>
    <w:p w14:paraId="0C5E2685">
      <w:pPr>
        <w:pStyle w:val="CODE"/>
      </w:pPr>
      <w:r>
        <w:t xml:space="preserve">      "type": {</w:t>
      </w:r>
    </w:p>
    <w:p w14:paraId="42D2D717">
      <w:pPr>
        <w:pStyle w:val="CODE"/>
      </w:pPr>
      <w:r>
        <w:t xml:space="preserve">        "items": [</w:t>
      </w:r>
    </w:p>
    <w:p w14:paraId="0F79D12F">
      <w:pPr>
        <w:pStyle w:val="CODE"/>
      </w:pPr>
      <w:r>
        <w:t xml:space="preserve">          "null",</w:t>
      </w:r>
    </w:p>
    <w:p w14:paraId="4FC2B058">
      <w:pPr>
        <w:pStyle w:val="CODE"/>
      </w:pPr>
      <w:r>
        <w:t xml:space="preserve">          "org.opcfoundation.ua.avro.AvroDataSetPayloadEntry"</w:t>
      </w:r>
    </w:p>
    <w:p w14:paraId="37220FD8">
      <w:pPr>
        <w:pStyle w:val="CODE"/>
      </w:pPr>
      <w:r>
        <w:t xml:space="preserve">        ],</w:t>
      </w:r>
    </w:p>
    <w:p w14:paraId="5FDCE199">
      <w:pPr>
        <w:pStyle w:val="CODE"/>
      </w:pPr>
      <w:r>
        <w:t xml:space="preserve">        "type": "array"</w:t>
      </w:r>
    </w:p>
    <w:p w14:paraId="3BBFE36D">
      <w:pPr>
        <w:pStyle w:val="CODE"/>
      </w:pPr>
      <w:r>
        <w:t xml:space="preserve">      }</w:t>
      </w:r>
    </w:p>
    <w:p w14:paraId="21351CE3">
      <w:pPr>
        <w:pStyle w:val="CODE"/>
      </w:pPr>
      <w:r>
        <w:t xml:space="preserve">    }</w:t>
      </w:r>
    </w:p>
    <w:p w14:paraId="398E302A">
      <w:pPr>
        <w:pStyle w:val="CODE"/>
      </w:pPr>
      <w:r>
        <w:t xml:space="preserve">  ],</w:t>
      </w:r>
    </w:p>
    <w:p w14:paraId="029C1108">
      <w:pPr>
        <w:pStyle w:val="CODE"/>
      </w:pPr>
      <w:r>
        <w:t xml:space="preserve">  "name": "AvroNetworkMessage",</w:t>
      </w:r>
    </w:p>
    <w:p w14:paraId="2226F69E">
      <w:pPr>
        <w:pStyle w:val="CODE"/>
      </w:pPr>
      <w:r>
        <w:t xml:space="preserve">  "namespace": "org.opcfoundation.ua.avro",</w:t>
      </w:r>
    </w:p>
    <w:p w14:paraId="5B32C116">
      <w:pPr>
        <w:pStyle w:val="CODE"/>
      </w:pPr>
      <w:r>
        <w:t xml:space="preserve">  "type": "record"</w:t>
      </w:r>
    </w:p>
    <w:p w14:paraId="4E7DAA9E">
      <w:pPr>
        <w:pStyle w:val="CODE"/>
      </w:pPr>
      <w:r>
        <w:t xml:space="preserve">}</w:t>
      </w:r>
    </w:p>
    <w:p w14:paraId="7518B824">
      <w:pPr>
        <w:pStyle w:val="PARAGRAPH"/>
      </w:pPr>
      <w:r>
        <w:t xml:space="preserve">The published payload entry schema is </w:t>
      </w:r>
      <w:r>
        <w:rPr>
          <w:rStyle w:val="VARIABLE"/>
        </w:rPr>
        <w:t xml:space="preserve">../extras/avro-encoding/schemas/AvroDataSetPayloadEntry.avsc</w:t>
      </w:r>
      <w:r>
        <w:t xml:space="preserve">. Each entry carries an opaque DataSetMessage together with its per-DataSet SchemaId:</w:t>
      </w:r>
    </w:p>
    <w:p w14:paraId="2FB668BD">
      <w:pPr>
        <w:pStyle w:val="CODE"/>
      </w:pPr>
      <w:r>
        <w:t xml:space="preserve">{</w:t>
      </w:r>
    </w:p>
    <w:p w14:paraId="785A3015">
      <w:pPr>
        <w:pStyle w:val="CODE"/>
      </w:pPr>
      <w:r>
        <w:t xml:space="preserve">  "fields": [</w:t>
      </w:r>
    </w:p>
    <w:p w14:paraId="31890774">
      <w:pPr>
        <w:pStyle w:val="CODE"/>
      </w:pPr>
      <w:r>
        <w:t xml:space="preserve">    {</w:t>
      </w:r>
    </w:p>
    <w:p w14:paraId="7A2186BA">
      <w:pPr>
        <w:pStyle w:val="CODE"/>
      </w:pPr>
      <w:r>
        <w:t xml:space="preserve">      "name": "SchemaId",</w:t>
      </w:r>
    </w:p>
    <w:p w14:paraId="55B9C3B4">
      <w:pPr>
        <w:pStyle w:val="CODE"/>
      </w:pPr>
      <w:r>
        <w:t xml:space="preserve">      "type": [</w:t>
      </w:r>
    </w:p>
    <w:p w14:paraId="5D641F81">
      <w:pPr>
        <w:pStyle w:val="CODE"/>
      </w:pPr>
      <w:r>
        <w:t xml:space="preserve">        "null",</w:t>
      </w:r>
    </w:p>
    <w:p w14:paraId="24FC9359">
      <w:pPr>
        <w:pStyle w:val="CODE"/>
      </w:pPr>
      <w:r>
        <w:t xml:space="preserve">        "bytes"</w:t>
      </w:r>
    </w:p>
    <w:p w14:paraId="5B48A97D">
      <w:pPr>
        <w:pStyle w:val="CODE"/>
      </w:pPr>
      <w:r>
        <w:t xml:space="preserve">      ]</w:t>
      </w:r>
    </w:p>
    <w:p w14:paraId="2A10F6B2">
      <w:pPr>
        <w:pStyle w:val="CODE"/>
      </w:pPr>
      <w:r>
        <w:t xml:space="preserve">    },</w:t>
      </w:r>
    </w:p>
    <w:p w14:paraId="58033870">
      <w:pPr>
        <w:pStyle w:val="CODE"/>
      </w:pPr>
      <w:r>
        <w:t xml:space="preserve">    {</w:t>
      </w:r>
    </w:p>
    <w:p w14:paraId="6D07A07D">
      <w:pPr>
        <w:pStyle w:val="CODE"/>
      </w:pPr>
      <w:r>
        <w:t xml:space="preserve">      "name": "DataSetMessage",</w:t>
      </w:r>
    </w:p>
    <w:p w14:paraId="2F10514B">
      <w:pPr>
        <w:pStyle w:val="CODE"/>
      </w:pPr>
      <w:r>
        <w:t xml:space="preserve">      "type": [</w:t>
      </w:r>
    </w:p>
    <w:p w14:paraId="3B8C20C4">
      <w:pPr>
        <w:pStyle w:val="CODE"/>
      </w:pPr>
      <w:r>
        <w:t xml:space="preserve">        "null",</w:t>
      </w:r>
    </w:p>
    <w:p w14:paraId="18002738">
      <w:pPr>
        <w:pStyle w:val="CODE"/>
      </w:pPr>
      <w:r>
        <w:t xml:space="preserve">        "bytes"</w:t>
      </w:r>
    </w:p>
    <w:p w14:paraId="4BDCB468">
      <w:pPr>
        <w:pStyle w:val="CODE"/>
      </w:pPr>
      <w:r>
        <w:t xml:space="preserve">      ]</w:t>
      </w:r>
    </w:p>
    <w:p w14:paraId="5F2F5D3A">
      <w:pPr>
        <w:pStyle w:val="CODE"/>
      </w:pPr>
      <w:r>
        <w:t xml:space="preserve">    }</w:t>
      </w:r>
    </w:p>
    <w:p w14:paraId="65953980">
      <w:pPr>
        <w:pStyle w:val="CODE"/>
      </w:pPr>
      <w:r>
        <w:t xml:space="preserve">  ],</w:t>
      </w:r>
    </w:p>
    <w:p w14:paraId="135F3A7D">
      <w:pPr>
        <w:pStyle w:val="CODE"/>
      </w:pPr>
      <w:r>
        <w:t xml:space="preserve">  "name": "AvroDataSetPayloadEntry",</w:t>
      </w:r>
    </w:p>
    <w:p w14:paraId="2ED7A275">
      <w:pPr>
        <w:pStyle w:val="CODE"/>
      </w:pPr>
      <w:r>
        <w:t xml:space="preserve">  "namespace": "org.opcfoundation.ua.avro",</w:t>
      </w:r>
    </w:p>
    <w:p w14:paraId="1984BA30">
      <w:pPr>
        <w:pStyle w:val="CODE"/>
      </w:pPr>
      <w:r>
        <w:t xml:space="preserve">  "type": "record"</w:t>
      </w:r>
    </w:p>
    <w:p w14:paraId="6A20E017">
      <w:pPr>
        <w:pStyle w:val="CODE"/>
      </w:pPr>
      <w:r>
        <w:t xml:space="preserve">}</w:t>
      </w:r>
    </w:p>
    <w:p w14:paraId="5831CB8C">
      <w:pPr>
        <w:pStyle w:val="PARAGRAPH"/>
      </w:pPr>
      <w:r>
        <w:t xml:space="preserve">The published un-enveloped batch schema is </w:t>
      </w:r>
      <w:r>
        <w:rPr>
          <w:rStyle w:val="VARIABLE"/>
        </w:rPr>
        <w:t xml:space="preserve">../extras/avro-encoding/schemas/AvroDataSetMessageBatch.avsc</w:t>
      </w:r>
      <w:r>
        <w:t xml:space="preserve">. It is the same payload-entry array as the envelope, carried directly by the transport without a NetworkMessage wrapper:</w:t>
      </w:r>
    </w:p>
    <w:p w14:paraId="0D464F2B">
      <w:pPr>
        <w:pStyle w:val="CODE"/>
      </w:pPr>
      <w:r>
        <w:t xml:space="preserve">{</w:t>
      </w:r>
    </w:p>
    <w:p w14:paraId="1AB917B7">
      <w:pPr>
        <w:pStyle w:val="CODE"/>
      </w:pPr>
      <w:r>
        <w:t xml:space="preserve">  "fields": [</w:t>
      </w:r>
    </w:p>
    <w:p w14:paraId="0694CE94">
      <w:pPr>
        <w:pStyle w:val="CODE"/>
      </w:pPr>
      <w:r>
        <w:t xml:space="preserve">    {</w:t>
      </w:r>
    </w:p>
    <w:p w14:paraId="6434C0C7">
      <w:pPr>
        <w:pStyle w:val="CODE"/>
      </w:pPr>
      <w:r>
        <w:t xml:space="preserve">      "name": "Payload",</w:t>
      </w:r>
    </w:p>
    <w:p w14:paraId="47D77FC1">
      <w:pPr>
        <w:pStyle w:val="CODE"/>
      </w:pPr>
      <w:r>
        <w:t xml:space="preserve">      "type": {</w:t>
      </w:r>
    </w:p>
    <w:p w14:paraId="3184B08C">
      <w:pPr>
        <w:pStyle w:val="CODE"/>
      </w:pPr>
      <w:r>
        <w:t xml:space="preserve">        "items": [</w:t>
      </w:r>
    </w:p>
    <w:p w14:paraId="7A463F47">
      <w:pPr>
        <w:pStyle w:val="CODE"/>
      </w:pPr>
      <w:r>
        <w:t xml:space="preserve">          "null",</w:t>
      </w:r>
    </w:p>
    <w:p w14:paraId="502D2308">
      <w:pPr>
        <w:pStyle w:val="CODE"/>
      </w:pPr>
      <w:r>
        <w:t xml:space="preserve">          "org.opcfoundation.ua.avro.AvroDataSetPayloadEntry"</w:t>
      </w:r>
    </w:p>
    <w:p w14:paraId="5D44477A">
      <w:pPr>
        <w:pStyle w:val="CODE"/>
      </w:pPr>
      <w:r>
        <w:t xml:space="preserve">        ],</w:t>
      </w:r>
    </w:p>
    <w:p w14:paraId="1E1FE466">
      <w:pPr>
        <w:pStyle w:val="CODE"/>
      </w:pPr>
      <w:r>
        <w:t xml:space="preserve">        "type": "array"</w:t>
      </w:r>
    </w:p>
    <w:p w14:paraId="2456273B">
      <w:pPr>
        <w:pStyle w:val="CODE"/>
      </w:pPr>
      <w:r>
        <w:t xml:space="preserve">      }</w:t>
      </w:r>
    </w:p>
    <w:p w14:paraId="44EBCF6F">
      <w:pPr>
        <w:pStyle w:val="CODE"/>
      </w:pPr>
      <w:r>
        <w:t xml:space="preserve">    }</w:t>
      </w:r>
    </w:p>
    <w:p w14:paraId="73F7B881">
      <w:pPr>
        <w:pStyle w:val="CODE"/>
      </w:pPr>
      <w:r>
        <w:t xml:space="preserve">  ],</w:t>
      </w:r>
    </w:p>
    <w:p w14:paraId="3F879C78">
      <w:pPr>
        <w:pStyle w:val="CODE"/>
      </w:pPr>
      <w:r>
        <w:t xml:space="preserve">  "name": "AvroDataSetMessageBatch",</w:t>
      </w:r>
    </w:p>
    <w:p w14:paraId="69498900">
      <w:pPr>
        <w:pStyle w:val="CODE"/>
      </w:pPr>
      <w:r>
        <w:t xml:space="preserve">  "namespace": "org.opcfoundation.ua.avro",</w:t>
      </w:r>
    </w:p>
    <w:p w14:paraId="75E6A554">
      <w:pPr>
        <w:pStyle w:val="CODE"/>
      </w:pPr>
      <w:r>
        <w:t xml:space="preserve">  "type": "record"</w:t>
      </w:r>
    </w:p>
    <w:p w14:paraId="7FDB54FA">
      <w:pPr>
        <w:pStyle w:val="CODE"/>
      </w:pPr>
      <w:r>
        <w:t xml:space="preserve">}</w:t>
      </w:r>
    </w:p>
    <w:p w14:paraId="571D8D35">
      <w:pPr>
        <w:pStyle w:val="PARAGRAPH"/>
      </w:pPr>
      <w:r>
        <w:t xml:space="preserve">The published Action request DataSetMessage schema is </w:t>
      </w:r>
      <w:r>
        <w:rPr>
          <w:rStyle w:val="VARIABLE"/>
        </w:rPr>
        <w:t xml:space="preserve">../extras/avro-encoding/schemas/AvroActionRequestDataSetMessage.avsc</w:t>
      </w:r>
      <w:r>
        <w:t xml:space="preserve">:</w:t>
      </w:r>
    </w:p>
    <w:p w14:paraId="497E987F">
      <w:pPr>
        <w:pStyle w:val="CODE"/>
      </w:pPr>
      <w:r>
        <w:t xml:space="preserve">{</w:t>
      </w:r>
    </w:p>
    <w:p w14:paraId="57EDF21E">
      <w:pPr>
        <w:pStyle w:val="CODE"/>
      </w:pPr>
      <w:r>
        <w:t xml:space="preserve">  "fields": [</w:t>
      </w:r>
    </w:p>
    <w:p w14:paraId="4A9993E0">
      <w:pPr>
        <w:pStyle w:val="CODE"/>
      </w:pPr>
      <w:r>
        <w:t xml:space="preserve">    {</w:t>
      </w:r>
    </w:p>
    <w:p w14:paraId="4F2760FC">
      <w:pPr>
        <w:pStyle w:val="CODE"/>
      </w:pPr>
      <w:r>
        <w:t xml:space="preserve">      "name": "ActionTargetId",</w:t>
      </w:r>
    </w:p>
    <w:p w14:paraId="1644C248">
      <w:pPr>
        <w:pStyle w:val="CODE"/>
      </w:pPr>
      <w:r>
        <w:t xml:space="preserve">      "type": [</w:t>
      </w:r>
    </w:p>
    <w:p w14:paraId="06E3A549">
      <w:pPr>
        <w:pStyle w:val="CODE"/>
      </w:pPr>
      <w:r>
        <w:t xml:space="preserve">        "null",</w:t>
      </w:r>
    </w:p>
    <w:p w14:paraId="22228F5F">
      <w:pPr>
        <w:pStyle w:val="CODE"/>
      </w:pPr>
      <w:r>
        <w:t xml:space="preserve">        "org.opcfoundation.ua.avro.NodeId"</w:t>
      </w:r>
    </w:p>
    <w:p w14:paraId="3472E7D4">
      <w:pPr>
        <w:pStyle w:val="CODE"/>
      </w:pPr>
      <w:r>
        <w:t xml:space="preserve">      ]</w:t>
      </w:r>
    </w:p>
    <w:p w14:paraId="1003413C">
      <w:pPr>
        <w:pStyle w:val="CODE"/>
      </w:pPr>
      <w:r>
        <w:t xml:space="preserve">    },</w:t>
      </w:r>
    </w:p>
    <w:p w14:paraId="53B3F290">
      <w:pPr>
        <w:pStyle w:val="CODE"/>
      </w:pPr>
      <w:r>
        <w:t xml:space="preserve">    {</w:t>
      </w:r>
    </w:p>
    <w:p w14:paraId="7FC1A0DE">
      <w:pPr>
        <w:pStyle w:val="CODE"/>
      </w:pPr>
      <w:r>
        <w:t xml:space="preserve">      "name": "RequestId",</w:t>
      </w:r>
    </w:p>
    <w:p w14:paraId="4807C00E">
      <w:pPr>
        <w:pStyle w:val="CODE"/>
      </w:pPr>
      <w:r>
        <w:t xml:space="preserve">      "type": [</w:t>
      </w:r>
    </w:p>
    <w:p w14:paraId="0AE8692F">
      <w:pPr>
        <w:pStyle w:val="CODE"/>
      </w:pPr>
      <w:r>
        <w:t xml:space="preserve">        "null",</w:t>
      </w:r>
    </w:p>
    <w:p w14:paraId="7AFA71A4">
      <w:pPr>
        <w:pStyle w:val="CODE"/>
      </w:pPr>
      <w:r>
        <w:t xml:space="preserve">        "string"</w:t>
      </w:r>
    </w:p>
    <w:p w14:paraId="53C17F04">
      <w:pPr>
        <w:pStyle w:val="CODE"/>
      </w:pPr>
      <w:r>
        <w:t xml:space="preserve">      ]</w:t>
      </w:r>
    </w:p>
    <w:p w14:paraId="6496E41C">
      <w:pPr>
        <w:pStyle w:val="CODE"/>
      </w:pPr>
      <w:r>
        <w:t xml:space="preserve">    },</w:t>
      </w:r>
    </w:p>
    <w:p w14:paraId="7AA0B43B">
      <w:pPr>
        <w:pStyle w:val="CODE"/>
      </w:pPr>
      <w:r>
        <w:t xml:space="preserve">    {</w:t>
      </w:r>
    </w:p>
    <w:p w14:paraId="729B7DC0">
      <w:pPr>
        <w:pStyle w:val="CODE"/>
      </w:pPr>
      <w:r>
        <w:t xml:space="preserve">      "name": "CorrelationData",</w:t>
      </w:r>
    </w:p>
    <w:p w14:paraId="732516C3">
      <w:pPr>
        <w:pStyle w:val="CODE"/>
      </w:pPr>
      <w:r>
        <w:t xml:space="preserve">      "type": [</w:t>
      </w:r>
    </w:p>
    <w:p w14:paraId="4A2377BA">
      <w:pPr>
        <w:pStyle w:val="CODE"/>
      </w:pPr>
      <w:r>
        <w:t xml:space="preserve">        "null",</w:t>
      </w:r>
    </w:p>
    <w:p w14:paraId="06E5B7CB">
      <w:pPr>
        <w:pStyle w:val="CODE"/>
      </w:pPr>
      <w:r>
        <w:t xml:space="preserve">        "bytes"</w:t>
      </w:r>
    </w:p>
    <w:p w14:paraId="56638752">
      <w:pPr>
        <w:pStyle w:val="CODE"/>
      </w:pPr>
      <w:r>
        <w:t xml:space="preserve">      ]</w:t>
      </w:r>
    </w:p>
    <w:p w14:paraId="551ACC9F">
      <w:pPr>
        <w:pStyle w:val="CODE"/>
      </w:pPr>
      <w:r>
        <w:t xml:space="preserve">    },</w:t>
      </w:r>
    </w:p>
    <w:p w14:paraId="60036F18">
      <w:pPr>
        <w:pStyle w:val="CODE"/>
      </w:pPr>
      <w:r>
        <w:t xml:space="preserve">    {</w:t>
      </w:r>
    </w:p>
    <w:p w14:paraId="45218175">
      <w:pPr>
        <w:pStyle w:val="CODE"/>
      </w:pPr>
      <w:r>
        <w:t xml:space="preserve">      "name": "InputArguments",</w:t>
      </w:r>
    </w:p>
    <w:p w14:paraId="0E5DA773">
      <w:pPr>
        <w:pStyle w:val="CODE"/>
      </w:pPr>
      <w:r>
        <w:t xml:space="preserve">      "type": {</w:t>
      </w:r>
    </w:p>
    <w:p w14:paraId="4522FB14">
      <w:pPr>
        <w:pStyle w:val="CODE"/>
      </w:pPr>
      <w:r>
        <w:t xml:space="preserve">        "items": [</w:t>
      </w:r>
    </w:p>
    <w:p w14:paraId="025E7DD0">
      <w:pPr>
        <w:pStyle w:val="CODE"/>
      </w:pPr>
      <w:r>
        <w:t xml:space="preserve">          "null",</w:t>
      </w:r>
    </w:p>
    <w:p w14:paraId="29946B2D">
      <w:pPr>
        <w:pStyle w:val="CODE"/>
      </w:pPr>
      <w:r>
        <w:t xml:space="preserve">          "org.opcfoundation.ua.avro.Variant"</w:t>
      </w:r>
    </w:p>
    <w:p w14:paraId="6FEC42E6">
      <w:pPr>
        <w:pStyle w:val="CODE"/>
      </w:pPr>
      <w:r>
        <w:t xml:space="preserve">        ],</w:t>
      </w:r>
    </w:p>
    <w:p w14:paraId="0CB0A64E">
      <w:pPr>
        <w:pStyle w:val="CODE"/>
      </w:pPr>
      <w:r>
        <w:t xml:space="preserve">        "type": "array"</w:t>
      </w:r>
    </w:p>
    <w:p w14:paraId="3487E8D9">
      <w:pPr>
        <w:pStyle w:val="CODE"/>
      </w:pPr>
      <w:r>
        <w:t xml:space="preserve">      }</w:t>
      </w:r>
    </w:p>
    <w:p w14:paraId="1F6424B0">
      <w:pPr>
        <w:pStyle w:val="CODE"/>
      </w:pPr>
      <w:r>
        <w:t xml:space="preserve">    }</w:t>
      </w:r>
    </w:p>
    <w:p w14:paraId="10B18665">
      <w:pPr>
        <w:pStyle w:val="CODE"/>
      </w:pPr>
      <w:r>
        <w:t xml:space="preserve">  ],</w:t>
      </w:r>
    </w:p>
    <w:p w14:paraId="1F4DDBBC">
      <w:pPr>
        <w:pStyle w:val="CODE"/>
      </w:pPr>
      <w:r>
        <w:t xml:space="preserve">  "name": "AvroActionRequestDataSetMessage",</w:t>
      </w:r>
    </w:p>
    <w:p w14:paraId="0E0F9567">
      <w:pPr>
        <w:pStyle w:val="CODE"/>
      </w:pPr>
      <w:r>
        <w:t xml:space="preserve">  "namespace": "org.opcfoundation.ua.avro",</w:t>
      </w:r>
    </w:p>
    <w:p w14:paraId="5F4AF089">
      <w:pPr>
        <w:pStyle w:val="CODE"/>
      </w:pPr>
      <w:r>
        <w:t xml:space="preserve">  "type": "record"</w:t>
      </w:r>
    </w:p>
    <w:p w14:paraId="649CE099">
      <w:pPr>
        <w:pStyle w:val="CODE"/>
      </w:pPr>
      <w:r>
        <w:t xml:space="preserve">}</w:t>
      </w:r>
    </w:p>
    <w:p w14:paraId="0D5CB10C">
      <w:pPr>
        <w:pStyle w:val="PARAGRAPH"/>
      </w:pPr>
      <w:r>
        <w:t xml:space="preserve">The published Action request NetworkMessage schema is </w:t>
      </w:r>
      <w:r>
        <w:rPr>
          <w:rStyle w:val="VARIABLE"/>
        </w:rPr>
        <w:t xml:space="preserve">../extras/avro-encoding/schemas/AvroActionRequestNetworkMessage.avsc</w:t>
      </w:r>
      <w:r>
        <w:t xml:space="preserve">:</w:t>
      </w:r>
    </w:p>
    <w:p w14:paraId="3408835E">
      <w:pPr>
        <w:pStyle w:val="CODE"/>
      </w:pPr>
      <w:r>
        <w:t xml:space="preserve">{</w:t>
      </w:r>
    </w:p>
    <w:p w14:paraId="303CC84E">
      <w:pPr>
        <w:pStyle w:val="CODE"/>
      </w:pPr>
      <w:r>
        <w:t xml:space="preserve">  "fields": [</w:t>
      </w:r>
    </w:p>
    <w:p w14:paraId="11166DD8">
      <w:pPr>
        <w:pStyle w:val="CODE"/>
      </w:pPr>
      <w:r>
        <w:t xml:space="preserve">    {</w:t>
      </w:r>
    </w:p>
    <w:p w14:paraId="7DCC0B62">
      <w:pPr>
        <w:pStyle w:val="CODE"/>
      </w:pPr>
      <w:r>
        <w:t xml:space="preserve">      "name": "PublisherId",</w:t>
      </w:r>
    </w:p>
    <w:p w14:paraId="639471D1">
      <w:pPr>
        <w:pStyle w:val="CODE"/>
      </w:pPr>
      <w:r>
        <w:t xml:space="preserve">      "type": [</w:t>
      </w:r>
    </w:p>
    <w:p w14:paraId="31C7BE85">
      <w:pPr>
        <w:pStyle w:val="CODE"/>
      </w:pPr>
      <w:r>
        <w:t xml:space="preserve">        "null",</w:t>
      </w:r>
    </w:p>
    <w:p w14:paraId="369D3657">
      <w:pPr>
        <w:pStyle w:val="CODE"/>
      </w:pPr>
      <w:r>
        <w:t xml:space="preserve">        "string"</w:t>
      </w:r>
    </w:p>
    <w:p w14:paraId="0A751DB9">
      <w:pPr>
        <w:pStyle w:val="CODE"/>
      </w:pPr>
      <w:r>
        <w:t xml:space="preserve">      ]</w:t>
      </w:r>
    </w:p>
    <w:p w14:paraId="32B6E807">
      <w:pPr>
        <w:pStyle w:val="CODE"/>
      </w:pPr>
      <w:r>
        <w:t xml:space="preserve">    },</w:t>
      </w:r>
    </w:p>
    <w:p w14:paraId="4A1B9F39">
      <w:pPr>
        <w:pStyle w:val="CODE"/>
      </w:pPr>
      <w:r>
        <w:t xml:space="preserve">    {</w:t>
      </w:r>
    </w:p>
    <w:p w14:paraId="242D790A">
      <w:pPr>
        <w:pStyle w:val="CODE"/>
      </w:pPr>
      <w:r>
        <w:t xml:space="preserve">      "name": "WriterGroupId",</w:t>
      </w:r>
    </w:p>
    <w:p w14:paraId="3BAFB117">
      <w:pPr>
        <w:pStyle w:val="CODE"/>
      </w:pPr>
      <w:r>
        <w:t xml:space="preserve">      "type": "int"</w:t>
      </w:r>
    </w:p>
    <w:p w14:paraId="6EB7B6BF">
      <w:pPr>
        <w:pStyle w:val="CODE"/>
      </w:pPr>
      <w:r>
        <w:t xml:space="preserve">    },</w:t>
      </w:r>
    </w:p>
    <w:p w14:paraId="30A943FA">
      <w:pPr>
        <w:pStyle w:val="CODE"/>
      </w:pPr>
      <w:r>
        <w:t xml:space="preserve">    {</w:t>
      </w:r>
    </w:p>
    <w:p w14:paraId="6A7FD707">
      <w:pPr>
        <w:pStyle w:val="CODE"/>
      </w:pPr>
      <w:r>
        <w:t xml:space="preserve">      "name": "NetworkMessageNumber",</w:t>
      </w:r>
    </w:p>
    <w:p w14:paraId="480D1109">
      <w:pPr>
        <w:pStyle w:val="CODE"/>
      </w:pPr>
      <w:r>
        <w:t xml:space="preserve">      "type": "int"</w:t>
      </w:r>
    </w:p>
    <w:p w14:paraId="41D0180D">
      <w:pPr>
        <w:pStyle w:val="CODE"/>
      </w:pPr>
      <w:r>
        <w:t xml:space="preserve">    },</w:t>
      </w:r>
    </w:p>
    <w:p w14:paraId="2C88C500">
      <w:pPr>
        <w:pStyle w:val="CODE"/>
      </w:pPr>
      <w:r>
        <w:t xml:space="preserve">    {</w:t>
      </w:r>
    </w:p>
    <w:p w14:paraId="2CD583E5">
      <w:pPr>
        <w:pStyle w:val="CODE"/>
      </w:pPr>
      <w:r>
        <w:t xml:space="preserve">      "name": "SequenceNumber",</w:t>
      </w:r>
    </w:p>
    <w:p w14:paraId="1722C915">
      <w:pPr>
        <w:pStyle w:val="CODE"/>
      </w:pPr>
      <w:r>
        <w:t xml:space="preserve">      "type": "int"</w:t>
      </w:r>
    </w:p>
    <w:p w14:paraId="08B02395">
      <w:pPr>
        <w:pStyle w:val="CODE"/>
      </w:pPr>
      <w:r>
        <w:t xml:space="preserve">    },</w:t>
      </w:r>
    </w:p>
    <w:p w14:paraId="0D6D24BC">
      <w:pPr>
        <w:pStyle w:val="CODE"/>
      </w:pPr>
      <w:r>
        <w:t xml:space="preserve">    {</w:t>
      </w:r>
    </w:p>
    <w:p w14:paraId="7B21F731">
      <w:pPr>
        <w:pStyle w:val="CODE"/>
      </w:pPr>
      <w:r>
        <w:t xml:space="preserve">      "name": "Timestamp",</w:t>
      </w:r>
    </w:p>
    <w:p w14:paraId="5F39F418">
      <w:pPr>
        <w:pStyle w:val="CODE"/>
      </w:pPr>
      <w:r>
        <w:t xml:space="preserve">      "type": "long"</w:t>
      </w:r>
    </w:p>
    <w:p w14:paraId="0DE697EA">
      <w:pPr>
        <w:pStyle w:val="CODE"/>
      </w:pPr>
      <w:r>
        <w:t xml:space="preserve">    },</w:t>
      </w:r>
    </w:p>
    <w:p w14:paraId="337BF181">
      <w:pPr>
        <w:pStyle w:val="CODE"/>
      </w:pPr>
      <w:r>
        <w:t xml:space="preserve">    {</w:t>
      </w:r>
    </w:p>
    <w:p w14:paraId="50DA0646">
      <w:pPr>
        <w:pStyle w:val="CODE"/>
      </w:pPr>
      <w:r>
        <w:t xml:space="preserve">      "name": "Messages",</w:t>
      </w:r>
    </w:p>
    <w:p w14:paraId="729F3E20">
      <w:pPr>
        <w:pStyle w:val="CODE"/>
      </w:pPr>
      <w:r>
        <w:t xml:space="preserve">      "type": {</w:t>
      </w:r>
    </w:p>
    <w:p w14:paraId="5A06DAE4">
      <w:pPr>
        <w:pStyle w:val="CODE"/>
      </w:pPr>
      <w:r>
        <w:t xml:space="preserve">        "items": [</w:t>
      </w:r>
    </w:p>
    <w:p w14:paraId="1F9D2A0E">
      <w:pPr>
        <w:pStyle w:val="CODE"/>
      </w:pPr>
      <w:r>
        <w:t xml:space="preserve">          "null",</w:t>
      </w:r>
    </w:p>
    <w:p w14:paraId="0C512854">
      <w:pPr>
        <w:pStyle w:val="CODE"/>
      </w:pPr>
      <w:r>
        <w:t xml:space="preserve">          "org.opcfoundation.ua.avro.AvroActionRequestDataSetMessage"</w:t>
      </w:r>
    </w:p>
    <w:p w14:paraId="7EEAE8A0">
      <w:pPr>
        <w:pStyle w:val="CODE"/>
      </w:pPr>
      <w:r>
        <w:t xml:space="preserve">        ],</w:t>
      </w:r>
    </w:p>
    <w:p w14:paraId="5BED3FFC">
      <w:pPr>
        <w:pStyle w:val="CODE"/>
      </w:pPr>
      <w:r>
        <w:t xml:space="preserve">        "type": "array"</w:t>
      </w:r>
    </w:p>
    <w:p w14:paraId="55DE6DB3">
      <w:pPr>
        <w:pStyle w:val="CODE"/>
      </w:pPr>
      <w:r>
        <w:t xml:space="preserve">      }</w:t>
      </w:r>
    </w:p>
    <w:p w14:paraId="2B46E025">
      <w:pPr>
        <w:pStyle w:val="CODE"/>
      </w:pPr>
      <w:r>
        <w:t xml:space="preserve">    },</w:t>
      </w:r>
    </w:p>
    <w:p w14:paraId="4EB4EF9F">
      <w:pPr>
        <w:pStyle w:val="CODE"/>
      </w:pPr>
      <w:r>
        <w:t xml:space="preserve">    {</w:t>
      </w:r>
    </w:p>
    <w:p w14:paraId="5D6014D3">
      <w:pPr>
        <w:pStyle w:val="CODE"/>
      </w:pPr>
      <w:r>
        <w:t xml:space="preserve">      "name": "SchemaId",</w:t>
      </w:r>
    </w:p>
    <w:p w14:paraId="79B7EF7D">
      <w:pPr>
        <w:pStyle w:val="CODE"/>
      </w:pPr>
      <w:r>
        <w:t xml:space="preserve">      "type": [</w:t>
      </w:r>
    </w:p>
    <w:p w14:paraId="787A31A4">
      <w:pPr>
        <w:pStyle w:val="CODE"/>
      </w:pPr>
      <w:r>
        <w:t xml:space="preserve">        "null",</w:t>
      </w:r>
    </w:p>
    <w:p w14:paraId="2EB15102">
      <w:pPr>
        <w:pStyle w:val="CODE"/>
      </w:pPr>
      <w:r>
        <w:t xml:space="preserve">        "string"</w:t>
      </w:r>
    </w:p>
    <w:p w14:paraId="6B6F6172">
      <w:pPr>
        <w:pStyle w:val="CODE"/>
      </w:pPr>
      <w:r>
        <w:t xml:space="preserve">      ]</w:t>
      </w:r>
    </w:p>
    <w:p w14:paraId="4162E9F8">
      <w:pPr>
        <w:pStyle w:val="CODE"/>
      </w:pPr>
      <w:r>
        <w:t xml:space="preserve">    }</w:t>
      </w:r>
    </w:p>
    <w:p w14:paraId="7B0C0729">
      <w:pPr>
        <w:pStyle w:val="CODE"/>
      </w:pPr>
      <w:r>
        <w:t xml:space="preserve">  ],</w:t>
      </w:r>
    </w:p>
    <w:p w14:paraId="3571DC3A">
      <w:pPr>
        <w:pStyle w:val="CODE"/>
      </w:pPr>
      <w:r>
        <w:t xml:space="preserve">  "name": "AvroActionRequestNetworkMessage",</w:t>
      </w:r>
    </w:p>
    <w:p w14:paraId="4036AD2E">
      <w:pPr>
        <w:pStyle w:val="CODE"/>
      </w:pPr>
      <w:r>
        <w:t xml:space="preserve">  "namespace": "org.opcfoundation.ua.avro",</w:t>
      </w:r>
    </w:p>
    <w:p w14:paraId="5948032D">
      <w:pPr>
        <w:pStyle w:val="CODE"/>
      </w:pPr>
      <w:r>
        <w:t xml:space="preserve">  "type": "record"</w:t>
      </w:r>
    </w:p>
    <w:p w14:paraId="5DF33FF8">
      <w:pPr>
        <w:pStyle w:val="CODE"/>
      </w:pPr>
      <w:r>
        <w:t xml:space="preserve">}</w:t>
      </w:r>
    </w:p>
    <w:p w14:paraId="38EE9F93">
      <w:pPr>
        <w:pStyle w:val="PARAGRAPH"/>
      </w:pPr>
      <w:r>
        <w:t xml:space="preserve">The published Action response DataSetMessage schema is </w:t>
      </w:r>
      <w:r>
        <w:rPr>
          <w:rStyle w:val="VARIABLE"/>
        </w:rPr>
        <w:t xml:space="preserve">../extras/avro-encoding/schemas/AvroActionResponseDataSetMessage.avsc</w:t>
      </w:r>
      <w:r>
        <w:t xml:space="preserve">:</w:t>
      </w:r>
    </w:p>
    <w:p w14:paraId="7C8A8066">
      <w:pPr>
        <w:pStyle w:val="CODE"/>
      </w:pPr>
      <w:r>
        <w:t xml:space="preserve">{</w:t>
      </w:r>
    </w:p>
    <w:p w14:paraId="7FAF0645">
      <w:pPr>
        <w:pStyle w:val="CODE"/>
      </w:pPr>
      <w:r>
        <w:t xml:space="preserve">  "fields": [</w:t>
      </w:r>
    </w:p>
    <w:p w14:paraId="0747EA0D">
      <w:pPr>
        <w:pStyle w:val="CODE"/>
      </w:pPr>
      <w:r>
        <w:t xml:space="preserve">    {</w:t>
      </w:r>
    </w:p>
    <w:p w14:paraId="53EF701F">
      <w:pPr>
        <w:pStyle w:val="CODE"/>
      </w:pPr>
      <w:r>
        <w:t xml:space="preserve">      "name": "ActionTargetId",</w:t>
      </w:r>
    </w:p>
    <w:p w14:paraId="1B8D361F">
      <w:pPr>
        <w:pStyle w:val="CODE"/>
      </w:pPr>
      <w:r>
        <w:t xml:space="preserve">      "type": [</w:t>
      </w:r>
    </w:p>
    <w:p w14:paraId="3E609FA0">
      <w:pPr>
        <w:pStyle w:val="CODE"/>
      </w:pPr>
      <w:r>
        <w:t xml:space="preserve">        "null",</w:t>
      </w:r>
    </w:p>
    <w:p w14:paraId="6273BA94">
      <w:pPr>
        <w:pStyle w:val="CODE"/>
      </w:pPr>
      <w:r>
        <w:t xml:space="preserve">        "org.opcfoundation.ua.avro.NodeId"</w:t>
      </w:r>
    </w:p>
    <w:p w14:paraId="30131A46">
      <w:pPr>
        <w:pStyle w:val="CODE"/>
      </w:pPr>
      <w:r>
        <w:t xml:space="preserve">      ]</w:t>
      </w:r>
    </w:p>
    <w:p w14:paraId="1D536FE7">
      <w:pPr>
        <w:pStyle w:val="CODE"/>
      </w:pPr>
      <w:r>
        <w:t xml:space="preserve">    },</w:t>
      </w:r>
    </w:p>
    <w:p w14:paraId="7D9EDB78">
      <w:pPr>
        <w:pStyle w:val="CODE"/>
      </w:pPr>
      <w:r>
        <w:t xml:space="preserve">    {</w:t>
      </w:r>
    </w:p>
    <w:p w14:paraId="38EBC28F">
      <w:pPr>
        <w:pStyle w:val="CODE"/>
      </w:pPr>
      <w:r>
        <w:t xml:space="preserve">      "name": "RequestId",</w:t>
      </w:r>
    </w:p>
    <w:p w14:paraId="23618CE3">
      <w:pPr>
        <w:pStyle w:val="CODE"/>
      </w:pPr>
      <w:r>
        <w:t xml:space="preserve">      "type": [</w:t>
      </w:r>
    </w:p>
    <w:p w14:paraId="783220CA">
      <w:pPr>
        <w:pStyle w:val="CODE"/>
      </w:pPr>
      <w:r>
        <w:t xml:space="preserve">        "null",</w:t>
      </w:r>
    </w:p>
    <w:p w14:paraId="11189D0E">
      <w:pPr>
        <w:pStyle w:val="CODE"/>
      </w:pPr>
      <w:r>
        <w:t xml:space="preserve">        "string"</w:t>
      </w:r>
    </w:p>
    <w:p w14:paraId="11BD2C17">
      <w:pPr>
        <w:pStyle w:val="CODE"/>
      </w:pPr>
      <w:r>
        <w:t xml:space="preserve">      ]</w:t>
      </w:r>
    </w:p>
    <w:p w14:paraId="0541734F">
      <w:pPr>
        <w:pStyle w:val="CODE"/>
      </w:pPr>
      <w:r>
        <w:t xml:space="preserve">    },</w:t>
      </w:r>
    </w:p>
    <w:p w14:paraId="3715B437">
      <w:pPr>
        <w:pStyle w:val="CODE"/>
      </w:pPr>
      <w:r>
        <w:t xml:space="preserve">    {</w:t>
      </w:r>
    </w:p>
    <w:p w14:paraId="672243D4">
      <w:pPr>
        <w:pStyle w:val="CODE"/>
      </w:pPr>
      <w:r>
        <w:t xml:space="preserve">      "name": "CorrelationData",</w:t>
      </w:r>
    </w:p>
    <w:p w14:paraId="0D53DC0C">
      <w:pPr>
        <w:pStyle w:val="CODE"/>
      </w:pPr>
      <w:r>
        <w:t xml:space="preserve">      "type": [</w:t>
      </w:r>
    </w:p>
    <w:p w14:paraId="32BA8E5F">
      <w:pPr>
        <w:pStyle w:val="CODE"/>
      </w:pPr>
      <w:r>
        <w:t xml:space="preserve">        "null",</w:t>
      </w:r>
    </w:p>
    <w:p w14:paraId="7AF52174">
      <w:pPr>
        <w:pStyle w:val="CODE"/>
      </w:pPr>
      <w:r>
        <w:t xml:space="preserve">        "bytes"</w:t>
      </w:r>
    </w:p>
    <w:p w14:paraId="3DBB7AF0">
      <w:pPr>
        <w:pStyle w:val="CODE"/>
      </w:pPr>
      <w:r>
        <w:t xml:space="preserve">      ]</w:t>
      </w:r>
    </w:p>
    <w:p w14:paraId="15470A1F">
      <w:pPr>
        <w:pStyle w:val="CODE"/>
      </w:pPr>
      <w:r>
        <w:t xml:space="preserve">    },</w:t>
      </w:r>
    </w:p>
    <w:p w14:paraId="67813131">
      <w:pPr>
        <w:pStyle w:val="CODE"/>
      </w:pPr>
      <w:r>
        <w:t xml:space="preserve">    {</w:t>
      </w:r>
    </w:p>
    <w:p w14:paraId="5B723F03">
      <w:pPr>
        <w:pStyle w:val="CODE"/>
      </w:pPr>
      <w:r>
        <w:t xml:space="preserve">      "name": "Status",</w:t>
      </w:r>
    </w:p>
    <w:p w14:paraId="5430152A">
      <w:pPr>
        <w:pStyle w:val="CODE"/>
      </w:pPr>
      <w:r>
        <w:t xml:space="preserve">      "type": "int"</w:t>
      </w:r>
    </w:p>
    <w:p w14:paraId="36632C71">
      <w:pPr>
        <w:pStyle w:val="CODE"/>
      </w:pPr>
      <w:r>
        <w:t xml:space="preserve">    },</w:t>
      </w:r>
    </w:p>
    <w:p w14:paraId="7CEA7B7D">
      <w:pPr>
        <w:pStyle w:val="CODE"/>
      </w:pPr>
      <w:r>
        <w:t xml:space="preserve">    {</w:t>
      </w:r>
    </w:p>
    <w:p w14:paraId="2C6832D9">
      <w:pPr>
        <w:pStyle w:val="CODE"/>
      </w:pPr>
      <w:r>
        <w:t xml:space="preserve">      "name": "OutputArguments",</w:t>
      </w:r>
    </w:p>
    <w:p w14:paraId="6A979989">
      <w:pPr>
        <w:pStyle w:val="CODE"/>
      </w:pPr>
      <w:r>
        <w:t xml:space="preserve">      "type": {</w:t>
      </w:r>
    </w:p>
    <w:p w14:paraId="61463EC1">
      <w:pPr>
        <w:pStyle w:val="CODE"/>
      </w:pPr>
      <w:r>
        <w:t xml:space="preserve">        "items": [</w:t>
      </w:r>
    </w:p>
    <w:p w14:paraId="5EB22CB3">
      <w:pPr>
        <w:pStyle w:val="CODE"/>
      </w:pPr>
      <w:r>
        <w:t xml:space="preserve">          "null",</w:t>
      </w:r>
    </w:p>
    <w:p w14:paraId="394F0D7B">
      <w:pPr>
        <w:pStyle w:val="CODE"/>
      </w:pPr>
      <w:r>
        <w:t xml:space="preserve">          "org.opcfoundation.ua.avro.Variant"</w:t>
      </w:r>
    </w:p>
    <w:p w14:paraId="6BD17471">
      <w:pPr>
        <w:pStyle w:val="CODE"/>
      </w:pPr>
      <w:r>
        <w:t xml:space="preserve">        ],</w:t>
      </w:r>
    </w:p>
    <w:p w14:paraId="760D02A3">
      <w:pPr>
        <w:pStyle w:val="CODE"/>
      </w:pPr>
      <w:r>
        <w:t xml:space="preserve">        "type": "array"</w:t>
      </w:r>
    </w:p>
    <w:p w14:paraId="0AB1643B">
      <w:pPr>
        <w:pStyle w:val="CODE"/>
      </w:pPr>
      <w:r>
        <w:t xml:space="preserve">      }</w:t>
      </w:r>
    </w:p>
    <w:p w14:paraId="0AEECAFD">
      <w:pPr>
        <w:pStyle w:val="CODE"/>
      </w:pPr>
      <w:r>
        <w:t xml:space="preserve">    },</w:t>
      </w:r>
    </w:p>
    <w:p w14:paraId="013A25A7">
      <w:pPr>
        <w:pStyle w:val="CODE"/>
      </w:pPr>
      <w:r>
        <w:t xml:space="preserve">    {</w:t>
      </w:r>
    </w:p>
    <w:p w14:paraId="6802A90D">
      <w:pPr>
        <w:pStyle w:val="CODE"/>
      </w:pPr>
      <w:r>
        <w:t xml:space="preserve">      "name": "DiagnosticInfos",</w:t>
      </w:r>
    </w:p>
    <w:p w14:paraId="08DFE90F">
      <w:pPr>
        <w:pStyle w:val="CODE"/>
      </w:pPr>
      <w:r>
        <w:t xml:space="preserve">      "type": {</w:t>
      </w:r>
    </w:p>
    <w:p w14:paraId="6DE0B692">
      <w:pPr>
        <w:pStyle w:val="CODE"/>
      </w:pPr>
      <w:r>
        <w:t xml:space="preserve">        "items": [</w:t>
      </w:r>
    </w:p>
    <w:p w14:paraId="51673530">
      <w:pPr>
        <w:pStyle w:val="CODE"/>
      </w:pPr>
      <w:r>
        <w:t xml:space="preserve">          "null",</w:t>
      </w:r>
    </w:p>
    <w:p w14:paraId="19103BBD">
      <w:pPr>
        <w:pStyle w:val="CODE"/>
      </w:pPr>
      <w:r>
        <w:t xml:space="preserve">          "org.opcfoundation.ua.avro.DiagnosticInfo"</w:t>
      </w:r>
    </w:p>
    <w:p w14:paraId="4A83F2F6">
      <w:pPr>
        <w:pStyle w:val="CODE"/>
      </w:pPr>
      <w:r>
        <w:t xml:space="preserve">        ],</w:t>
      </w:r>
    </w:p>
    <w:p w14:paraId="63BE0814">
      <w:pPr>
        <w:pStyle w:val="CODE"/>
      </w:pPr>
      <w:r>
        <w:t xml:space="preserve">        "type": "array"</w:t>
      </w:r>
    </w:p>
    <w:p w14:paraId="164FB9FB">
      <w:pPr>
        <w:pStyle w:val="CODE"/>
      </w:pPr>
      <w:r>
        <w:t xml:space="preserve">      }</w:t>
      </w:r>
    </w:p>
    <w:p w14:paraId="471E4F07">
      <w:pPr>
        <w:pStyle w:val="CODE"/>
      </w:pPr>
      <w:r>
        <w:t xml:space="preserve">    }</w:t>
      </w:r>
    </w:p>
    <w:p w14:paraId="71DC8BAC">
      <w:pPr>
        <w:pStyle w:val="CODE"/>
      </w:pPr>
      <w:r>
        <w:t xml:space="preserve">  ],</w:t>
      </w:r>
    </w:p>
    <w:p w14:paraId="7B846E63">
      <w:pPr>
        <w:pStyle w:val="CODE"/>
      </w:pPr>
      <w:r>
        <w:t xml:space="preserve">  "name": "AvroActionResponseDataSetMessage",</w:t>
      </w:r>
    </w:p>
    <w:p w14:paraId="748F2B77">
      <w:pPr>
        <w:pStyle w:val="CODE"/>
      </w:pPr>
      <w:r>
        <w:t xml:space="preserve">  "namespace": "org.opcfoundation.ua.avro",</w:t>
      </w:r>
    </w:p>
    <w:p w14:paraId="1FCF3C77">
      <w:pPr>
        <w:pStyle w:val="CODE"/>
      </w:pPr>
      <w:r>
        <w:t xml:space="preserve">  "type": "record"</w:t>
      </w:r>
    </w:p>
    <w:p w14:paraId="030EECD2">
      <w:pPr>
        <w:pStyle w:val="CODE"/>
      </w:pPr>
      <w:r>
        <w:t xml:space="preserve">}</w:t>
      </w:r>
    </w:p>
    <w:p w14:paraId="0ADF5681">
      <w:pPr>
        <w:pStyle w:val="PARAGRAPH"/>
      </w:pPr>
      <w:r>
        <w:t xml:space="preserve">The published Action response NetworkMessage schema is </w:t>
      </w:r>
      <w:r>
        <w:rPr>
          <w:rStyle w:val="VARIABLE"/>
        </w:rPr>
        <w:t xml:space="preserve">../extras/avro-encoding/schemas/AvroActionResponseNetworkMessage.avsc</w:t>
      </w:r>
      <w:r>
        <w:t xml:space="preserve">:</w:t>
      </w:r>
    </w:p>
    <w:p w14:paraId="1FC0BE92">
      <w:pPr>
        <w:pStyle w:val="CODE"/>
      </w:pPr>
      <w:r>
        <w:t xml:space="preserve">{</w:t>
      </w:r>
    </w:p>
    <w:p w14:paraId="3362CB2F">
      <w:pPr>
        <w:pStyle w:val="CODE"/>
      </w:pPr>
      <w:r>
        <w:t xml:space="preserve">  "fields": [</w:t>
      </w:r>
    </w:p>
    <w:p w14:paraId="0F40A669">
      <w:pPr>
        <w:pStyle w:val="CODE"/>
      </w:pPr>
      <w:r>
        <w:t xml:space="preserve">    {</w:t>
      </w:r>
    </w:p>
    <w:p w14:paraId="6464703C">
      <w:pPr>
        <w:pStyle w:val="CODE"/>
      </w:pPr>
      <w:r>
        <w:t xml:space="preserve">      "name": "PublisherId",</w:t>
      </w:r>
    </w:p>
    <w:p w14:paraId="26363425">
      <w:pPr>
        <w:pStyle w:val="CODE"/>
      </w:pPr>
      <w:r>
        <w:t xml:space="preserve">      "type": [</w:t>
      </w:r>
    </w:p>
    <w:p w14:paraId="01F5F166">
      <w:pPr>
        <w:pStyle w:val="CODE"/>
      </w:pPr>
      <w:r>
        <w:t xml:space="preserve">        "null",</w:t>
      </w:r>
    </w:p>
    <w:p w14:paraId="1586F5B3">
      <w:pPr>
        <w:pStyle w:val="CODE"/>
      </w:pPr>
      <w:r>
        <w:t xml:space="preserve">        "string"</w:t>
      </w:r>
    </w:p>
    <w:p w14:paraId="5B66EBD0">
      <w:pPr>
        <w:pStyle w:val="CODE"/>
      </w:pPr>
      <w:r>
        <w:t xml:space="preserve">      ]</w:t>
      </w:r>
    </w:p>
    <w:p w14:paraId="78F24F13">
      <w:pPr>
        <w:pStyle w:val="CODE"/>
      </w:pPr>
      <w:r>
        <w:t xml:space="preserve">    },</w:t>
      </w:r>
    </w:p>
    <w:p w14:paraId="68F7684F">
      <w:pPr>
        <w:pStyle w:val="CODE"/>
      </w:pPr>
      <w:r>
        <w:t xml:space="preserve">    {</w:t>
      </w:r>
    </w:p>
    <w:p w14:paraId="73F7E43F">
      <w:pPr>
        <w:pStyle w:val="CODE"/>
      </w:pPr>
      <w:r>
        <w:t xml:space="preserve">      "name": "WriterGroupId",</w:t>
      </w:r>
    </w:p>
    <w:p w14:paraId="639DAB61">
      <w:pPr>
        <w:pStyle w:val="CODE"/>
      </w:pPr>
      <w:r>
        <w:t xml:space="preserve">      "type": "int"</w:t>
      </w:r>
    </w:p>
    <w:p w14:paraId="441F4CAF">
      <w:pPr>
        <w:pStyle w:val="CODE"/>
      </w:pPr>
      <w:r>
        <w:t xml:space="preserve">    },</w:t>
      </w:r>
    </w:p>
    <w:p w14:paraId="5735DE40">
      <w:pPr>
        <w:pStyle w:val="CODE"/>
      </w:pPr>
      <w:r>
        <w:t xml:space="preserve">    {</w:t>
      </w:r>
    </w:p>
    <w:p w14:paraId="080EB8F7">
      <w:pPr>
        <w:pStyle w:val="CODE"/>
      </w:pPr>
      <w:r>
        <w:t xml:space="preserve">      "name": "NetworkMessageNumber",</w:t>
      </w:r>
    </w:p>
    <w:p w14:paraId="21C10A9D">
      <w:pPr>
        <w:pStyle w:val="CODE"/>
      </w:pPr>
      <w:r>
        <w:t xml:space="preserve">      "type": "int"</w:t>
      </w:r>
    </w:p>
    <w:p w14:paraId="355C835B">
      <w:pPr>
        <w:pStyle w:val="CODE"/>
      </w:pPr>
      <w:r>
        <w:t xml:space="preserve">    },</w:t>
      </w:r>
    </w:p>
    <w:p w14:paraId="009ADDE2">
      <w:pPr>
        <w:pStyle w:val="CODE"/>
      </w:pPr>
      <w:r>
        <w:t xml:space="preserve">    {</w:t>
      </w:r>
    </w:p>
    <w:p w14:paraId="51094D02">
      <w:pPr>
        <w:pStyle w:val="CODE"/>
      </w:pPr>
      <w:r>
        <w:t xml:space="preserve">      "name": "SequenceNumber",</w:t>
      </w:r>
    </w:p>
    <w:p w14:paraId="24DD0501">
      <w:pPr>
        <w:pStyle w:val="CODE"/>
      </w:pPr>
      <w:r>
        <w:t xml:space="preserve">      "type": "int"</w:t>
      </w:r>
    </w:p>
    <w:p w14:paraId="7451CDE7">
      <w:pPr>
        <w:pStyle w:val="CODE"/>
      </w:pPr>
      <w:r>
        <w:t xml:space="preserve">    },</w:t>
      </w:r>
    </w:p>
    <w:p w14:paraId="2C14CFCE">
      <w:pPr>
        <w:pStyle w:val="CODE"/>
      </w:pPr>
      <w:r>
        <w:t xml:space="preserve">    {</w:t>
      </w:r>
    </w:p>
    <w:p w14:paraId="60D18BB0">
      <w:pPr>
        <w:pStyle w:val="CODE"/>
      </w:pPr>
      <w:r>
        <w:t xml:space="preserve">      "name": "Timestamp",</w:t>
      </w:r>
    </w:p>
    <w:p w14:paraId="4D7A6CEC">
      <w:pPr>
        <w:pStyle w:val="CODE"/>
      </w:pPr>
      <w:r>
        <w:t xml:space="preserve">      "type": "long"</w:t>
      </w:r>
    </w:p>
    <w:p w14:paraId="280E2DD2">
      <w:pPr>
        <w:pStyle w:val="CODE"/>
      </w:pPr>
      <w:r>
        <w:t xml:space="preserve">    },</w:t>
      </w:r>
    </w:p>
    <w:p w14:paraId="2B8155B7">
      <w:pPr>
        <w:pStyle w:val="CODE"/>
      </w:pPr>
      <w:r>
        <w:t xml:space="preserve">    {</w:t>
      </w:r>
    </w:p>
    <w:p w14:paraId="783848B1">
      <w:pPr>
        <w:pStyle w:val="CODE"/>
      </w:pPr>
      <w:r>
        <w:t xml:space="preserve">      "name": "Messages",</w:t>
      </w:r>
    </w:p>
    <w:p w14:paraId="6F7F688B">
      <w:pPr>
        <w:pStyle w:val="CODE"/>
      </w:pPr>
      <w:r>
        <w:t xml:space="preserve">      "type": {</w:t>
      </w:r>
    </w:p>
    <w:p w14:paraId="5C9C1296">
      <w:pPr>
        <w:pStyle w:val="CODE"/>
      </w:pPr>
      <w:r>
        <w:t xml:space="preserve">        "items": [</w:t>
      </w:r>
    </w:p>
    <w:p w14:paraId="22BC6C65">
      <w:pPr>
        <w:pStyle w:val="CODE"/>
      </w:pPr>
      <w:r>
        <w:t xml:space="preserve">          "null",</w:t>
      </w:r>
    </w:p>
    <w:p w14:paraId="4D848FD8">
      <w:pPr>
        <w:pStyle w:val="CODE"/>
      </w:pPr>
      <w:r>
        <w:t xml:space="preserve">          "org.opcfoundation.ua.avro.AvroActionResponseDataSetMessage"</w:t>
      </w:r>
    </w:p>
    <w:p w14:paraId="2AA76B43">
      <w:pPr>
        <w:pStyle w:val="CODE"/>
      </w:pPr>
      <w:r>
        <w:t xml:space="preserve">        ],</w:t>
      </w:r>
    </w:p>
    <w:p w14:paraId="4C1B1810">
      <w:pPr>
        <w:pStyle w:val="CODE"/>
      </w:pPr>
      <w:r>
        <w:t xml:space="preserve">        "type": "array"</w:t>
      </w:r>
    </w:p>
    <w:p w14:paraId="4AFEAC8F">
      <w:pPr>
        <w:pStyle w:val="CODE"/>
      </w:pPr>
      <w:r>
        <w:t xml:space="preserve">      }</w:t>
      </w:r>
    </w:p>
    <w:p w14:paraId="20F0D7D9">
      <w:pPr>
        <w:pStyle w:val="CODE"/>
      </w:pPr>
      <w:r>
        <w:t xml:space="preserve">    },</w:t>
      </w:r>
    </w:p>
    <w:p w14:paraId="0219F741">
      <w:pPr>
        <w:pStyle w:val="CODE"/>
      </w:pPr>
      <w:r>
        <w:t xml:space="preserve">    {</w:t>
      </w:r>
    </w:p>
    <w:p w14:paraId="4FDC2CB0">
      <w:pPr>
        <w:pStyle w:val="CODE"/>
      </w:pPr>
      <w:r>
        <w:t xml:space="preserve">      "name": "SchemaId",</w:t>
      </w:r>
    </w:p>
    <w:p w14:paraId="5BA72793">
      <w:pPr>
        <w:pStyle w:val="CODE"/>
      </w:pPr>
      <w:r>
        <w:t xml:space="preserve">      "type": [</w:t>
      </w:r>
    </w:p>
    <w:p w14:paraId="2C835D06">
      <w:pPr>
        <w:pStyle w:val="CODE"/>
      </w:pPr>
      <w:r>
        <w:t xml:space="preserve">        "null",</w:t>
      </w:r>
    </w:p>
    <w:p w14:paraId="79F60CFD">
      <w:pPr>
        <w:pStyle w:val="CODE"/>
      </w:pPr>
      <w:r>
        <w:t xml:space="preserve">        "string"</w:t>
      </w:r>
    </w:p>
    <w:p w14:paraId="69071F39">
      <w:pPr>
        <w:pStyle w:val="CODE"/>
      </w:pPr>
      <w:r>
        <w:t xml:space="preserve">      ]</w:t>
      </w:r>
    </w:p>
    <w:p w14:paraId="1A40232D">
      <w:pPr>
        <w:pStyle w:val="CODE"/>
      </w:pPr>
      <w:r>
        <w:t xml:space="preserve">    }</w:t>
      </w:r>
    </w:p>
    <w:p w14:paraId="6C83BD71">
      <w:pPr>
        <w:pStyle w:val="CODE"/>
      </w:pPr>
      <w:r>
        <w:t xml:space="preserve">  ],</w:t>
      </w:r>
    </w:p>
    <w:p w14:paraId="2C37CFFF">
      <w:pPr>
        <w:pStyle w:val="CODE"/>
      </w:pPr>
      <w:r>
        <w:t xml:space="preserve">  "name": "AvroActionResponseNetworkMessage",</w:t>
      </w:r>
    </w:p>
    <w:p w14:paraId="54FD177D">
      <w:pPr>
        <w:pStyle w:val="CODE"/>
      </w:pPr>
      <w:r>
        <w:t xml:space="preserve">  "namespace": "org.opcfoundation.ua.avro",</w:t>
      </w:r>
    </w:p>
    <w:p w14:paraId="231DE1D5">
      <w:pPr>
        <w:pStyle w:val="CODE"/>
      </w:pPr>
      <w:r>
        <w:t xml:space="preserve">  "type": "record"</w:t>
      </w:r>
    </w:p>
    <w:p w14:paraId="6D431074">
      <w:pPr>
        <w:pStyle w:val="CODE"/>
      </w:pPr>
      <w:r>
        <w:t xml:space="preserve">}</w:t>
      </w:r>
    </w:p>
    <w:p w14:paraId="7603A486">
      <w:pPr>
        <w:pStyle w:val="PARAGRAPH"/>
      </w:pPr>
      <w:r>
        <w:t xml:space="preserve">The published DataSetWriter configuration announcement schema is </w:t>
      </w:r>
      <w:r>
        <w:rPr>
          <w:rStyle w:val="VARIABLE"/>
        </w:rPr>
        <w:t xml:space="preserve">../extras/avro-encoding/schemas/AvroDataSetWriterConfigurationAnnouncement.avsc</w:t>
      </w:r>
      <w:r>
        <w:t xml:space="preserve">:</w:t>
      </w:r>
    </w:p>
    <w:p w14:paraId="7B9AE91A">
      <w:pPr>
        <w:pStyle w:val="CODE"/>
      </w:pPr>
      <w:r>
        <w:t xml:space="preserve">{</w:t>
      </w:r>
    </w:p>
    <w:p w14:paraId="4FF73607">
      <w:pPr>
        <w:pStyle w:val="CODE"/>
      </w:pPr>
      <w:r>
        <w:t xml:space="preserve">  "fields": [</w:t>
      </w:r>
    </w:p>
    <w:p w14:paraId="04735376">
      <w:pPr>
        <w:pStyle w:val="CODE"/>
      </w:pPr>
      <w:r>
        <w:t xml:space="preserve">    {</w:t>
      </w:r>
    </w:p>
    <w:p w14:paraId="3915E877">
      <w:pPr>
        <w:pStyle w:val="CODE"/>
      </w:pPr>
      <w:r>
        <w:t xml:space="preserve">      "name": "PublisherId",</w:t>
      </w:r>
    </w:p>
    <w:p w14:paraId="1EDC19B2">
      <w:pPr>
        <w:pStyle w:val="CODE"/>
      </w:pPr>
      <w:r>
        <w:t xml:space="preserve">      "type": [</w:t>
      </w:r>
    </w:p>
    <w:p w14:paraId="0188E2E4">
      <w:pPr>
        <w:pStyle w:val="CODE"/>
      </w:pPr>
      <w:r>
        <w:t xml:space="preserve">        "null",</w:t>
      </w:r>
    </w:p>
    <w:p w14:paraId="242A7884">
      <w:pPr>
        <w:pStyle w:val="CODE"/>
      </w:pPr>
      <w:r>
        <w:t xml:space="preserve">        "string"</w:t>
      </w:r>
    </w:p>
    <w:p w14:paraId="7B7289E6">
      <w:pPr>
        <w:pStyle w:val="CODE"/>
      </w:pPr>
      <w:r>
        <w:t xml:space="preserve">      ]</w:t>
      </w:r>
    </w:p>
    <w:p w14:paraId="503FC8ED">
      <w:pPr>
        <w:pStyle w:val="CODE"/>
      </w:pPr>
      <w:r>
        <w:t xml:space="preserve">    },</w:t>
      </w:r>
    </w:p>
    <w:p w14:paraId="0BCA2215">
      <w:pPr>
        <w:pStyle w:val="CODE"/>
      </w:pPr>
      <w:r>
        <w:t xml:space="preserve">    {</w:t>
      </w:r>
    </w:p>
    <w:p w14:paraId="1341F6B1">
      <w:pPr>
        <w:pStyle w:val="CODE"/>
      </w:pPr>
      <w:r>
        <w:t xml:space="preserve">      "name": "WriterGroupId",</w:t>
      </w:r>
    </w:p>
    <w:p w14:paraId="4D7337EC">
      <w:pPr>
        <w:pStyle w:val="CODE"/>
      </w:pPr>
      <w:r>
        <w:t xml:space="preserve">      "type": "int"</w:t>
      </w:r>
    </w:p>
    <w:p w14:paraId="6E684C25">
      <w:pPr>
        <w:pStyle w:val="CODE"/>
      </w:pPr>
      <w:r>
        <w:t xml:space="preserve">    },</w:t>
      </w:r>
    </w:p>
    <w:p w14:paraId="22B3D499">
      <w:pPr>
        <w:pStyle w:val="CODE"/>
      </w:pPr>
      <w:r>
        <w:t xml:space="preserve">    {</w:t>
      </w:r>
    </w:p>
    <w:p w14:paraId="5B5202C5">
      <w:pPr>
        <w:pStyle w:val="CODE"/>
      </w:pPr>
      <w:r>
        <w:t xml:space="preserve">      "name": "DataSetWriterId",</w:t>
      </w:r>
    </w:p>
    <w:p w14:paraId="3D6DE3A1">
      <w:pPr>
        <w:pStyle w:val="CODE"/>
      </w:pPr>
      <w:r>
        <w:t xml:space="preserve">      "type": "int"</w:t>
      </w:r>
    </w:p>
    <w:p w14:paraId="501BFAAD">
      <w:pPr>
        <w:pStyle w:val="CODE"/>
      </w:pPr>
      <w:r>
        <w:t xml:space="preserve">    },</w:t>
      </w:r>
    </w:p>
    <w:p w14:paraId="2B0C0483">
      <w:pPr>
        <w:pStyle w:val="CODE"/>
      </w:pPr>
      <w:r>
        <w:t xml:space="preserve">    {</w:t>
      </w:r>
    </w:p>
    <w:p w14:paraId="58994333">
      <w:pPr>
        <w:pStyle w:val="CODE"/>
      </w:pPr>
      <w:r>
        <w:t xml:space="preserve">      "name": "ConfigurationVersion",</w:t>
      </w:r>
    </w:p>
    <w:p w14:paraId="62AE311E">
      <w:pPr>
        <w:pStyle w:val="CODE"/>
      </w:pPr>
      <w:r>
        <w:t xml:space="preserve">      "type": "org.opcfoundation.ua.avro.AvroConfigurationVersionDataType"</w:t>
      </w:r>
    </w:p>
    <w:p w14:paraId="3873B09F">
      <w:pPr>
        <w:pStyle w:val="CODE"/>
      </w:pPr>
      <w:r>
        <w:t xml:space="preserve">    },</w:t>
      </w:r>
    </w:p>
    <w:p w14:paraId="68B5F818">
      <w:pPr>
        <w:pStyle w:val="CODE"/>
      </w:pPr>
      <w:r>
        <w:t xml:space="preserve">    {</w:t>
      </w:r>
    </w:p>
    <w:p w14:paraId="37B74B01">
      <w:pPr>
        <w:pStyle w:val="CODE"/>
      </w:pPr>
      <w:r>
        <w:t xml:space="preserve">      "name": "DataSetMetaData",</w:t>
      </w:r>
    </w:p>
    <w:p w14:paraId="3C5BA96D">
      <w:pPr>
        <w:pStyle w:val="CODE"/>
      </w:pPr>
      <w:r>
        <w:t xml:space="preserve">      "type": "org.opcfoundation.ua.avro.AvroDataSetMetaData"</w:t>
      </w:r>
    </w:p>
    <w:p w14:paraId="1B4E8B2D">
      <w:pPr>
        <w:pStyle w:val="CODE"/>
      </w:pPr>
      <w:r>
        <w:t xml:space="preserve">    },</w:t>
      </w:r>
    </w:p>
    <w:p w14:paraId="4E4AD579">
      <w:pPr>
        <w:pStyle w:val="CODE"/>
      </w:pPr>
      <w:r>
        <w:t xml:space="preserve">    {</w:t>
      </w:r>
    </w:p>
    <w:p w14:paraId="470F58FE">
      <w:pPr>
        <w:pStyle w:val="CODE"/>
      </w:pPr>
      <w:r>
        <w:t xml:space="preserve">      "name": "SchemaId",</w:t>
      </w:r>
    </w:p>
    <w:p w14:paraId="78B1E181">
      <w:pPr>
        <w:pStyle w:val="CODE"/>
      </w:pPr>
      <w:r>
        <w:t xml:space="preserve">      "type": [</w:t>
      </w:r>
    </w:p>
    <w:p w14:paraId="5D880508">
      <w:pPr>
        <w:pStyle w:val="CODE"/>
      </w:pPr>
      <w:r>
        <w:t xml:space="preserve">        "null",</w:t>
      </w:r>
    </w:p>
    <w:p w14:paraId="15D2FAA8">
      <w:pPr>
        <w:pStyle w:val="CODE"/>
      </w:pPr>
      <w:r>
        <w:t xml:space="preserve">        "string"</w:t>
      </w:r>
    </w:p>
    <w:p w14:paraId="09E5B2C0">
      <w:pPr>
        <w:pStyle w:val="CODE"/>
      </w:pPr>
      <w:r>
        <w:t xml:space="preserve">      ]</w:t>
      </w:r>
    </w:p>
    <w:p w14:paraId="4E1496CF">
      <w:pPr>
        <w:pStyle w:val="CODE"/>
      </w:pPr>
      <w:r>
        <w:t xml:space="preserve">    },</w:t>
      </w:r>
    </w:p>
    <w:p w14:paraId="40FB139A">
      <w:pPr>
        <w:pStyle w:val="CODE"/>
      </w:pPr>
      <w:r>
        <w:t xml:space="preserve">    {</w:t>
      </w:r>
    </w:p>
    <w:p w14:paraId="765C1FAF">
      <w:pPr>
        <w:pStyle w:val="CODE"/>
      </w:pPr>
      <w:r>
        <w:t xml:space="preserve">      "name": "SchemaJson",</w:t>
      </w:r>
    </w:p>
    <w:p w14:paraId="5601072A">
      <w:pPr>
        <w:pStyle w:val="CODE"/>
      </w:pPr>
      <w:r>
        <w:t xml:space="preserve">      "type": [</w:t>
      </w:r>
    </w:p>
    <w:p w14:paraId="57ABA46C">
      <w:pPr>
        <w:pStyle w:val="CODE"/>
      </w:pPr>
      <w:r>
        <w:t xml:space="preserve">        "null",</w:t>
      </w:r>
    </w:p>
    <w:p w14:paraId="4C6CBC1E">
      <w:pPr>
        <w:pStyle w:val="CODE"/>
      </w:pPr>
      <w:r>
        <w:t xml:space="preserve">        "string"</w:t>
      </w:r>
    </w:p>
    <w:p w14:paraId="2696CE6C">
      <w:pPr>
        <w:pStyle w:val="CODE"/>
      </w:pPr>
      <w:r>
        <w:t xml:space="preserve">      ]</w:t>
      </w:r>
    </w:p>
    <w:p w14:paraId="08F74CF6">
      <w:pPr>
        <w:pStyle w:val="CODE"/>
      </w:pPr>
      <w:r>
        <w:t xml:space="preserve">    }</w:t>
      </w:r>
    </w:p>
    <w:p w14:paraId="2D9181B6">
      <w:pPr>
        <w:pStyle w:val="CODE"/>
      </w:pPr>
      <w:r>
        <w:t xml:space="preserve">  ],</w:t>
      </w:r>
    </w:p>
    <w:p w14:paraId="23F65DF1">
      <w:pPr>
        <w:pStyle w:val="CODE"/>
      </w:pPr>
      <w:r>
        <w:t xml:space="preserve">  "name": "AvroDataSetWriterConfigurationAnnouncement",</w:t>
      </w:r>
    </w:p>
    <w:p w14:paraId="6845361C">
      <w:pPr>
        <w:pStyle w:val="CODE"/>
      </w:pPr>
      <w:r>
        <w:t xml:space="preserve">  "namespace": "org.opcfoundation.ua.avro",</w:t>
      </w:r>
    </w:p>
    <w:p w14:paraId="7ADA4FB8">
      <w:pPr>
        <w:pStyle w:val="CODE"/>
      </w:pPr>
      <w:r>
        <w:t xml:space="preserve">  "type": "record"</w:t>
      </w:r>
    </w:p>
    <w:p w14:paraId="07B3F865">
      <w:pPr>
        <w:pStyle w:val="CODE"/>
      </w:pPr>
      <w:r>
        <w:t xml:space="preserve">}</w:t>
      </w:r>
    </w:p>
    <w:p w14:paraId="70515431">
      <w:pPr>
        <w:pStyle w:val="ANNEXtitle"/>
        <w:pageBreakBefore/>
      </w:pPr>
      <w:bookmarkStart w:id="644" w:name="_Annex_cC"/>
      <w:r>
        <w:t xml:space="preserve">(informative)</w:t>
      </w:r>
      <w:r>
        <w:br/>
      </w:r>
      <w:r>
        <w:br/>
      </w:r>
      <w:r>
        <w:t xml:space="preserve">Worked schema-evolution example (incremental growth)</w:t>
      </w:r>
      <w:bookmarkEnd w:id="644"/>
    </w:p>
    <w:p w14:paraId="34FD68BF">
      <w:pPr>
        <w:pStyle w:val="PARAGRAPH"/>
      </w:pPr>
      <w:r>
        <w:t xml:space="preserve">&lt;!-- BEGIN GENERATED: evolution-annex --&gt;</w:t>
      </w:r>
    </w:p>
    <w:p w14:paraId="74097E4A">
      <w:pPr>
        <w:pStyle w:val="PARAGRAPH"/>
      </w:pPr>
      <w:r>
        <w:t xml:space="preserve">This annex is generated from real Avro schemas by </w:t>
      </w:r>
      <w:r>
        <w:rPr>
          <w:rStyle w:val="VARIABLE"/>
        </w:rPr>
        <w:t xml:space="preserve">../extras/avro-encoding/tools/gen_evolution_annex.py</w:t>
      </w:r>
      <w:r>
        <w:t xml:space="preserve">; do not edit it by hand.</w:t>
      </w:r>
    </w:p>
    <w:p w14:paraId="4F985D72">
      <w:pPr>
        <w:pStyle w:val="PARAGRAPH"/>
      </w:pPr>
      <w:r>
        <w:t xml:space="preserve">It shows one lineage of self-contained schemas built and adapted incrementally as values are observed, per the per-field growing-union model of </w:t>
      </w:r>
      <w:r>
        <w:fldChar w:fldCharType="begin"/>
      </w:r>
      <w:r>
        <w:instrText xml:space="preserve"> REF _Clause_c6_6_4 \r \h </w:instrText>
      </w:r>
      <w:r>
        <w:fldChar w:fldCharType="separate"/>
      </w:r>
      <w:r>
        <w:rPr>
          <w:noProof/>
        </w:rPr>
        <w:t xml:space="preserve">6.6.4</w:t>
      </w:r>
      <w:r>
        <w:fldChar w:fldCharType="end"/>
      </w:r>
      <w:r>
        <w:t xml:space="preserve"> and </w:t>
      </w:r>
      <w:r>
        <w:rPr>
          <w:i/>
        </w:rPr>
        <w:t xml:space="preserve">OPC UA — Schema Registry</w:t>
      </w:r>
      <w:r>
        <w:t xml:space="preserve"> </w:t>
      </w:r>
      <w:r>
        <w:t xml:space="preserve">§5.6</w:t>
      </w:r>
      <w:r>
        <w:t xml:space="preserve">. All record names below are in the </w:t>
      </w:r>
      <w:r>
        <w:rPr>
          <w:rStyle w:val="VARIABLE"/>
        </w:rPr>
        <w:t xml:space="preserve">org.opcfoundation.ua.avro</w:t>
      </w:r>
      <w:r>
        <w:t xml:space="preserve"> namespace.</w:t>
      </w:r>
    </w:p>
    <w:p w14:paraId="3664B5D6">
      <w:pPr>
        <w:pStyle w:val="PARAGRAPH"/>
      </w:pPr>
      <w:r>
        <w:rPr>
          <w:b/>
        </w:rPr>
        <w:t xml:space="preserve">Scenario.</w:t>
      </w:r>
      <w:r>
        <w:t xml:space="preserve"> A DataSet sample has two fields: </w:t>
      </w:r>
      <w:r>
        <w:rPr>
          <w:rStyle w:val="VARIABLE"/>
        </w:rPr>
        <w:t xml:space="preserve">signal</w:t>
      </w:r>
      <w:r>
        <w:t xml:space="preserve">, a Variant, and </w:t>
      </w:r>
      <w:r>
        <w:rPr>
          <w:rStyle w:val="VARIABLE"/>
        </w:rPr>
        <w:t xml:space="preserve">event</w:t>
      </w:r>
      <w:r>
        <w:t xml:space="preserve">, an ExtensionObject whose concrete struct </w:t>
      </w:r>
      <w:r>
        <w:rPr>
          <w:rStyle w:val="VARIABLE"/>
        </w:rPr>
        <w:t xml:space="preserve">SensorEvent</w:t>
      </w:r>
      <w:r>
        <w:t xml:space="preserve"> itself contains a Variant field </w:t>
      </w:r>
      <w:r>
        <w:rPr>
          <w:rStyle w:val="VARIABLE"/>
        </w:rPr>
        <w:t xml:space="preserve">detail</w:t>
      </w:r>
      <w:r>
        <w:t xml:space="preserve"> (a struct with a variant). Under the per-field model each Variant field has its </w:t>
      </w:r>
      <w:r>
        <w:rPr>
          <w:b/>
        </w:rPr>
        <w:t xml:space="preserve">own</w:t>
      </w:r>
      <w:r>
        <w:t xml:space="preserve"> record named by field path — </w:t>
      </w:r>
      <w:r>
        <w:rPr>
          <w:rStyle w:val="VARIABLE"/>
        </w:rPr>
        <w:t xml:space="preserve">VariantSignal</w:t>
      </w:r>
      <w:r>
        <w:t xml:space="preserve"> and </w:t>
      </w:r>
      <w:r>
        <w:rPr>
          <w:rStyle w:val="VARIABLE"/>
        </w:rPr>
        <w:t xml:space="preserve">VariantEventDetail</w:t>
      </w:r>
      <w:r>
        <w:t xml:space="preserve"> — each with its own body union, so </w:t>
      </w:r>
      <w:r>
        <w:rPr>
          <w:rStyle w:val="VARIABLE"/>
        </w:rPr>
        <w:t xml:space="preserve">signal</w:t>
      </w:r>
      <w:r>
        <w:t xml:space="preserve"> and the nested </w:t>
      </w:r>
      <w:r>
        <w:rPr>
          <w:rStyle w:val="VARIABLE"/>
        </w:rPr>
        <w:t xml:space="preserve">detail</w:t>
      </w:r>
      <w:r>
        <w:t xml:space="preserve"> grow independently. The </w:t>
      </w:r>
      <w:r>
        <w:rPr>
          <w:rStyle w:val="VARIABLE"/>
        </w:rPr>
        <w:t xml:space="preserve">event</w:t>
      </w:r>
      <w:r>
        <w:t xml:space="preserve"> ExtensionObject likewise has its own struct-type union. The initial schema is built data-driven from the first values, then grown append-only at whichever field changes.</w:t>
      </w:r>
    </w:p>
    <w:p w14:paraId="6F2606FB">
      <w:pPr>
        <w:pStyle w:val="ANNEX-heading1"/>
      </w:pPr>
      <w:bookmarkStart w:id="645" w:name="_Clause_cC_1"/>
      <w:r>
        <w:t xml:space="preserve">MinorVersion 1.0</w:t>
      </w:r>
      <w:bookmarkEnd w:id="645"/>
    </w:p>
    <w:p w14:paraId="7C41DAC3">
      <w:pPr>
        <w:pStyle w:val="PARAGRAPH"/>
      </w:pPr>
      <w:r>
        <w:t xml:space="preserve">First message: </w:t>
      </w:r>
      <w:r>
        <w:rPr>
          <w:rStyle w:val="VARIABLE"/>
        </w:rPr>
        <w:t xml:space="preserve">signal</w:t>
      </w:r>
      <w:r>
        <w:t xml:space="preserve"> = Int32(42), </w:t>
      </w:r>
      <w:r>
        <w:rPr>
          <w:rStyle w:val="VARIABLE"/>
        </w:rPr>
        <w:t xml:space="preserve">event</w:t>
      </w:r>
      <w:r>
        <w:t xml:space="preserve"> = SensorEvent{ detail = Boolean(true) }. The initial (</w:t>
      </w:r>
      <w:r>
        <w:rPr>
          <w:rStyle w:val="VARIABLE"/>
        </w:rPr>
        <w:t xml:space="preserve">MAJOR.0</w:t>
      </w:r>
      <w:r>
        <w:t xml:space="preserve">) schema is narrowed data-driven to exactly the concrete types each field first carries, and each Variant field has its own record (</w:t>
      </w:r>
      <w:r>
        <w:rPr>
          <w:rStyle w:val="VARIABLE"/>
        </w:rPr>
        <w:t xml:space="preserve">VariantSignal</w:t>
      </w:r>
      <w:r>
        <w:t xml:space="preserve">, </w:t>
      </w:r>
      <w:r>
        <w:rPr>
          <w:rStyle w:val="VARIABLE"/>
        </w:rPr>
        <w:t xml:space="preserve">VariantEventDetail</w:t>
      </w:r>
      <w:r>
        <w:t xml:space="preserve">).</w:t>
      </w:r>
    </w:p>
    <w:p w14:paraId="2A41BADC">
      <w:pPr>
        <w:pStyle w:val="ListBullet"/>
        <w:numPr>
          <w:ilvl w:val="0"/>
          <w:numId w:val="21"/>
        </w:numPr>
      </w:pPr>
      <w:r>
        <w:rPr>
          <w:rStyle w:val="VARIABLE"/>
        </w:rPr>
        <w:t xml:space="preserve">VariantSignal</w:t>
      </w:r>
      <w:r>
        <w:t xml:space="preserve"> body union: </w:t>
      </w:r>
      <w:r>
        <w:rPr>
          <w:rStyle w:val="VARIABLE"/>
        </w:rPr>
        <w:t xml:space="preserve">["null", "VariantSignal_Int32Scalar"]</w:t>
      </w:r>
    </w:p>
    <w:p w14:paraId="20298402">
      <w:pPr>
        <w:pStyle w:val="ListBullet"/>
        <w:numPr>
          <w:ilvl w:val="0"/>
          <w:numId w:val="21"/>
        </w:numPr>
      </w:pPr>
      <w:r>
        <w:rPr>
          <w:rStyle w:val="VARIABLE"/>
        </w:rPr>
        <w:t xml:space="preserve">VariantEventDetail</w:t>
      </w:r>
      <w:r>
        <w:t xml:space="preserve"> body union: </w:t>
      </w:r>
      <w:r>
        <w:rPr>
          <w:rStyle w:val="VARIABLE"/>
        </w:rPr>
        <w:t xml:space="preserve">["null", "VariantEventDetail_BooleanScalar"]</w:t>
      </w:r>
    </w:p>
    <w:p w14:paraId="5FE4A8FC">
      <w:pPr>
        <w:pStyle w:val="ListBullet"/>
        <w:numPr>
          <w:ilvl w:val="0"/>
          <w:numId w:val="21"/>
        </w:numPr>
      </w:pPr>
      <w:r>
        <w:rPr>
          <w:rStyle w:val="VARIABLE"/>
        </w:rPr>
        <w:t xml:space="preserve">ExtensionObjectEvent</w:t>
      </w:r>
      <w:r>
        <w:t xml:space="preserve"> body union: </w:t>
      </w:r>
      <w:r>
        <w:rPr>
          <w:rStyle w:val="VARIABLE"/>
        </w:rPr>
        <w:t xml:space="preserve">["null", "SensorEvent"]</w:t>
      </w:r>
    </w:p>
    <w:p w14:paraId="37097B06">
      <w:pPr>
        <w:pStyle w:val="ListBullet"/>
        <w:numPr>
          <w:ilvl w:val="0"/>
          <w:numId w:val="21"/>
        </w:numPr>
      </w:pPr>
      <w:r>
        <w:rPr>
          <w:b/>
        </w:rPr>
        <w:t xml:space="preserve">SchemaId</w:t>
      </w:r>
      <w:r>
        <w:t xml:space="preserve"> </w:t>
      </w:r>
      <w:r>
        <w:rPr>
          <w:rStyle w:val="VARIABLE"/>
        </w:rPr>
        <w:t xml:space="preserve">08f4e71eb59f973a</w:t>
      </w:r>
    </w:p>
    <w:p w14:paraId="208043AA">
      <w:pPr>
        <w:pStyle w:val="PARAGRAPH"/>
      </w:pPr>
      <w:r>
        <w:t xml:space="preserve">Self-contained </w:t>
      </w:r>
      <w:r>
        <w:rPr>
          <w:rStyle w:val="VARIABLE"/>
        </w:rPr>
        <w:t xml:space="preserve">MAJOR.0</w:t>
      </w:r>
      <w:r>
        <w:t xml:space="preserve"> schema:</w:t>
      </w:r>
    </w:p>
    <w:p w14:paraId="3584DF5F">
      <w:pPr>
        <w:pStyle w:val="CODE"/>
      </w:pPr>
      <w:r>
        <w:t xml:space="preserve">{</w:t>
      </w:r>
    </w:p>
    <w:p w14:paraId="28F53664">
      <w:pPr>
        <w:pStyle w:val="CODE"/>
      </w:pPr>
      <w:r>
        <w:t xml:space="preserve">  "fields": [</w:t>
      </w:r>
    </w:p>
    <w:p w14:paraId="4431F712">
      <w:pPr>
        <w:pStyle w:val="CODE"/>
      </w:pPr>
      <w:r>
        <w:t xml:space="preserve">    {</w:t>
      </w:r>
    </w:p>
    <w:p w14:paraId="48B3E1DE">
      <w:pPr>
        <w:pStyle w:val="CODE"/>
      </w:pPr>
      <w:r>
        <w:t xml:space="preserve">      "name": "signal",</w:t>
      </w:r>
    </w:p>
    <w:p w14:paraId="06762939">
      <w:pPr>
        <w:pStyle w:val="CODE"/>
      </w:pPr>
      <w:r>
        <w:t xml:space="preserve">      "type": {</w:t>
      </w:r>
    </w:p>
    <w:p w14:paraId="22ED170E">
      <w:pPr>
        <w:pStyle w:val="CODE"/>
      </w:pPr>
      <w:r>
        <w:t xml:space="preserve">        "fields": [</w:t>
      </w:r>
    </w:p>
    <w:p w14:paraId="33413CE5">
      <w:pPr>
        <w:pStyle w:val="CODE"/>
      </w:pPr>
      <w:r>
        <w:t xml:space="preserve">          {</w:t>
      </w:r>
    </w:p>
    <w:p w14:paraId="6D33F460">
      <w:pPr>
        <w:pStyle w:val="CODE"/>
      </w:pPr>
      <w:r>
        <w:t xml:space="preserve">            "name": "builtInType",</w:t>
      </w:r>
    </w:p>
    <w:p w14:paraId="47F02D05">
      <w:pPr>
        <w:pStyle w:val="CODE"/>
      </w:pPr>
      <w:r>
        <w:t xml:space="preserve">            "type": "int"</w:t>
      </w:r>
    </w:p>
    <w:p w14:paraId="52F54DE7">
      <w:pPr>
        <w:pStyle w:val="CODE"/>
      </w:pPr>
      <w:r>
        <w:t xml:space="preserve">          },</w:t>
      </w:r>
    </w:p>
    <w:p w14:paraId="26CC61C0">
      <w:pPr>
        <w:pStyle w:val="CODE"/>
      </w:pPr>
      <w:r>
        <w:t xml:space="preserve">          {</w:t>
      </w:r>
    </w:p>
    <w:p w14:paraId="30456B82">
      <w:pPr>
        <w:pStyle w:val="CODE"/>
      </w:pPr>
      <w:r>
        <w:t xml:space="preserve">            "default": null,</w:t>
      </w:r>
    </w:p>
    <w:p w14:paraId="5950408B">
      <w:pPr>
        <w:pStyle w:val="CODE"/>
      </w:pPr>
      <w:r>
        <w:t xml:space="preserve">            "name": "dimensions",</w:t>
      </w:r>
    </w:p>
    <w:p w14:paraId="2A39B256">
      <w:pPr>
        <w:pStyle w:val="CODE"/>
      </w:pPr>
      <w:r>
        <w:t xml:space="preserve">            "type": [</w:t>
      </w:r>
    </w:p>
    <w:p w14:paraId="2AB8DF0E">
      <w:pPr>
        <w:pStyle w:val="CODE"/>
      </w:pPr>
      <w:r>
        <w:t xml:space="preserve">              "null",</w:t>
      </w:r>
    </w:p>
    <w:p w14:paraId="4BCDA531">
      <w:pPr>
        <w:pStyle w:val="CODE"/>
      </w:pPr>
      <w:r>
        <w:t xml:space="preserve">              {</w:t>
      </w:r>
    </w:p>
    <w:p w14:paraId="68C677BF">
      <w:pPr>
        <w:pStyle w:val="CODE"/>
      </w:pPr>
      <w:r>
        <w:t xml:space="preserve">                "items": "int",</w:t>
      </w:r>
    </w:p>
    <w:p w14:paraId="7DF24434">
      <w:pPr>
        <w:pStyle w:val="CODE"/>
      </w:pPr>
      <w:r>
        <w:t xml:space="preserve">                "type": "array"</w:t>
      </w:r>
    </w:p>
    <w:p w14:paraId="56CAFEB7">
      <w:pPr>
        <w:pStyle w:val="CODE"/>
      </w:pPr>
      <w:r>
        <w:t xml:space="preserve">              }</w:t>
      </w:r>
    </w:p>
    <w:p w14:paraId="1BAF95B5">
      <w:pPr>
        <w:pStyle w:val="CODE"/>
      </w:pPr>
      <w:r>
        <w:t xml:space="preserve">            ]</w:t>
      </w:r>
    </w:p>
    <w:p w14:paraId="210ED695">
      <w:pPr>
        <w:pStyle w:val="CODE"/>
      </w:pPr>
      <w:r>
        <w:t xml:space="preserve">          },</w:t>
      </w:r>
    </w:p>
    <w:p w14:paraId="1A3D3A98">
      <w:pPr>
        <w:pStyle w:val="CODE"/>
      </w:pPr>
      <w:r>
        <w:t xml:space="preserve">          {</w:t>
      </w:r>
    </w:p>
    <w:p w14:paraId="44A32900">
      <w:pPr>
        <w:pStyle w:val="CODE"/>
      </w:pPr>
      <w:r>
        <w:t xml:space="preserve">            "default": null,</w:t>
      </w:r>
    </w:p>
    <w:p w14:paraId="2BFD5A31">
      <w:pPr>
        <w:pStyle w:val="CODE"/>
      </w:pPr>
      <w:r>
        <w:t xml:space="preserve">            "name": "body",</w:t>
      </w:r>
    </w:p>
    <w:p w14:paraId="50F7BF64">
      <w:pPr>
        <w:pStyle w:val="CODE"/>
      </w:pPr>
      <w:r>
        <w:t xml:space="preserve">            "type": [</w:t>
      </w:r>
    </w:p>
    <w:p w14:paraId="534B5526">
      <w:pPr>
        <w:pStyle w:val="CODE"/>
      </w:pPr>
      <w:r>
        <w:t xml:space="preserve">              "null",</w:t>
      </w:r>
    </w:p>
    <w:p w14:paraId="3B7790D5">
      <w:pPr>
        <w:pStyle w:val="CODE"/>
      </w:pPr>
      <w:r>
        <w:t xml:space="preserve">              {</w:t>
      </w:r>
    </w:p>
    <w:p w14:paraId="6CD4B379">
      <w:pPr>
        <w:pStyle w:val="CODE"/>
      </w:pPr>
      <w:r>
        <w:t xml:space="preserve">                "fields": [</w:t>
      </w:r>
    </w:p>
    <w:p w14:paraId="5F27F40D">
      <w:pPr>
        <w:pStyle w:val="CODE"/>
      </w:pPr>
      <w:r>
        <w:t xml:space="preserve">                  {</w:t>
      </w:r>
    </w:p>
    <w:p w14:paraId="0636D645">
      <w:pPr>
        <w:pStyle w:val="CODE"/>
      </w:pPr>
      <w:r>
        <w:t xml:space="preserve">                    "name": "value",</w:t>
      </w:r>
    </w:p>
    <w:p w14:paraId="0AD5198E">
      <w:pPr>
        <w:pStyle w:val="CODE"/>
      </w:pPr>
      <w:r>
        <w:t xml:space="preserve">                    "type": "int"</w:t>
      </w:r>
    </w:p>
    <w:p w14:paraId="0352047B">
      <w:pPr>
        <w:pStyle w:val="CODE"/>
      </w:pPr>
      <w:r>
        <w:t xml:space="preserve">                  }</w:t>
      </w:r>
    </w:p>
    <w:p w14:paraId="14AC3A18">
      <w:pPr>
        <w:pStyle w:val="CODE"/>
      </w:pPr>
      <w:r>
        <w:t xml:space="preserve">                ],</w:t>
      </w:r>
    </w:p>
    <w:p w14:paraId="6C4FA72E">
      <w:pPr>
        <w:pStyle w:val="CODE"/>
      </w:pPr>
      <w:r>
        <w:t xml:space="preserve">                "name": "VariantSignal_Int32Scalar",</w:t>
      </w:r>
    </w:p>
    <w:p w14:paraId="5241CCF8">
      <w:pPr>
        <w:pStyle w:val="CODE"/>
      </w:pPr>
      <w:r>
        <w:t xml:space="preserve">                "namespace": "org.opcfoundation.ua.avro",</w:t>
      </w:r>
    </w:p>
    <w:p w14:paraId="346A808E">
      <w:pPr>
        <w:pStyle w:val="CODE"/>
      </w:pPr>
      <w:r>
        <w:t xml:space="preserve">                "type": "record"</w:t>
      </w:r>
    </w:p>
    <w:p w14:paraId="185B4049">
      <w:pPr>
        <w:pStyle w:val="CODE"/>
      </w:pPr>
      <w:r>
        <w:t xml:space="preserve">              }</w:t>
      </w:r>
    </w:p>
    <w:p w14:paraId="32BC207C">
      <w:pPr>
        <w:pStyle w:val="CODE"/>
      </w:pPr>
      <w:r>
        <w:t xml:space="preserve">            ]</w:t>
      </w:r>
    </w:p>
    <w:p w14:paraId="1D7C5787">
      <w:pPr>
        <w:pStyle w:val="CODE"/>
      </w:pPr>
      <w:r>
        <w:t xml:space="preserve">          }</w:t>
      </w:r>
    </w:p>
    <w:p w14:paraId="76F8B459">
      <w:pPr>
        <w:pStyle w:val="CODE"/>
      </w:pPr>
      <w:r>
        <w:t xml:space="preserve">        ],</w:t>
      </w:r>
    </w:p>
    <w:p w14:paraId="1C8C2E1A">
      <w:pPr>
        <w:pStyle w:val="CODE"/>
      </w:pPr>
      <w:r>
        <w:t xml:space="preserve">        "name": "VariantSignal",</w:t>
      </w:r>
    </w:p>
    <w:p w14:paraId="5366FE75">
      <w:pPr>
        <w:pStyle w:val="CODE"/>
      </w:pPr>
      <w:r>
        <w:t xml:space="preserve">        "namespace": "org.opcfoundation.ua.avro",</w:t>
      </w:r>
    </w:p>
    <w:p w14:paraId="4CFBB1EC">
      <w:pPr>
        <w:pStyle w:val="CODE"/>
      </w:pPr>
      <w:r>
        <w:t xml:space="preserve">        "type": "record"</w:t>
      </w:r>
    </w:p>
    <w:p w14:paraId="48E58954">
      <w:pPr>
        <w:pStyle w:val="CODE"/>
      </w:pPr>
      <w:r>
        <w:t xml:space="preserve">      }</w:t>
      </w:r>
    </w:p>
    <w:p w14:paraId="4E1F0F1B">
      <w:pPr>
        <w:pStyle w:val="CODE"/>
      </w:pPr>
      <w:r>
        <w:t xml:space="preserve">    },</w:t>
      </w:r>
    </w:p>
    <w:p w14:paraId="03D92102">
      <w:pPr>
        <w:pStyle w:val="CODE"/>
      </w:pPr>
      <w:r>
        <w:t xml:space="preserve">    {</w:t>
      </w:r>
    </w:p>
    <w:p w14:paraId="4146A5D5">
      <w:pPr>
        <w:pStyle w:val="CODE"/>
      </w:pPr>
      <w:r>
        <w:t xml:space="preserve">      "name": "event",</w:t>
      </w:r>
    </w:p>
    <w:p w14:paraId="79A430B6">
      <w:pPr>
        <w:pStyle w:val="CODE"/>
      </w:pPr>
      <w:r>
        <w:t xml:space="preserve">      "type": {</w:t>
      </w:r>
    </w:p>
    <w:p w14:paraId="0D37A6DB">
      <w:pPr>
        <w:pStyle w:val="CODE"/>
      </w:pPr>
      <w:r>
        <w:t xml:space="preserve">        "fields": [</w:t>
      </w:r>
    </w:p>
    <w:p w14:paraId="16867F24">
      <w:pPr>
        <w:pStyle w:val="CODE"/>
      </w:pPr>
      <w:r>
        <w:t xml:space="preserve">          {</w:t>
      </w:r>
    </w:p>
    <w:p w14:paraId="342320B4">
      <w:pPr>
        <w:pStyle w:val="CODE"/>
      </w:pPr>
      <w:r>
        <w:t xml:space="preserve">            "name": "typeId",</w:t>
      </w:r>
    </w:p>
    <w:p w14:paraId="6DC34CDC">
      <w:pPr>
        <w:pStyle w:val="CODE"/>
      </w:pPr>
      <w:r>
        <w:t xml:space="preserve">            "type": "string"</w:t>
      </w:r>
    </w:p>
    <w:p w14:paraId="389332C7">
      <w:pPr>
        <w:pStyle w:val="CODE"/>
      </w:pPr>
      <w:r>
        <w:t xml:space="preserve">          },</w:t>
      </w:r>
    </w:p>
    <w:p w14:paraId="68F70633">
      <w:pPr>
        <w:pStyle w:val="CODE"/>
      </w:pPr>
      <w:r>
        <w:t xml:space="preserve">          {</w:t>
      </w:r>
    </w:p>
    <w:p w14:paraId="3BA0E64F">
      <w:pPr>
        <w:pStyle w:val="CODE"/>
      </w:pPr>
      <w:r>
        <w:t xml:space="preserve">            "default": null,</w:t>
      </w:r>
    </w:p>
    <w:p w14:paraId="0AAFDAEE">
      <w:pPr>
        <w:pStyle w:val="CODE"/>
      </w:pPr>
      <w:r>
        <w:t xml:space="preserve">            "name": "body",</w:t>
      </w:r>
    </w:p>
    <w:p w14:paraId="7AA69E06">
      <w:pPr>
        <w:pStyle w:val="CODE"/>
      </w:pPr>
      <w:r>
        <w:t xml:space="preserve">            "type": [</w:t>
      </w:r>
    </w:p>
    <w:p w14:paraId="2F478692">
      <w:pPr>
        <w:pStyle w:val="CODE"/>
      </w:pPr>
      <w:r>
        <w:t xml:space="preserve">              "null",</w:t>
      </w:r>
    </w:p>
    <w:p w14:paraId="459ABEA6">
      <w:pPr>
        <w:pStyle w:val="CODE"/>
      </w:pPr>
      <w:r>
        <w:t xml:space="preserve">              {</w:t>
      </w:r>
    </w:p>
    <w:p w14:paraId="08134C3C">
      <w:pPr>
        <w:pStyle w:val="CODE"/>
      </w:pPr>
      <w:r>
        <w:t xml:space="preserve">                "fields": [</w:t>
      </w:r>
    </w:p>
    <w:p w14:paraId="591CF4D1">
      <w:pPr>
        <w:pStyle w:val="CODE"/>
      </w:pPr>
      <w:r>
        <w:t xml:space="preserve">                  {</w:t>
      </w:r>
    </w:p>
    <w:p w14:paraId="66D22063">
      <w:pPr>
        <w:pStyle w:val="CODE"/>
      </w:pPr>
      <w:r>
        <w:t xml:space="preserve">                    "name": "deviceId",</w:t>
      </w:r>
    </w:p>
    <w:p w14:paraId="21ADD967">
      <w:pPr>
        <w:pStyle w:val="CODE"/>
      </w:pPr>
      <w:r>
        <w:t xml:space="preserve">                    "type": "string"</w:t>
      </w:r>
    </w:p>
    <w:p w14:paraId="7FF237CD">
      <w:pPr>
        <w:pStyle w:val="CODE"/>
      </w:pPr>
      <w:r>
        <w:t xml:space="preserve">                  },</w:t>
      </w:r>
    </w:p>
    <w:p w14:paraId="61D790D1">
      <w:pPr>
        <w:pStyle w:val="CODE"/>
      </w:pPr>
      <w:r>
        <w:t xml:space="preserve">                  {</w:t>
      </w:r>
    </w:p>
    <w:p w14:paraId="2FFC29E4">
      <w:pPr>
        <w:pStyle w:val="CODE"/>
      </w:pPr>
      <w:r>
        <w:t xml:space="preserve">                    "name": "detail",</w:t>
      </w:r>
    </w:p>
    <w:p w14:paraId="362E58DD">
      <w:pPr>
        <w:pStyle w:val="CODE"/>
      </w:pPr>
      <w:r>
        <w:t xml:space="preserve">                    "type": {</w:t>
      </w:r>
    </w:p>
    <w:p w14:paraId="32867856">
      <w:pPr>
        <w:pStyle w:val="CODE"/>
      </w:pPr>
      <w:r>
        <w:t xml:space="preserve">                      "fields": [</w:t>
      </w:r>
    </w:p>
    <w:p w14:paraId="20132A8F">
      <w:pPr>
        <w:pStyle w:val="CODE"/>
      </w:pPr>
      <w:r>
        <w:t xml:space="preserve">                        {</w:t>
      </w:r>
    </w:p>
    <w:p w14:paraId="69A0148B">
      <w:pPr>
        <w:pStyle w:val="CODE"/>
      </w:pPr>
      <w:r>
        <w:t xml:space="preserve">                          "name": "builtInType",</w:t>
      </w:r>
    </w:p>
    <w:p w14:paraId="79985FB1">
      <w:pPr>
        <w:pStyle w:val="CODE"/>
      </w:pPr>
      <w:r>
        <w:t xml:space="preserve">                          "type": "int"</w:t>
      </w:r>
    </w:p>
    <w:p w14:paraId="2AD28621">
      <w:pPr>
        <w:pStyle w:val="CODE"/>
      </w:pPr>
      <w:r>
        <w:t xml:space="preserve">                        },</w:t>
      </w:r>
    </w:p>
    <w:p w14:paraId="2156C4A5">
      <w:pPr>
        <w:pStyle w:val="CODE"/>
      </w:pPr>
      <w:r>
        <w:t xml:space="preserve">                        {</w:t>
      </w:r>
    </w:p>
    <w:p w14:paraId="37ACDD4B">
      <w:pPr>
        <w:pStyle w:val="CODE"/>
      </w:pPr>
      <w:r>
        <w:t xml:space="preserve">                          "default": null,</w:t>
      </w:r>
    </w:p>
    <w:p w14:paraId="6FFE5684">
      <w:pPr>
        <w:pStyle w:val="CODE"/>
      </w:pPr>
      <w:r>
        <w:t xml:space="preserve">                          "name": "dimensions",</w:t>
      </w:r>
    </w:p>
    <w:p w14:paraId="39D9471B">
      <w:pPr>
        <w:pStyle w:val="CODE"/>
      </w:pPr>
      <w:r>
        <w:t xml:space="preserve">                          "type": [</w:t>
      </w:r>
    </w:p>
    <w:p w14:paraId="4AFDE680">
      <w:pPr>
        <w:pStyle w:val="CODE"/>
      </w:pPr>
      <w:r>
        <w:t xml:space="preserve">                            "null",</w:t>
      </w:r>
    </w:p>
    <w:p w14:paraId="3957A699">
      <w:pPr>
        <w:pStyle w:val="CODE"/>
      </w:pPr>
      <w:r>
        <w:t xml:space="preserve">                            {</w:t>
      </w:r>
    </w:p>
    <w:p w14:paraId="21DE3998">
      <w:pPr>
        <w:pStyle w:val="CODE"/>
      </w:pPr>
      <w:r>
        <w:t xml:space="preserve">                              "items": "int",</w:t>
      </w:r>
    </w:p>
    <w:p w14:paraId="4A36B8DE">
      <w:pPr>
        <w:pStyle w:val="CODE"/>
      </w:pPr>
      <w:r>
        <w:t xml:space="preserve">                              "type": "array"</w:t>
      </w:r>
    </w:p>
    <w:p w14:paraId="51827710">
      <w:pPr>
        <w:pStyle w:val="CODE"/>
      </w:pPr>
      <w:r>
        <w:t xml:space="preserve">                            }</w:t>
      </w:r>
    </w:p>
    <w:p w14:paraId="045A0B75">
      <w:pPr>
        <w:pStyle w:val="CODE"/>
      </w:pPr>
      <w:r>
        <w:t xml:space="preserve">                          ]</w:t>
      </w:r>
    </w:p>
    <w:p w14:paraId="2DA1F140">
      <w:pPr>
        <w:pStyle w:val="CODE"/>
      </w:pPr>
      <w:r>
        <w:t xml:space="preserve">                        },</w:t>
      </w:r>
    </w:p>
    <w:p w14:paraId="5BB47B72">
      <w:pPr>
        <w:pStyle w:val="CODE"/>
      </w:pPr>
      <w:r>
        <w:t xml:space="preserve">                        {</w:t>
      </w:r>
    </w:p>
    <w:p w14:paraId="62615266">
      <w:pPr>
        <w:pStyle w:val="CODE"/>
      </w:pPr>
      <w:r>
        <w:t xml:space="preserve">                          "default": null,</w:t>
      </w:r>
    </w:p>
    <w:p w14:paraId="3B25D34C">
      <w:pPr>
        <w:pStyle w:val="CODE"/>
      </w:pPr>
      <w:r>
        <w:t xml:space="preserve">                          "name": "body",</w:t>
      </w:r>
    </w:p>
    <w:p w14:paraId="752DDD5E">
      <w:pPr>
        <w:pStyle w:val="CODE"/>
      </w:pPr>
      <w:r>
        <w:t xml:space="preserve">                          "type": [</w:t>
      </w:r>
    </w:p>
    <w:p w14:paraId="0BEBE0FF">
      <w:pPr>
        <w:pStyle w:val="CODE"/>
      </w:pPr>
      <w:r>
        <w:t xml:space="preserve">                            "null",</w:t>
      </w:r>
    </w:p>
    <w:p w14:paraId="10C43667">
      <w:pPr>
        <w:pStyle w:val="CODE"/>
      </w:pPr>
      <w:r>
        <w:t xml:space="preserve">                            {</w:t>
      </w:r>
    </w:p>
    <w:p w14:paraId="533A34CE">
      <w:pPr>
        <w:pStyle w:val="CODE"/>
      </w:pPr>
      <w:r>
        <w:t xml:space="preserve">                              "fields": [</w:t>
      </w:r>
    </w:p>
    <w:p w14:paraId="3FEA574B">
      <w:pPr>
        <w:pStyle w:val="CODE"/>
      </w:pPr>
      <w:r>
        <w:t xml:space="preserve">                                {</w:t>
      </w:r>
    </w:p>
    <w:p w14:paraId="65FC634D">
      <w:pPr>
        <w:pStyle w:val="CODE"/>
      </w:pPr>
      <w:r>
        <w:t xml:space="preserve">                                  "name": "value",</w:t>
      </w:r>
    </w:p>
    <w:p w14:paraId="17A8CDA8">
      <w:pPr>
        <w:pStyle w:val="CODE"/>
      </w:pPr>
      <w:r>
        <w:t xml:space="preserve">                                  "type": "boolean"</w:t>
      </w:r>
    </w:p>
    <w:p w14:paraId="53135AB8">
      <w:pPr>
        <w:pStyle w:val="CODE"/>
      </w:pPr>
      <w:r>
        <w:t xml:space="preserve">                                }</w:t>
      </w:r>
    </w:p>
    <w:p w14:paraId="4546A9CE">
      <w:pPr>
        <w:pStyle w:val="CODE"/>
      </w:pPr>
      <w:r>
        <w:t xml:space="preserve">                              ],</w:t>
      </w:r>
    </w:p>
    <w:p w14:paraId="77FA855A">
      <w:pPr>
        <w:pStyle w:val="CODE"/>
      </w:pPr>
      <w:r>
        <w:t xml:space="preserve">                              "name": "VariantEventDetail_BooleanScalar",</w:t>
      </w:r>
    </w:p>
    <w:p w14:paraId="597D2C03">
      <w:pPr>
        <w:pStyle w:val="CODE"/>
      </w:pPr>
      <w:r>
        <w:t xml:space="preserve">                              "namespace": "org.opcfoundation.ua.avro",</w:t>
      </w:r>
    </w:p>
    <w:p w14:paraId="77537926">
      <w:pPr>
        <w:pStyle w:val="CODE"/>
      </w:pPr>
      <w:r>
        <w:t xml:space="preserve">                              "type": "record"</w:t>
      </w:r>
    </w:p>
    <w:p w14:paraId="7E5963C9">
      <w:pPr>
        <w:pStyle w:val="CODE"/>
      </w:pPr>
      <w:r>
        <w:t xml:space="preserve">                            }</w:t>
      </w:r>
    </w:p>
    <w:p w14:paraId="79257174">
      <w:pPr>
        <w:pStyle w:val="CODE"/>
      </w:pPr>
      <w:r>
        <w:t xml:space="preserve">                          ]</w:t>
      </w:r>
    </w:p>
    <w:p w14:paraId="604AB99F">
      <w:pPr>
        <w:pStyle w:val="CODE"/>
      </w:pPr>
      <w:r>
        <w:t xml:space="preserve">                        }</w:t>
      </w:r>
    </w:p>
    <w:p w14:paraId="4B986FE6">
      <w:pPr>
        <w:pStyle w:val="CODE"/>
      </w:pPr>
      <w:r>
        <w:t xml:space="preserve">                      ],</w:t>
      </w:r>
    </w:p>
    <w:p w14:paraId="3E56206C">
      <w:pPr>
        <w:pStyle w:val="CODE"/>
      </w:pPr>
      <w:r>
        <w:t xml:space="preserve">                      "name": "VariantEventDetail",</w:t>
      </w:r>
    </w:p>
    <w:p w14:paraId="017BD3FC">
      <w:pPr>
        <w:pStyle w:val="CODE"/>
      </w:pPr>
      <w:r>
        <w:t xml:space="preserve">                      "namespace": "org.opcfoundation.ua.avro",</w:t>
      </w:r>
    </w:p>
    <w:p w14:paraId="74F69037">
      <w:pPr>
        <w:pStyle w:val="CODE"/>
      </w:pPr>
      <w:r>
        <w:t xml:space="preserve">                      "type": "record"</w:t>
      </w:r>
    </w:p>
    <w:p w14:paraId="0A99A722">
      <w:pPr>
        <w:pStyle w:val="CODE"/>
      </w:pPr>
      <w:r>
        <w:t xml:space="preserve">                    }</w:t>
      </w:r>
    </w:p>
    <w:p w14:paraId="40B14128">
      <w:pPr>
        <w:pStyle w:val="CODE"/>
      </w:pPr>
      <w:r>
        <w:t xml:space="preserve">                  }</w:t>
      </w:r>
    </w:p>
    <w:p w14:paraId="6EEC02E1">
      <w:pPr>
        <w:pStyle w:val="CODE"/>
      </w:pPr>
      <w:r>
        <w:t xml:space="preserve">                ],</w:t>
      </w:r>
    </w:p>
    <w:p w14:paraId="0F3F67FC">
      <w:pPr>
        <w:pStyle w:val="CODE"/>
      </w:pPr>
      <w:r>
        <w:t xml:space="preserve">                "name": "SensorEvent",</w:t>
      </w:r>
    </w:p>
    <w:p w14:paraId="62A48B33">
      <w:pPr>
        <w:pStyle w:val="CODE"/>
      </w:pPr>
      <w:r>
        <w:t xml:space="preserve">                "namespace": "org.opcfoundation.ua.avro",</w:t>
      </w:r>
    </w:p>
    <w:p w14:paraId="56FBD35C">
      <w:pPr>
        <w:pStyle w:val="CODE"/>
      </w:pPr>
      <w:r>
        <w:t xml:space="preserve">                "type": "record"</w:t>
      </w:r>
    </w:p>
    <w:p w14:paraId="5E2B522F">
      <w:pPr>
        <w:pStyle w:val="CODE"/>
      </w:pPr>
      <w:r>
        <w:t xml:space="preserve">              }</w:t>
      </w:r>
    </w:p>
    <w:p w14:paraId="63F26070">
      <w:pPr>
        <w:pStyle w:val="CODE"/>
      </w:pPr>
      <w:r>
        <w:t xml:space="preserve">            ]</w:t>
      </w:r>
    </w:p>
    <w:p w14:paraId="229DD67A">
      <w:pPr>
        <w:pStyle w:val="CODE"/>
      </w:pPr>
      <w:r>
        <w:t xml:space="preserve">          }</w:t>
      </w:r>
    </w:p>
    <w:p w14:paraId="3CEF625D">
      <w:pPr>
        <w:pStyle w:val="CODE"/>
      </w:pPr>
      <w:r>
        <w:t xml:space="preserve">        ],</w:t>
      </w:r>
    </w:p>
    <w:p w14:paraId="4A7AFE5E">
      <w:pPr>
        <w:pStyle w:val="CODE"/>
      </w:pPr>
      <w:r>
        <w:t xml:space="preserve">        "name": "ExtensionObjectEvent",</w:t>
      </w:r>
    </w:p>
    <w:p w14:paraId="1E9A5B2E">
      <w:pPr>
        <w:pStyle w:val="CODE"/>
      </w:pPr>
      <w:r>
        <w:t xml:space="preserve">        "namespace": "org.opcfoundation.ua.avro",</w:t>
      </w:r>
    </w:p>
    <w:p w14:paraId="2C23F49E">
      <w:pPr>
        <w:pStyle w:val="CODE"/>
      </w:pPr>
      <w:r>
        <w:t xml:space="preserve">        "type": "record"</w:t>
      </w:r>
    </w:p>
    <w:p w14:paraId="1397A35A">
      <w:pPr>
        <w:pStyle w:val="CODE"/>
      </w:pPr>
      <w:r>
        <w:t xml:space="preserve">      }</w:t>
      </w:r>
    </w:p>
    <w:p w14:paraId="65BE9938">
      <w:pPr>
        <w:pStyle w:val="CODE"/>
      </w:pPr>
      <w:r>
        <w:t xml:space="preserve">    }</w:t>
      </w:r>
    </w:p>
    <w:p w14:paraId="58957B17">
      <w:pPr>
        <w:pStyle w:val="CODE"/>
      </w:pPr>
      <w:r>
        <w:t xml:space="preserve">  ],</w:t>
      </w:r>
    </w:p>
    <w:p w14:paraId="7CD8623F">
      <w:pPr>
        <w:pStyle w:val="CODE"/>
      </w:pPr>
      <w:r>
        <w:t xml:space="preserve">  "name": "Sample",</w:t>
      </w:r>
    </w:p>
    <w:p w14:paraId="1E55E4F8">
      <w:pPr>
        <w:pStyle w:val="CODE"/>
      </w:pPr>
      <w:r>
        <w:t xml:space="preserve">  "namespace": "org.opcfoundation.ua.avro",</w:t>
      </w:r>
    </w:p>
    <w:p w14:paraId="5A0A174D">
      <w:pPr>
        <w:pStyle w:val="CODE"/>
      </w:pPr>
      <w:r>
        <w:t xml:space="preserve">  "type": "record"</w:t>
      </w:r>
    </w:p>
    <w:p w14:paraId="287D5166">
      <w:pPr>
        <w:pStyle w:val="CODE"/>
      </w:pPr>
      <w:r>
        <w:t xml:space="preserve">}</w:t>
      </w:r>
    </w:p>
    <w:p w14:paraId="28CA0C45">
      <w:pPr>
        <w:pStyle w:val="ANNEX-heading1"/>
      </w:pPr>
      <w:bookmarkStart w:id="646" w:name="_Clause_cC_2"/>
      <w:r>
        <w:t xml:space="preserve">MinorVersion 1.1</w:t>
      </w:r>
      <w:bookmarkEnd w:id="646"/>
    </w:p>
    <w:p w14:paraId="392C2970">
      <w:pPr>
        <w:pStyle w:val="PARAGRAPH"/>
      </w:pPr>
      <w:r>
        <w:rPr>
          <w:rStyle w:val="VARIABLE"/>
        </w:rPr>
        <w:t xml:space="preserve">signal</w:t>
      </w:r>
      <w:r>
        <w:t xml:space="preserve"> now carries a Double, so </w:t>
      </w:r>
      <w:r>
        <w:rPr>
          <w:rStyle w:val="VARIABLE"/>
        </w:rPr>
        <w:t xml:space="preserve">VariantSignal_DoubleScalar</w:t>
      </w:r>
      <w:r>
        <w:t xml:space="preserve"> is appended to </w:t>
      </w:r>
      <w:r>
        <w:rPr>
          <w:rStyle w:val="VARIABLE"/>
        </w:rPr>
        <w:t xml:space="preserve">VariantSignal</w:t>
      </w:r>
      <w:r>
        <w:t xml:space="preserve"> only. </w:t>
      </w:r>
      <w:r>
        <w:rPr>
          <w:rStyle w:val="VARIABLE"/>
        </w:rPr>
        <w:t xml:space="preserve">VariantEventDetail</w:t>
      </w:r>
      <w:r>
        <w:t xml:space="preserve"> and the ExtensionObject union are untouched.</w:t>
      </w:r>
    </w:p>
    <w:p w14:paraId="49205EDF">
      <w:pPr>
        <w:pStyle w:val="ListBullet"/>
        <w:numPr>
          <w:ilvl w:val="0"/>
          <w:numId w:val="21"/>
        </w:numPr>
      </w:pPr>
      <w:r>
        <w:rPr>
          <w:rStyle w:val="VARIABLE"/>
        </w:rPr>
        <w:t xml:space="preserve">VariantSignal</w:t>
      </w:r>
      <w:r>
        <w:t xml:space="preserve"> body union: </w:t>
      </w:r>
      <w:r>
        <w:rPr>
          <w:rStyle w:val="VARIABLE"/>
        </w:rPr>
        <w:t xml:space="preserve">["null", "VariantSignal_Int32Scalar", "VariantSignal_DoubleScalar"]</w:t>
      </w:r>
    </w:p>
    <w:p w14:paraId="1A6846EC">
      <w:pPr>
        <w:pStyle w:val="ListBullet"/>
        <w:numPr>
          <w:ilvl w:val="0"/>
          <w:numId w:val="21"/>
        </w:numPr>
      </w:pPr>
      <w:r>
        <w:rPr>
          <w:rStyle w:val="VARIABLE"/>
        </w:rPr>
        <w:t xml:space="preserve">VariantEventDetail</w:t>
      </w:r>
      <w:r>
        <w:t xml:space="preserve"> body union: </w:t>
      </w:r>
      <w:r>
        <w:rPr>
          <w:rStyle w:val="VARIABLE"/>
        </w:rPr>
        <w:t xml:space="preserve">["null", "VariantEventDetail_BooleanScalar"]</w:t>
      </w:r>
    </w:p>
    <w:p w14:paraId="7337CB82">
      <w:pPr>
        <w:pStyle w:val="ListBullet"/>
        <w:numPr>
          <w:ilvl w:val="0"/>
          <w:numId w:val="21"/>
        </w:numPr>
      </w:pPr>
      <w:r>
        <w:rPr>
          <w:rStyle w:val="VARIABLE"/>
        </w:rPr>
        <w:t xml:space="preserve">ExtensionObjectEvent</w:t>
      </w:r>
      <w:r>
        <w:t xml:space="preserve"> body union: </w:t>
      </w:r>
      <w:r>
        <w:rPr>
          <w:rStyle w:val="VARIABLE"/>
        </w:rPr>
        <w:t xml:space="preserve">["null", "SensorEvent"]</w:t>
      </w:r>
    </w:p>
    <w:p w14:paraId="4506A6F7">
      <w:pPr>
        <w:pStyle w:val="ListBullet"/>
        <w:numPr>
          <w:ilvl w:val="0"/>
          <w:numId w:val="21"/>
        </w:numPr>
      </w:pPr>
      <w:r>
        <w:rPr>
          <w:b/>
        </w:rPr>
        <w:t xml:space="preserve">SchemaId</w:t>
      </w:r>
      <w:r>
        <w:t xml:space="preserve"> </w:t>
      </w:r>
      <w:r>
        <w:rPr>
          <w:rStyle w:val="VARIABLE"/>
        </w:rPr>
        <w:t xml:space="preserve">2bdb850ff832697c</w:t>
      </w:r>
    </w:p>
    <w:p w14:paraId="0286BF3D">
      <w:pPr>
        <w:pStyle w:val="ANNEX-heading1"/>
      </w:pPr>
      <w:bookmarkStart w:id="647" w:name="_Clause_cC_3"/>
      <w:r>
        <w:t xml:space="preserve">MinorVersion 1.2</w:t>
      </w:r>
      <w:bookmarkEnd w:id="647"/>
    </w:p>
    <w:p w14:paraId="179C3A2A">
      <w:pPr>
        <w:pStyle w:val="PARAGRAPH"/>
      </w:pPr>
      <w:r>
        <w:t xml:space="preserve">The nested </w:t>
      </w:r>
      <w:r>
        <w:rPr>
          <w:rStyle w:val="VARIABLE"/>
        </w:rPr>
        <w:t xml:space="preserve">event.detail</w:t>
      </w:r>
      <w:r>
        <w:t xml:space="preserve"> Variant now carries a Float, so </w:t>
      </w:r>
      <w:r>
        <w:rPr>
          <w:rStyle w:val="VARIABLE"/>
        </w:rPr>
        <w:t xml:space="preserve">VariantEventDetail_FloatScalar</w:t>
      </w:r>
      <w:r>
        <w:t xml:space="preserve"> is appended to </w:t>
      </w:r>
      <w:r>
        <w:rPr>
          <w:rStyle w:val="VARIABLE"/>
        </w:rPr>
        <w:t xml:space="preserve">VariantEventDetail</w:t>
      </w:r>
      <w:r>
        <w:t xml:space="preserve"> only — because it has its own record, </w:t>
      </w:r>
      <w:r>
        <w:rPr>
          <w:rStyle w:val="VARIABLE"/>
        </w:rPr>
        <w:t xml:space="preserve">VariantSignal</w:t>
      </w:r>
      <w:r>
        <w:t xml:space="preserve"> is unchanged (independent evolution). This is the key difference from a single shared </w:t>
      </w:r>
      <w:r>
        <w:rPr>
          <w:rStyle w:val="VARIABLE"/>
        </w:rPr>
        <w:t xml:space="preserve">Variant</w:t>
      </w:r>
      <w:r>
        <w:t xml:space="preserve"> record.</w:t>
      </w:r>
    </w:p>
    <w:p w14:paraId="6B223996">
      <w:pPr>
        <w:pStyle w:val="ListBullet"/>
        <w:numPr>
          <w:ilvl w:val="0"/>
          <w:numId w:val="21"/>
        </w:numPr>
      </w:pPr>
      <w:r>
        <w:rPr>
          <w:rStyle w:val="VARIABLE"/>
        </w:rPr>
        <w:t xml:space="preserve">VariantSignal</w:t>
      </w:r>
      <w:r>
        <w:t xml:space="preserve"> body union: </w:t>
      </w:r>
      <w:r>
        <w:rPr>
          <w:rStyle w:val="VARIABLE"/>
        </w:rPr>
        <w:t xml:space="preserve">["null", "VariantSignal_Int32Scalar", "VariantSignal_DoubleScalar"]</w:t>
      </w:r>
    </w:p>
    <w:p w14:paraId="01DEE417">
      <w:pPr>
        <w:pStyle w:val="ListBullet"/>
        <w:numPr>
          <w:ilvl w:val="0"/>
          <w:numId w:val="21"/>
        </w:numPr>
      </w:pPr>
      <w:r>
        <w:rPr>
          <w:rStyle w:val="VARIABLE"/>
        </w:rPr>
        <w:t xml:space="preserve">VariantEventDetail</w:t>
      </w:r>
      <w:r>
        <w:t xml:space="preserve"> body union: </w:t>
      </w:r>
      <w:r>
        <w:rPr>
          <w:rStyle w:val="VARIABLE"/>
        </w:rPr>
        <w:t xml:space="preserve">["null", "VariantEventDetail_BooleanScalar", "VariantEventDetail_FloatScalar"]</w:t>
      </w:r>
    </w:p>
    <w:p w14:paraId="62D30AC6">
      <w:pPr>
        <w:pStyle w:val="ListBullet"/>
        <w:numPr>
          <w:ilvl w:val="0"/>
          <w:numId w:val="21"/>
        </w:numPr>
      </w:pPr>
      <w:r>
        <w:rPr>
          <w:rStyle w:val="VARIABLE"/>
        </w:rPr>
        <w:t xml:space="preserve">ExtensionObjectEvent</w:t>
      </w:r>
      <w:r>
        <w:t xml:space="preserve"> body union: </w:t>
      </w:r>
      <w:r>
        <w:rPr>
          <w:rStyle w:val="VARIABLE"/>
        </w:rPr>
        <w:t xml:space="preserve">["null", "SensorEvent"]</w:t>
      </w:r>
    </w:p>
    <w:p w14:paraId="5B71E0A6">
      <w:pPr>
        <w:pStyle w:val="ListBullet"/>
        <w:numPr>
          <w:ilvl w:val="0"/>
          <w:numId w:val="21"/>
        </w:numPr>
      </w:pPr>
      <w:r>
        <w:rPr>
          <w:b/>
        </w:rPr>
        <w:t xml:space="preserve">SchemaId</w:t>
      </w:r>
      <w:r>
        <w:t xml:space="preserve"> </w:t>
      </w:r>
      <w:r>
        <w:rPr>
          <w:rStyle w:val="VARIABLE"/>
        </w:rPr>
        <w:t xml:space="preserve">c48908757c5263b6</w:t>
      </w:r>
    </w:p>
    <w:p w14:paraId="2FC79531">
      <w:pPr>
        <w:pStyle w:val="ANNEX-heading1"/>
      </w:pPr>
      <w:bookmarkStart w:id="648" w:name="_Clause_cC_4"/>
      <w:r>
        <w:t xml:space="preserve">MinorVersion 1.3</w:t>
      </w:r>
      <w:bookmarkEnd w:id="648"/>
    </w:p>
    <w:p w14:paraId="22753458">
      <w:pPr>
        <w:pStyle w:val="PARAGRAPH"/>
      </w:pPr>
      <w:r>
        <w:rPr>
          <w:rStyle w:val="VARIABLE"/>
        </w:rPr>
        <w:t xml:space="preserve">event</w:t>
      </w:r>
      <w:r>
        <w:t xml:space="preserve"> now carries a second concrete struct, </w:t>
      </w:r>
      <w:r>
        <w:rPr>
          <w:rStyle w:val="VARIABLE"/>
        </w:rPr>
        <w:t xml:space="preserve">AlarmEvent</w:t>
      </w:r>
      <w:r>
        <w:t xml:space="preserve">, appended to the </w:t>
      </w:r>
      <w:r>
        <w:rPr>
          <w:rStyle w:val="VARIABLE"/>
        </w:rPr>
        <w:t xml:space="preserve">ExtensionObjectEvent</w:t>
      </w:r>
      <w:r>
        <w:t xml:space="preserve"> body union. Both Variant records are unchanged.</w:t>
      </w:r>
    </w:p>
    <w:p w14:paraId="11CF6609">
      <w:pPr>
        <w:pStyle w:val="ListBullet"/>
        <w:numPr>
          <w:ilvl w:val="0"/>
          <w:numId w:val="21"/>
        </w:numPr>
      </w:pPr>
      <w:r>
        <w:rPr>
          <w:rStyle w:val="VARIABLE"/>
        </w:rPr>
        <w:t xml:space="preserve">VariantSignal</w:t>
      </w:r>
      <w:r>
        <w:t xml:space="preserve"> body union: </w:t>
      </w:r>
      <w:r>
        <w:rPr>
          <w:rStyle w:val="VARIABLE"/>
        </w:rPr>
        <w:t xml:space="preserve">["null", "VariantSignal_Int32Scalar", "VariantSignal_DoubleScalar"]</w:t>
      </w:r>
    </w:p>
    <w:p w14:paraId="02C1638B">
      <w:pPr>
        <w:pStyle w:val="ListBullet"/>
        <w:numPr>
          <w:ilvl w:val="0"/>
          <w:numId w:val="21"/>
        </w:numPr>
      </w:pPr>
      <w:r>
        <w:rPr>
          <w:rStyle w:val="VARIABLE"/>
        </w:rPr>
        <w:t xml:space="preserve">VariantEventDetail</w:t>
      </w:r>
      <w:r>
        <w:t xml:space="preserve"> body union: </w:t>
      </w:r>
      <w:r>
        <w:rPr>
          <w:rStyle w:val="VARIABLE"/>
        </w:rPr>
        <w:t xml:space="preserve">["null", "VariantEventDetail_BooleanScalar", "VariantEventDetail_FloatScalar"]</w:t>
      </w:r>
    </w:p>
    <w:p w14:paraId="1A650599">
      <w:pPr>
        <w:pStyle w:val="ListBullet"/>
        <w:numPr>
          <w:ilvl w:val="0"/>
          <w:numId w:val="21"/>
        </w:numPr>
      </w:pPr>
      <w:r>
        <w:rPr>
          <w:rStyle w:val="VARIABLE"/>
        </w:rPr>
        <w:t xml:space="preserve">ExtensionObjectEvent</w:t>
      </w:r>
      <w:r>
        <w:t xml:space="preserve"> body union: </w:t>
      </w:r>
      <w:r>
        <w:rPr>
          <w:rStyle w:val="VARIABLE"/>
        </w:rPr>
        <w:t xml:space="preserve">["null", "SensorEvent", "AlarmEvent"]</w:t>
      </w:r>
    </w:p>
    <w:p w14:paraId="00F77EAA">
      <w:pPr>
        <w:pStyle w:val="ListBullet"/>
        <w:numPr>
          <w:ilvl w:val="0"/>
          <w:numId w:val="21"/>
        </w:numPr>
      </w:pPr>
      <w:r>
        <w:rPr>
          <w:b/>
        </w:rPr>
        <w:t xml:space="preserve">SchemaId</w:t>
      </w:r>
      <w:r>
        <w:t xml:space="preserve"> </w:t>
      </w:r>
      <w:r>
        <w:rPr>
          <w:rStyle w:val="VARIABLE"/>
        </w:rPr>
        <w:t xml:space="preserve">18864ae3ca92df54</w:t>
      </w:r>
    </w:p>
    <w:p w14:paraId="0B76ED47">
      <w:pPr>
        <w:pStyle w:val="ANNEX-heading1"/>
      </w:pPr>
      <w:bookmarkStart w:id="649" w:name="_Clause_cC_5"/>
      <w:r>
        <w:t xml:space="preserve">Backward compatibility</w:t>
      </w:r>
      <w:bookmarkEnd w:id="649"/>
    </w:p>
    <w:p w14:paraId="42711694">
      <w:pPr>
        <w:pStyle w:val="PARAGRAPH"/>
      </w:pPr>
      <w:r>
        <w:t xml:space="preserve">A </w:t>
      </w:r>
      <w:r>
        <w:rPr>
          <w:rStyle w:val="VARIABLE"/>
        </w:rPr>
        <w:t xml:space="preserve">Sample</w:t>
      </w:r>
      <w:r>
        <w:t xml:space="preserve"> written under 1.0 — </w:t>
      </w:r>
      <w:r>
        <w:rPr>
          <w:rStyle w:val="VARIABLE"/>
        </w:rPr>
        <w:t xml:space="preserve">signal</w:t>
      </w:r>
      <w:r>
        <w:t xml:space="preserve"> = Int32(42), </w:t>
      </w:r>
      <w:r>
        <w:rPr>
          <w:rStyle w:val="VARIABLE"/>
        </w:rPr>
        <w:t xml:space="preserve">event</w:t>
      </w:r>
      <w:r>
        <w:t xml:space="preserve"> = SensorEvent{ detail = Boolean(true) } — encodes to </w:t>
      </w:r>
      <w:r>
        <w:rPr>
          <w:rStyle w:val="VARIABLE"/>
        </w:rPr>
        <w:t xml:space="preserve">0c0002540c693d31303031020a6465762d3102000201</w:t>
      </w:r>
      <w:r>
        <w:t xml:space="preserve"> and decodes unchanged under the 1.3 schema. Each per-field record keeps its members' branch indices under growth (</w:t>
      </w:r>
      <w:r>
        <w:rPr>
          <w:rStyle w:val="VARIABLE"/>
        </w:rPr>
        <w:t xml:space="preserve">VariantSignal_Int32Scalar</w:t>
      </w:r>
      <w:r>
        <w:t xml:space="preserve">, </w:t>
      </w:r>
      <w:r>
        <w:rPr>
          <w:rStyle w:val="VARIABLE"/>
        </w:rPr>
        <w:t xml:space="preserve">VariantEventDetail_BooleanScalar</w:t>
      </w:r>
      <w:r>
        <w:t xml:space="preserve"> and </w:t>
      </w:r>
      <w:r>
        <w:rPr>
          <w:rStyle w:val="VARIABLE"/>
        </w:rPr>
        <w:t xml:space="preserve">SensorEvent</w:t>
      </w:r>
      <w:r>
        <w:t xml:space="preserve"> all stay at branch 1), because members are only ever appended, never reordered. Each minor is a distinct SchemaId in one lineage; a decoder holding the 1.3 schema decodes every earlier minor of that lineage, while the appended members stay unused for older values (</w:t>
      </w:r>
      <w:r>
        <w:fldChar w:fldCharType="begin"/>
      </w:r>
      <w:r>
        <w:instrText xml:space="preserve"> REF _Clause_c6_6_4 \r \h </w:instrText>
      </w:r>
      <w:r>
        <w:fldChar w:fldCharType="separate"/>
      </w:r>
      <w:r>
        <w:rPr>
          <w:noProof/>
        </w:rPr>
        <w:t xml:space="preserve">6.6.4</w:t>
      </w:r>
      <w:r>
        <w:fldChar w:fldCharType="end"/>
      </w:r>
      <w:r>
        <w:t xml:space="preserve">). Note that between 1.1 and 1.2 the </w:t>
      </w:r>
      <w:r>
        <w:rPr>
          <w:rStyle w:val="VARIABLE"/>
        </w:rPr>
        <w:t xml:space="preserve">VariantSignal</w:t>
      </w:r>
      <w:r>
        <w:t xml:space="preserve"> schema is byte-identical: growing </w:t>
      </w:r>
      <w:r>
        <w:rPr>
          <w:rStyle w:val="VARIABLE"/>
        </w:rPr>
        <w:t xml:space="preserve">detail</w:t>
      </w:r>
      <w:r>
        <w:t xml:space="preserve"> cannot affect </w:t>
      </w:r>
      <w:r>
        <w:rPr>
          <w:rStyle w:val="VARIABLE"/>
        </w:rPr>
        <w:t xml:space="preserve">signal</w:t>
      </w:r>
      <w:r>
        <w:t xml:space="preserve"> because they are separate records.</w:t>
      </w:r>
    </w:p>
    <w:p w14:paraId="68288B3C">
      <w:pPr>
        <w:pStyle w:val="PARAGRAPH"/>
      </w:pPr>
      <w:r>
        <w:t xml:space="preserve">&lt;!-- END GENERATED: evolution-annex --&gt;</w:t>
      </w:r>
    </w:p>
    <w:p w14:paraId="24C98CDA">
      <w:pPr>
        <w:pStyle w:val="ANNEXtitle"/>
        <w:pageBreakBefore/>
      </w:pPr>
      <w:bookmarkStart w:id="650" w:name="_Annex_cD"/>
      <w:r>
        <w:t xml:space="preserve">(informative)</w:t>
      </w:r>
      <w:r>
        <w:br/>
      </w:r>
      <w:r>
        <w:br/>
      </w:r>
      <w:r>
        <w:t xml:space="preserve">Wire byte-layout examples (illustrative)</w:t>
      </w:r>
      <w:bookmarkEnd w:id="650"/>
    </w:p>
    <w:p w14:paraId="2D0EB8BA">
      <w:pPr>
        <w:pStyle w:val="PARAGRAPH"/>
      </w:pPr>
      <w:r>
        <w:t xml:space="preserve">This annex illustrates, byte by byte, how representative values look </w:t>
      </w:r>
      <w:r>
        <w:rPr>
          <w:b/>
        </w:rPr>
        <w:t xml:space="preserve">on the wire</w:t>
      </w:r>
      <w:r>
        <w:t xml:space="preserve"> under Avro. Avro binary carries </w:t>
      </w:r>
      <w:r>
        <w:rPr>
          <w:b/>
        </w:rPr>
        <w:t xml:space="preserve">no per-value type tags</w:t>
      </w:r>
      <w:r>
        <w:t xml:space="preserve"> — the schema alone defines the layout — so these diagrams show the exact bytes a decoder consumes for a given schema. The byte values are taken from the shared conformance corpus and match the annotated breakdowns in Annex A; they are informative examples, not additional normative rules.</w:t>
      </w:r>
    </w:p>
    <w:p w14:paraId="7E574CA5">
      <w:pPr>
        <w:pStyle w:val="PARAGRAPH"/>
      </w:pPr>
      <w:r>
        <w:t xml:space="preserve">Recurring layout patterns:</w:t>
      </w:r>
    </w:p>
    <w:p w14:paraId="2BDCAE49">
      <w:pPr>
        <w:pStyle w:val="ListBullet"/>
        <w:numPr>
          <w:ilvl w:val="0"/>
          <w:numId w:val="21"/>
        </w:numPr>
      </w:pPr>
      <w:r>
        <w:rPr>
          <w:b/>
        </w:rPr>
        <w:t xml:space="preserve">Integers, lengths, enum values and union branch indices</w:t>
      </w:r>
      <w:r>
        <w:t xml:space="preserve"> use Avro's </w:t>
      </w:r>
      <w:r>
        <w:rPr>
          <w:b/>
        </w:rPr>
        <w:t xml:space="preserve">zig-zag + base-128 varint</w:t>
      </w:r>
      <w:r>
        <w:t xml:space="preserve">. Each byte carries 7 value bits; the high bit (</w:t>
      </w:r>
      <w:r>
        <w:rPr>
          <w:rStyle w:val="VARIABLE"/>
        </w:rPr>
        <w:t xml:space="preserve">0x80</w:t>
      </w:r>
      <w:r>
        <w:t xml:space="preserve">) is a continuation flag, so the encoding is </w:t>
      </w:r>
      <w:r>
        <w:rPr>
          <w:b/>
        </w:rPr>
        <w:t xml:space="preserve">byte-order-neutral</w:t>
      </w:r>
      <w:r>
        <w:t xml:space="preserve"> (there is no "little vs big endian" for a varint). Zig-zag maps signed values so small magnitudes stay short: </w:t>
      </w:r>
      <w:r>
        <w:rPr>
          <w:rStyle w:val="VARIABLE"/>
        </w:rPr>
        <w:t xml:space="preserve">0→0</w:t>
      </w:r>
      <w:r>
        <w:t xml:space="preserve">, </w:t>
      </w:r>
      <w:r>
        <w:rPr>
          <w:rStyle w:val="VARIABLE"/>
        </w:rPr>
        <w:t xml:space="preserve">-1→1</w:t>
      </w:r>
      <w:r>
        <w:t xml:space="preserve">, </w:t>
      </w:r>
      <w:r>
        <w:rPr>
          <w:rStyle w:val="VARIABLE"/>
        </w:rPr>
        <w:t xml:space="preserve">1→2</w:t>
      </w:r>
      <w:r>
        <w:t xml:space="preserve">, </w:t>
      </w:r>
      <w:r>
        <w:rPr>
          <w:rStyle w:val="VARIABLE"/>
        </w:rPr>
        <w:t xml:space="preserve">-128→255</w:t>
      </w:r>
      <w:r>
        <w:t xml:space="preserve">.</w:t>
      </w:r>
    </w:p>
    <w:p w14:paraId="4B71878F">
      <w:pPr>
        <w:pStyle w:val="ListBullet"/>
        <w:numPr>
          <w:ilvl w:val="0"/>
          <w:numId w:val="21"/>
        </w:numPr>
      </w:pPr>
      <w:r>
        <w:rPr>
          <w:rStyle w:val="VARIABLE"/>
        </w:rPr>
        <w:t xml:space="preserve">float</w:t>
      </w:r>
      <w:r>
        <w:rPr>
          <w:b/>
        </w:rPr>
        <w:t xml:space="preserve"> and </w:t>
      </w:r>
      <w:r>
        <w:rPr>
          <w:rStyle w:val="VARIABLE"/>
        </w:rPr>
        <w:t xml:space="preserve">double</w:t>
      </w:r>
      <w:r>
        <w:t xml:space="preserve"> are fixed-width </w:t>
      </w:r>
      <w:r>
        <w:rPr>
          <w:b/>
        </w:rPr>
        <w:t xml:space="preserve">IEEE-754, little-endian</w:t>
      </w:r>
      <w:r>
        <w:t xml:space="preserve"> (4 and 8 bytes; least-significant byte first).</w:t>
      </w:r>
    </w:p>
    <w:p w14:paraId="35A4E377">
      <w:pPr>
        <w:pStyle w:val="ListBullet"/>
        <w:numPr>
          <w:ilvl w:val="0"/>
          <w:numId w:val="21"/>
        </w:numPr>
      </w:pPr>
      <w:r>
        <w:rPr>
          <w:rStyle w:val="VARIABLE"/>
        </w:rPr>
        <w:t xml:space="preserve">fixed</w:t>
      </w:r>
      <w:r>
        <w:t xml:space="preserve"> (used for Guid) is written </w:t>
      </w:r>
      <w:r>
        <w:rPr>
          <w:b/>
        </w:rPr>
        <w:t xml:space="preserve">verbatim</w:t>
      </w:r>
      <w:r>
        <w:t xml:space="preserve">, preserving the 16 OPC UA Guid bytes.</w:t>
      </w:r>
    </w:p>
    <w:p w14:paraId="369BF0C5">
      <w:pPr>
        <w:pStyle w:val="ListBullet"/>
        <w:numPr>
          <w:ilvl w:val="0"/>
          <w:numId w:val="21"/>
        </w:numPr>
      </w:pPr>
      <w:r>
        <w:rPr>
          <w:rStyle w:val="VARIABLE"/>
        </w:rPr>
        <w:t xml:space="preserve">string</w:t>
      </w:r>
      <w:r>
        <w:rPr>
          <w:b/>
        </w:rPr>
        <w:t xml:space="preserve"> / </w:t>
      </w:r>
      <w:r>
        <w:rPr>
          <w:rStyle w:val="VARIABLE"/>
        </w:rPr>
        <w:t xml:space="preserve">bytes</w:t>
      </w:r>
      <w:r>
        <w:t xml:space="preserve"> are a varint </w:t>
      </w:r>
      <w:r>
        <w:rPr>
          <w:b/>
        </w:rPr>
        <w:t xml:space="preserve">length</w:t>
      </w:r>
      <w:r>
        <w:t xml:space="preserve"> followed by the raw UTF-8 / octet payload.</w:t>
      </w:r>
    </w:p>
    <w:p w14:paraId="46245425">
      <w:pPr>
        <w:pStyle w:val="ListBullet"/>
        <w:numPr>
          <w:ilvl w:val="0"/>
          <w:numId w:val="21"/>
        </w:numPr>
      </w:pPr>
      <w:r>
        <w:t xml:space="preserve">A </w:t>
      </w:r>
      <w:r>
        <w:rPr>
          <w:b/>
        </w:rPr>
        <w:t xml:space="preserve">nullable</w:t>
      </w:r>
      <w:r>
        <w:t xml:space="preserve"> value is preceded by a </w:t>
      </w:r>
      <w:r>
        <w:rPr>
          <w:b/>
        </w:rPr>
        <w:t xml:space="preserve">union branch index</w:t>
      </w:r>
      <w:r>
        <w:t xml:space="preserve"> varint: </w:t>
      </w:r>
      <w:r>
        <w:rPr>
          <w:rStyle w:val="VARIABLE"/>
        </w:rPr>
        <w:t xml:space="preserve">0</w:t>
      </w:r>
      <w:r>
        <w:t xml:space="preserve"> selects </w:t>
      </w:r>
      <w:r>
        <w:rPr>
          <w:rStyle w:val="VARIABLE"/>
        </w:rPr>
        <w:t xml:space="preserve">null</w:t>
      </w:r>
      <w:r>
        <w:t xml:space="preserve">, a non-zero index selects the value branch (for </w:t>
      </w:r>
      <w:r>
        <w:rPr>
          <w:rStyle w:val="VARIABLE"/>
        </w:rPr>
        <w:t xml:space="preserve">["null", T]</w:t>
      </w:r>
      <w:r>
        <w:t xml:space="preserve">, branch </w:t>
      </w:r>
      <w:r>
        <w:rPr>
          <w:rStyle w:val="VARIABLE"/>
        </w:rPr>
        <w:t xml:space="preserve">1</w:t>
      </w:r>
      <w:r>
        <w:t xml:space="preserve"> = </w:t>
      </w:r>
      <w:r>
        <w:rPr>
          <w:rStyle w:val="VARIABLE"/>
        </w:rPr>
        <w:t xml:space="preserve">T</w:t>
      </w:r>
      <w:r>
        <w:t xml:space="preserve">).</w:t>
      </w:r>
    </w:p>
    <w:p w14:paraId="59D567A8">
      <w:pPr>
        <w:pStyle w:val="ListBullet"/>
        <w:numPr>
          <w:ilvl w:val="0"/>
          <w:numId w:val="21"/>
        </w:numPr>
      </w:pPr>
      <w:r>
        <w:t xml:space="preserve">A </w:t>
      </w:r>
      <w:r>
        <w:rPr>
          <w:b/>
        </w:rPr>
        <w:t xml:space="preserve">record</w:t>
      </w:r>
      <w:r>
        <w:t xml:space="preserve"> is simply its fields </w:t>
      </w:r>
      <w:r>
        <w:rPr>
          <w:b/>
        </w:rPr>
        <w:t xml:space="preserve">concatenated in schema order</w:t>
      </w:r>
      <w:r>
        <w:t xml:space="preserve">, with no length prefix or separators.</w:t>
      </w:r>
    </w:p>
    <w:p w14:paraId="6C862D7D">
      <w:pPr>
        <w:pStyle w:val="ListBullet"/>
        <w:numPr>
          <w:ilvl w:val="0"/>
          <w:numId w:val="21"/>
        </w:numPr>
      </w:pPr>
      <w:r>
        <w:t xml:space="preserve">An </w:t>
      </w:r>
      <w:r>
        <w:rPr>
          <w:b/>
        </w:rPr>
        <w:t xml:space="preserve">array</w:t>
      </w:r>
      <w:r>
        <w:t xml:space="preserve"> is one or more </w:t>
      </w:r>
      <w:r>
        <w:rPr>
          <w:b/>
        </w:rPr>
        <w:t xml:space="preserve">blocks</w:t>
      </w:r>
      <w:r>
        <w:t xml:space="preserve">; each block is a varint </w:t>
      </w:r>
      <w:r>
        <w:rPr>
          <w:b/>
        </w:rPr>
        <w:t xml:space="preserve">item count</w:t>
      </w:r>
      <w:r>
        <w:t xml:space="preserve"> followed by that many items, and the array ends with a </w:t>
      </w:r>
      <w:r>
        <w:rPr>
          <w:rStyle w:val="VARIABLE"/>
        </w:rPr>
        <w:t xml:space="preserve">0</w:t>
      </w:r>
      <w:r>
        <w:t xml:space="preserve"> count block.</w:t>
      </w:r>
    </w:p>
    <w:p w14:paraId="5539160A">
      <w:pPr>
        <w:pStyle w:val="ANNEX-heading1"/>
      </w:pPr>
      <w:bookmarkStart w:id="651" w:name="_Clause_cD_1"/>
      <w:r>
        <w:t xml:space="preserve">Boolean — true</w:t>
      </w:r>
      <w:bookmarkEnd w:id="651"/>
    </w:p>
    <w:p w14:paraId="2108A796">
      <w:pPr>
        <w:pStyle w:val="CODE"/>
      </w:pPr>
      <w:r>
        <w:t xml:space="preserve">Boolean  true  -&gt;  1 byte</w:t>
      </w:r>
    </w:p>
    <w:p w14:paraId="72B4E9B2">
      <w:pPr>
        <w:pStyle w:val="CODE"/>
      </w:pPr>
      <w:r>
        <w:t xml:space="preserve"> off  0</w:t>
      </w:r>
    </w:p>
    <w:p w14:paraId="0F666D9D">
      <w:pPr>
        <w:pStyle w:val="CODE"/>
      </w:pPr>
      <w:r>
        <w:t xml:space="preserve">     +----+</w:t>
      </w:r>
    </w:p>
    <w:p w14:paraId="03E21E27">
      <w:pPr>
        <w:pStyle w:val="CODE"/>
      </w:pPr>
      <w:r>
        <w:t xml:space="preserve">     | 01 |   0x00 = false, 0x01 = true</w:t>
      </w:r>
    </w:p>
    <w:p w14:paraId="43B8DBF8">
      <w:pPr>
        <w:pStyle w:val="CODE"/>
      </w:pPr>
      <w:r>
        <w:t xml:space="preserve">     +----+</w:t>
      </w:r>
    </w:p>
    <w:p w14:paraId="5AEE1FC3">
      <w:pPr>
        <w:pStyle w:val="ANNEX-heading1"/>
      </w:pPr>
      <w:bookmarkStart w:id="652" w:name="_Clause_cD_2"/>
      <w:r>
        <w:t xml:space="preserve">SByte — -128 (zig-zag varint)</w:t>
      </w:r>
      <w:bookmarkEnd w:id="652"/>
    </w:p>
    <w:p w14:paraId="6090D48A">
      <w:pPr>
        <w:pStyle w:val="CODE"/>
      </w:pPr>
      <w:r>
        <w:t xml:space="preserve">SByte  -128  -&gt;  2 bytes  (int, zig-zag base-128 varint; byte-order-neutral)</w:t>
      </w:r>
    </w:p>
    <w:p w14:paraId="45838F9A">
      <w:pPr>
        <w:pStyle w:val="CODE"/>
      </w:pPr>
      <w:r>
        <w:t xml:space="preserve"> off  0    1</w:t>
      </w:r>
    </w:p>
    <w:p w14:paraId="0F6FB344">
      <w:pPr>
        <w:pStyle w:val="CODE"/>
      </w:pPr>
      <w:r>
        <w:t xml:space="preserve">     +----+----+</w:t>
      </w:r>
    </w:p>
    <w:p w14:paraId="55DA2339">
      <w:pPr>
        <w:pStyle w:val="CODE"/>
      </w:pPr>
      <w:r>
        <w:t xml:space="preserve">     | FF | 01 |   zigzag(-128)=255 ; varint(255)=0xFF 0x01</w:t>
      </w:r>
    </w:p>
    <w:p w14:paraId="4E0F16B3">
      <w:pPr>
        <w:pStyle w:val="CODE"/>
      </w:pPr>
      <w:r>
        <w:t xml:space="preserve">     +----+----+</w:t>
      </w:r>
    </w:p>
    <w:p w14:paraId="3A860958">
      <w:pPr>
        <w:pStyle w:val="CODE"/>
      </w:pPr>
      <w:r>
        <w:t xml:space="preserve">       ^    ^</w:t>
      </w:r>
    </w:p>
    <w:p w14:paraId="20AEB84E">
      <w:pPr>
        <w:pStyle w:val="CODE"/>
      </w:pPr>
      <w:r>
        <w:t xml:space="preserve">       |    +-- 0x01: high bit clear -&gt; last varint byte</w:t>
      </w:r>
    </w:p>
    <w:p w14:paraId="4673C026">
      <w:pPr>
        <w:pStyle w:val="CODE"/>
      </w:pPr>
      <w:r>
        <w:t xml:space="preserve">       +------- 0xFF: high bit set   -&gt; continues</w:t>
      </w:r>
    </w:p>
    <w:p w14:paraId="14626B06">
      <w:pPr>
        <w:pStyle w:val="ANNEX-heading1"/>
      </w:pPr>
      <w:bookmarkStart w:id="653" w:name="_Clause_cD_3"/>
      <w:r>
        <w:t xml:space="preserve">Int32 — -2147483648 (zig-zag varint)</w:t>
      </w:r>
      <w:bookmarkEnd w:id="653"/>
    </w:p>
    <w:p w14:paraId="65A9F8B7">
      <w:pPr>
        <w:pStyle w:val="CODE"/>
      </w:pPr>
      <w:r>
        <w:t xml:space="preserve">Int32  -2147483648  -&gt;  5 bytes  (int, zig-zag base-128 varint)</w:t>
      </w:r>
    </w:p>
    <w:p w14:paraId="345D8756">
      <w:pPr>
        <w:pStyle w:val="CODE"/>
      </w:pPr>
      <w:r>
        <w:t xml:space="preserve"> off  0    1    2    3    4</w:t>
      </w:r>
    </w:p>
    <w:p w14:paraId="4AF6A5CB">
      <w:pPr>
        <w:pStyle w:val="CODE"/>
      </w:pPr>
      <w:r>
        <w:t xml:space="preserve">     +----+----+----+----+----+</w:t>
      </w:r>
    </w:p>
    <w:p w14:paraId="12FD8416">
      <w:pPr>
        <w:pStyle w:val="CODE"/>
      </w:pPr>
      <w:r>
        <w:t xml:space="preserve">     | FF | FF | FF | FF | 0F |   zigzag(-2147483648)=4294967295</w:t>
      </w:r>
    </w:p>
    <w:p w14:paraId="5A8CEA65">
      <w:pPr>
        <w:pStyle w:val="CODE"/>
      </w:pPr>
      <w:r>
        <w:t xml:space="preserve">     +----+----+----+----+----+</w:t>
      </w:r>
    </w:p>
    <w:p w14:paraId="5EC583B2">
      <w:pPr>
        <w:pStyle w:val="CODE"/>
      </w:pPr>
      <w:r>
        <w:t xml:space="preserve">      &lt;-------- continues -------&gt;  last byte 0x0F clears the high bit</w:t>
      </w:r>
    </w:p>
    <w:p w14:paraId="04F84C10">
      <w:pPr>
        <w:pStyle w:val="ANNEX-heading1"/>
      </w:pPr>
      <w:bookmarkStart w:id="654" w:name="_Clause_cD_4"/>
      <w:r>
        <w:t xml:space="preserve">Double — 1.0 (IEEE-754 little-endian)</w:t>
      </w:r>
      <w:bookmarkEnd w:id="654"/>
    </w:p>
    <w:p w14:paraId="304E6871">
      <w:pPr>
        <w:pStyle w:val="CODE"/>
      </w:pPr>
      <w:r>
        <w:t xml:space="preserve">Double  1.0  -&gt;  8 bytes  (double, IEEE-754 binary64, little-endian)</w:t>
      </w:r>
    </w:p>
    <w:p w14:paraId="68AC4419">
      <w:pPr>
        <w:pStyle w:val="CODE"/>
      </w:pPr>
      <w:r>
        <w:t xml:space="preserve"> off  0    1    2    3    4    5    6    7</w:t>
      </w:r>
    </w:p>
    <w:p w14:paraId="7628F997">
      <w:pPr>
        <w:pStyle w:val="CODE"/>
      </w:pPr>
      <w:r>
        <w:t xml:space="preserve">     +----+----+----+----+----+----+----+----+</w:t>
      </w:r>
    </w:p>
    <w:p w14:paraId="647306AE">
      <w:pPr>
        <w:pStyle w:val="CODE"/>
      </w:pPr>
      <w:r>
        <w:t xml:space="preserve">     | 00 | 00 | 00 | 00 | 00 | 00 | F0 | 3F |</w:t>
      </w:r>
    </w:p>
    <w:p w14:paraId="44D48A4D">
      <w:pPr>
        <w:pStyle w:val="CODE"/>
      </w:pPr>
      <w:r>
        <w:t xml:space="preserve">     +----+----+----+----+----+----+----+----+</w:t>
      </w:r>
    </w:p>
    <w:p w14:paraId="0F53E0B4">
      <w:pPr>
        <w:pStyle w:val="CODE"/>
      </w:pPr>
      <w:r>
        <w:t xml:space="preserve">      LSB                                 MSB   (0x3FF0000000000000 = 1.0)</w:t>
      </w:r>
    </w:p>
    <w:p w14:paraId="1889C735">
      <w:pPr>
        <w:pStyle w:val="ANNEX-heading1"/>
      </w:pPr>
      <w:bookmarkStart w:id="655" w:name="_Clause_cD_5"/>
      <w:r>
        <w:t xml:space="preserve">String — "grüße-中文-😀" (union branch, varint length, UTF-8)</w:t>
      </w:r>
      <w:bookmarkEnd w:id="655"/>
    </w:p>
    <w:p w14:paraId="3537C872">
      <w:pPr>
        <w:pStyle w:val="CODE"/>
      </w:pPr>
      <w:r>
        <w:t xml:space="preserve">String  "grüße-中文-😀"  -&gt;  21 bytes   schema ["null","string"]</w:t>
      </w:r>
    </w:p>
    <w:p w14:paraId="00E9E831">
      <w:pPr>
        <w:pStyle w:val="CODE"/>
      </w:pPr>
      <w:r>
        <w:t xml:space="preserve"> off  0    1    2 ....................... 20</w:t>
      </w:r>
    </w:p>
    <w:p w14:paraId="65EAEBDD">
      <w:pPr>
        <w:pStyle w:val="CODE"/>
      </w:pPr>
      <w:r>
        <w:t xml:space="preserve">     +----+----+---------------------------+</w:t>
      </w:r>
    </w:p>
    <w:p w14:paraId="7C8E7F2A">
      <w:pPr>
        <w:pStyle w:val="CODE"/>
      </w:pPr>
      <w:r>
        <w:t xml:space="preserve">     | 02 | 26 | 67 72 C3 BC ... (19 bytes)|</w:t>
      </w:r>
    </w:p>
    <w:p w14:paraId="12F90614">
      <w:pPr>
        <w:pStyle w:val="CODE"/>
      </w:pPr>
      <w:r>
        <w:t xml:space="preserve">     +----+----+---------------------------+</w:t>
      </w:r>
    </w:p>
    <w:p w14:paraId="78BE4AE4">
      <w:pPr>
        <w:pStyle w:val="CODE"/>
      </w:pPr>
      <w:r>
        <w:t xml:space="preserve">       ^    ^    ^</w:t>
      </w:r>
    </w:p>
    <w:p w14:paraId="43ABE4C3">
      <w:pPr>
        <w:pStyle w:val="CODE"/>
      </w:pPr>
      <w:r>
        <w:t xml:space="preserve">       |    |    +-- UTF-8 code units (not normalized)</w:t>
      </w:r>
    </w:p>
    <w:p w14:paraId="42B5FD4A">
      <w:pPr>
        <w:pStyle w:val="CODE"/>
      </w:pPr>
      <w:r>
        <w:t xml:space="preserve">       |    +------- length  = zigzag(19) = 38 = 0x26</w:t>
      </w:r>
    </w:p>
    <w:p w14:paraId="6E8CB321">
      <w:pPr>
        <w:pStyle w:val="CODE"/>
      </w:pPr>
      <w:r>
        <w:t xml:space="preserve">       +------------ branch  = zigzag(1)  = 2  -&gt; "string" (non-null; 0 would be null)</w:t>
      </w:r>
    </w:p>
    <w:p w14:paraId="3CF62601">
      <w:pPr>
        <w:pStyle w:val="ANNEX-heading1"/>
      </w:pPr>
      <w:bookmarkStart w:id="656" w:name="_Clause_cD_6"/>
      <w:r>
        <w:t xml:space="preserve">DateTime — 133000000000000000 ticks (zig-zag varint long)</w:t>
      </w:r>
      <w:bookmarkEnd w:id="656"/>
    </w:p>
    <w:p w14:paraId="3BC84835">
      <w:pPr>
        <w:pStyle w:val="CODE"/>
      </w:pPr>
      <w:r>
        <w:t xml:space="preserve">DateTime  133000000000000000  -&gt;  9 bytes  (long ticks of 100 ns since 1601-01-01 UTC)</w:t>
      </w:r>
    </w:p>
    <w:p w14:paraId="45F2E4B4">
      <w:pPr>
        <w:pStyle w:val="CODE"/>
      </w:pPr>
      <w:r>
        <w:t xml:space="preserve"> off  0    1    2    3    4    5    6    7    8</w:t>
      </w:r>
    </w:p>
    <w:p w14:paraId="572284E3">
      <w:pPr>
        <w:pStyle w:val="CODE"/>
      </w:pPr>
      <w:r>
        <w:t xml:space="preserve">     +----+----+----+----+----+----+----+----+----+</w:t>
      </w:r>
    </w:p>
    <w:p w14:paraId="55A0CC26">
      <w:pPr>
        <w:pStyle w:val="CODE"/>
      </w:pPr>
      <w:r>
        <w:t xml:space="preserve">     | 80 | 80 | 84 | B2 | F3 | B2 | C1 | D8 | 03 |</w:t>
      </w:r>
    </w:p>
    <w:p w14:paraId="3A003BEA">
      <w:pPr>
        <w:pStyle w:val="CODE"/>
      </w:pPr>
      <w:r>
        <w:t xml:space="preserve">     +----+----+----+----+----+----+----+----+----+</w:t>
      </w:r>
    </w:p>
    <w:p w14:paraId="3EBE15DC">
      <w:pPr>
        <w:pStyle w:val="CODE"/>
      </w:pPr>
      <w:r>
        <w:t xml:space="preserve">      &lt;----------------- continues -------------------&gt;  final 0x03 ends the varint</w:t>
      </w:r>
    </w:p>
    <w:p w14:paraId="26EB253E">
      <w:pPr>
        <w:pStyle w:val="ANNEX-heading1"/>
      </w:pPr>
      <w:bookmarkStart w:id="657" w:name="_Clause_cD_7"/>
      <w:r>
        <w:t xml:space="preserve">Guid — 01020304-0506-0708-090a-0b0c0d0e0f10 (fixed 16, verbatim)</w:t>
      </w:r>
      <w:bookmarkEnd w:id="657"/>
    </w:p>
    <w:p w14:paraId="2B164BE5">
      <w:pPr>
        <w:pStyle w:val="CODE"/>
      </w:pPr>
      <w:r>
        <w:t xml:space="preserve">Guid  -&gt;  16 bytes  (fixed[16] logical type opcua-guid; OPC UA Guid bytes preserved verbatim)</w:t>
      </w:r>
    </w:p>
    <w:p w14:paraId="3B1CD89F">
      <w:pPr>
        <w:pStyle w:val="CODE"/>
      </w:pPr>
      <w:r>
        <w:t xml:space="preserve"> off  0                                                             15</w:t>
      </w:r>
    </w:p>
    <w:p w14:paraId="2B90F9CE">
      <w:pPr>
        <w:pStyle w:val="CODE"/>
      </w:pPr>
      <w:r>
        <w:t xml:space="preserve">     +----+----+----+----+----+----+----+----+----+----+----+----+----+----+----+----+</w:t>
      </w:r>
    </w:p>
    <w:p w14:paraId="11E66ED7">
      <w:pPr>
        <w:pStyle w:val="CODE"/>
      </w:pPr>
      <w:r>
        <w:t xml:space="preserve">     | 01 | 02 | 03 | 04 | 05 | 06 | 07 | 08 | 09 | 0A | 0B | 0C | 0D | 0E | 0F | 10 |</w:t>
      </w:r>
    </w:p>
    <w:p w14:paraId="74C12F1C">
      <w:pPr>
        <w:pStyle w:val="CODE"/>
      </w:pPr>
      <w:r>
        <w:t xml:space="preserve">     +----+----+----+----+----+----+----+----+----+----+----+----+----+----+----+----+</w:t>
      </w:r>
    </w:p>
    <w:p w14:paraId="7758F394">
      <w:pPr>
        <w:pStyle w:val="ANNEX-heading1"/>
      </w:pPr>
      <w:bookmarkStart w:id="658" w:name="_Clause_cD_8"/>
      <w:r>
        <w:t xml:space="preserve">Structure — Point { X: 1.25, Y: -3.5 } (record = fields concatenated)</w:t>
      </w:r>
      <w:bookmarkEnd w:id="658"/>
    </w:p>
    <w:p w14:paraId="57CA0BD3">
      <w:pPr>
        <w:pStyle w:val="CODE"/>
      </w:pPr>
      <w:r>
        <w:t xml:space="preserve">Point { X: 1.25, Y: -3.5 }  -&gt;  16 bytes  (record: fields in DataTypeDefinition order, no framing)</w:t>
      </w:r>
    </w:p>
    <w:p w14:paraId="351F44D8">
      <w:pPr>
        <w:pStyle w:val="CODE"/>
      </w:pPr>
      <w:r>
        <w:t xml:space="preserve"> off  0                       7   8                      15</w:t>
      </w:r>
    </w:p>
    <w:p w14:paraId="23838233">
      <w:pPr>
        <w:pStyle w:val="CODE"/>
      </w:pPr>
      <w:r>
        <w:t xml:space="preserve">     +-------------------------+-------------------------+</w:t>
      </w:r>
    </w:p>
    <w:p w14:paraId="1E6B2692">
      <w:pPr>
        <w:pStyle w:val="CODE"/>
      </w:pPr>
      <w:r>
        <w:t xml:space="preserve">     | 00 00 00 00 00 00 F4 3F | 00 00 00 00 00 00 0C C0 |</w:t>
      </w:r>
    </w:p>
    <w:p w14:paraId="55ED7637">
      <w:pPr>
        <w:pStyle w:val="CODE"/>
      </w:pPr>
      <w:r>
        <w:t xml:space="preserve">     +-------------------------+-------------------------+</w:t>
      </w:r>
    </w:p>
    <w:p w14:paraId="1DCB1974">
      <w:pPr>
        <w:pStyle w:val="CODE"/>
      </w:pPr>
      <w:r>
        <w:t xml:space="preserve">       X: double LE (1.25)       Y: double LE (-3.5)</w:t>
      </w:r>
    </w:p>
    <w:p w14:paraId="6691335B">
      <w:pPr>
        <w:pStyle w:val="ANNEX-heading1"/>
      </w:pPr>
      <w:bookmarkStart w:id="659" w:name="_Clause_cD_9"/>
      <w:r>
        <w:t xml:space="preserve">Matrix — 2×2 double (array block-count framing)</w:t>
      </w:r>
      <w:bookmarkEnd w:id="659"/>
    </w:p>
    <w:p w14:paraId="524B9D46">
      <w:pPr>
        <w:pStyle w:val="CODE"/>
      </w:pPr>
      <w:r>
        <w:t xml:space="preserve">Matrix { dimensions:[2,2], values:[1.0, NaN, -Infinity, -0.0] }  -&gt;  43 bytes</w:t>
      </w:r>
    </w:p>
    <w:p w14:paraId="4BDF4917">
      <w:pPr>
        <w:pStyle w:val="CODE"/>
      </w:pPr>
      <w:r>
        <w:t xml:space="preserve">schema ["null", record{ dimensions: array&lt;int&gt;, values: array&lt;["null","double"]&gt; }]</w:t>
      </w:r>
    </w:p>
    <w:p w14:paraId="32EBB6A4">
      <w:pPr>
        <w:pStyle w:val="CODE"/>
      </w:pPr>
      <w:r>
        <w:t xml:space="preserve"> off  0    1    2    3    4    5    6    7 ...... 14   15  ....        ....        42</w:t>
      </w:r>
    </w:p>
    <w:p w14:paraId="09A9BC65">
      <w:pPr>
        <w:pStyle w:val="CODE"/>
      </w:pPr>
      <w:r>
        <w:t xml:space="preserve">     +----+----+----+----+----+----+----+---------+---- ....  four doubles ....  ----+----+</w:t>
      </w:r>
    </w:p>
    <w:p w14:paraId="257A6A76">
      <w:pPr>
        <w:pStyle w:val="CODE"/>
      </w:pPr>
      <w:r>
        <w:t xml:space="preserve">     | 02 | 04 | 04 | 04 | 00 | 08 | 02 |  8 bytes | 02  8B    02  8B    02  8B    | 00 |</w:t>
      </w:r>
    </w:p>
    <w:p w14:paraId="4F1046AB">
      <w:pPr>
        <w:pStyle w:val="CODE"/>
      </w:pPr>
      <w:r>
        <w:t xml:space="preserve">     +----+----+----+----+----+----+----+---------+---- .................. --------+----+</w:t>
      </w:r>
    </w:p>
    <w:p w14:paraId="35395D97">
      <w:pPr>
        <w:pStyle w:val="CODE"/>
      </w:pPr>
      <w:r>
        <w:t xml:space="preserve">       |    |    \_______/   |    |    |   \_____/</w:t>
      </w:r>
    </w:p>
    <w:p w14:paraId="351113C0">
      <w:pPr>
        <w:pStyle w:val="CODE"/>
      </w:pPr>
      <w:r>
        <w:t xml:space="preserve">       |    |    dims 2,2     |    |    |   value[0]=1.0 (double LE)</w:t>
      </w:r>
    </w:p>
    <w:p w14:paraId="75E8C2E2">
      <w:pPr>
        <w:pStyle w:val="CODE"/>
      </w:pPr>
      <w:r>
        <w:t xml:space="preserve">       |    |                 |    |    +-- value union branch = 1 (non-null)</w:t>
      </w:r>
    </w:p>
    <w:p w14:paraId="384A221F">
      <w:pPr>
        <w:pStyle w:val="CODE"/>
      </w:pPr>
      <w:r>
        <w:t xml:space="preserve">       |    |                 |    +------- values: block count = zigzag-varint 4</w:t>
      </w:r>
    </w:p>
    <w:p w14:paraId="15AC18F5">
      <w:pPr>
        <w:pStyle w:val="CODE"/>
      </w:pPr>
      <w:r>
        <w:t xml:space="preserve">       |    |                 +------------ dimensions: end-of-array 0-count block</w:t>
      </w:r>
    </w:p>
    <w:p w14:paraId="2FC08600">
      <w:pPr>
        <w:pStyle w:val="CODE"/>
      </w:pPr>
      <w:r>
        <w:t xml:space="preserve">       |    +------------------------------ dimensions: block count = 2, then ints 2, 2</w:t>
      </w:r>
    </w:p>
    <w:p w14:paraId="1792BB81">
      <w:pPr>
        <w:pStyle w:val="CODE"/>
      </w:pPr>
      <w:r>
        <w:t xml:space="preserve">       +----------------------------------- outer union branch = 1 (non-null matrix record)</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 Id="rId132" Type="http://schemas.openxmlformats.org/officeDocument/2006/relationships/image" Target="media/openusd_figure2.png"/><Relationship Id="rId133" Type="http://schemas.openxmlformats.org/officeDocument/2006/relationships/package" Target="embeddings/openusd_figure2.pptx"/><Relationship Id="rId134" Type="http://schemas.openxmlformats.org/officeDocument/2006/relationships/image" Target="media/openusd_figure3.png"/><Relationship Id="rId135" Type="http://schemas.openxmlformats.org/officeDocument/2006/relationships/package" Target="embeddings/openusd_figure3.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Avro Encoding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0.1.0</vt:lpwstr>
  </property>
  <property fmtid="{D5CDD505-2E9C-101B-9397-08002B2CF9AE}" pid="3" name="Published">
    <vt:lpwstr>2026-07</vt:lpwstr>
  </property>
  <property fmtid="{D5CDD505-2E9C-101B-9397-08002B2CF9AE}" pid="4" name="OPCVersion">
    <vt:lpwstr>0.1.0</vt:lpwstr>
  </property>
  <property fmtid="{D5CDD505-2E9C-101B-9397-08002B2CF9AE}" pid="5" name="OPCReleaseType">
    <vt:lpwstr>Draft</vt:lpwstr>
  </property>
  <property fmtid="{D5CDD505-2E9C-101B-9397-08002B2CF9AE}" pid="6" name="Part Name">
    <vt:lpwstr>Avro Encoding</vt:lpwstr>
  </property>
  <property fmtid="{D5CDD505-2E9C-101B-9397-08002B2CF9AE}" pid="7" name="Part Number">
    <vt:lpwstr>Part 1</vt:lpwstr>
  </property>
  <property fmtid="{D5CDD505-2E9C-101B-9397-08002B2CF9AE}" pid="8" name="HeaderLeft">
    <vt:lpwstr>OPC nnnnn-m: Avro Encoding</vt:lpwstr>
  </property>
  <property fmtid="{D5CDD505-2E9C-101B-9397-08002B2CF9AE}" pid="9" name="DocNumber">
    <vt:lpwstr>OPC nnnnn-m</vt:lpwstr>
  </property>
  <property fmtid="{D5CDD505-2E9C-101B-9397-08002B2CF9AE}" pid="10" name="HeaderRight">
    <vt:lpwstr>Draft 0.1.0</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avro-encoding</vt:lpwstr>
  </property>
  <property fmtid="{D5CDD505-2E9C-101B-9397-08002B2CF9AE}" pid="14" name="SourceCommit">
    <vt:lpwstr>711ab328705b248308f60bfc0def036324917c7b</vt:lpwstr>
  </property>
  <property fmtid="{D5CDD505-2E9C-101B-9397-08002B2CF9AE}" pid="15" name="SourceDigest">
    <vt:lpwstr>2aea8bb3c053abb4</vt:lpwstr>
  </property>
  <property fmtid="{D5CDD505-2E9C-101B-9397-08002B2CF9AE}" pid="16" name="PipelineVersion">
    <vt:lpwstr>2</vt:lpwstr>
  </property>
</Properties>
</file>