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Schema Registry</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0.2.0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Schema RegistryPart 1 :Schema Registry</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0.2.0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xRegistry project</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xRegistry project</w:t>
      </w:r>
      <w:r w:rsidRPr="004C388A">
        <w:rPr>
          <w:sz w:val="16"/>
          <w:szCs w:val="16"/>
        </w:rPr>
        <w:t xml:space="preserve"> specifications may require use of an invention covered by patent rights. OPC Foundation or </w:t>
      </w:r>
      <w:r w:rsidRPr="004C388A">
        <w:rPr>
          <w:color w:val="FF0000"/>
          <w:sz w:val="16"/>
          <w:szCs w:val="16"/>
        </w:rPr>
        <w:t xml:space="preserve">xRegistry project</w:t>
      </w:r>
      <w:r w:rsidRPr="004C388A">
        <w:rPr>
          <w:sz w:val="16"/>
          <w:szCs w:val="16"/>
        </w:rPr>
        <w:t xml:space="preserve"> shall not be responsible for identifying patents for which a license may be required by any OPC or </w:t>
      </w:r>
      <w:r w:rsidRPr="004C388A">
        <w:rPr>
          <w:color w:val="FF0000"/>
          <w:sz w:val="16"/>
          <w:szCs w:val="16"/>
        </w:rPr>
        <w:t xml:space="preserve">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0.2.0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In-server registry of encoding schemas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09CAAD54">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schema.</w:t>
      </w:r>
    </w:p>
    <w:p w14:paraId="25B7293A">
      <w:pPr>
        <w:pStyle w:val="PARAGRAPH"/>
      </w:pPr>
      <w:r>
        <w:t xml:space="preserve">This specification defines a </w:t>
      </w:r>
      <w:r>
        <w:rPr>
          <w:b/>
        </w:rPr>
        <w:t xml:space="preserve">Schema Registry</w:t>
      </w:r>
      <w:r>
        <w:t xml:space="preserve">: a concrete xRegistry whose resources are schema documents. It is a </w:t>
      </w:r>
      <w:r>
        <w:rPr>
          <w:b/>
        </w:rPr>
        <w:t xml:space="preserve">domain extension</w:t>
      </w:r>
      <w:r>
        <w:t xml:space="preserve"> of the abstract </w:t>
      </w:r>
      <w:r>
        <w:rPr>
          <w:i/>
        </w:rPr>
        <w:t xml:space="preserve">OPC UA — xRegistry</w:t>
      </w:r>
      <w:r>
        <w:t xml:space="preserve"> base model — its registry, group and resource types are subtypes of the base </w:t>
      </w:r>
      <w:r>
        <w:rPr>
          <w:rStyle w:val="VARIABLE"/>
        </w:rPr>
        <w:t xml:space="preserve">RegistryType</w:t>
      </w:r>
      <w:r>
        <w:t xml:space="preserve">, </w:t>
      </w:r>
      <w:r>
        <w:rPr>
          <w:rStyle w:val="VARIABLE"/>
        </w:rPr>
        <w:t xml:space="preserve">GroupType</w:t>
      </w:r>
      <w:r>
        <w:t xml:space="preserve"> and </w:t>
      </w:r>
      <w:r>
        <w:rPr>
          <w:rStyle w:val="VARIABLE"/>
        </w:rPr>
        <w:t xml:space="preserve">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 xml:space="preserve">Labels</w:t>
      </w:r>
      <w:r>
        <w:t xml:space="preserve"> container's </w:t>
      </w:r>
      <w:r>
        <w:rPr>
          <w:rStyle w:val="VARIABLE"/>
        </w:rPr>
        <w:t xml:space="preserve">AddAttribute</w:t>
      </w:r>
      <w:r>
        <w:t xml:space="preserve">/</w:t>
      </w:r>
      <w:r>
        <w:rPr>
          <w:rStyle w:val="VARIABLE"/>
        </w:rPr>
        <w:t xml:space="preserve">RemoveAttribute</w:t>
      </w:r>
      <w:r>
        <w:t xml:space="preserve">), its auto-bootstrap behaviour, and its federation via </w:t>
      </w:r>
      <w:r>
        <w:rPr>
          <w:rStyle w:val="VARIABLE"/>
        </w:rPr>
        <w:t xml:space="preserve">ExpandedNodeId</w:t>
      </w:r>
      <w:r>
        <w:t xml:space="preserve">. Because the base OPC UA API is a first-class xRegistry binding, an OPC UA Schema Registry is </w:t>
      </w:r>
      <w:r>
        <w:rPr>
          <w:b/>
        </w:rPr>
        <w:t xml:space="preserve">discovered, downloaded, registered, browsed and federated the same way as an HTTP xRegistry Schema Registry</w:t>
      </w:r>
      <w:r>
        <w:t xml:space="preserve"> (</w:t>
      </w:r>
      <w:r>
        <w:t xml:space="preserve">§4.3</w:t>
      </w:r>
      <w:r>
        <w:t xml:space="preserve">): the two are peer bindings of the same registry model. This specification adds only what is specific to </w:t>
      </w:r>
      <w:r>
        <w:rPr>
          <w:i/>
        </w:rPr>
        <w:t xml:space="preserve">schemas</w:t>
      </w:r>
      <w:r>
        <w:t xml:space="preserve">.</w:t>
      </w:r>
    </w:p>
    <w:p w14:paraId="406CA9EF">
      <w:pPr>
        <w:pStyle w:val="PARAGRAPH"/>
      </w:pPr>
      <w:r>
        <w:t xml:space="preserve">The registry is a </w:t>
      </w:r>
      <w:r>
        <w:rPr>
          <w:b/>
        </w:rPr>
        <w:t xml:space="preserve">stand-alone server capability</w:t>
      </w:r>
      <w:r>
        <w:t xml:space="preserve">, decoupled from PubSub. It is exposed as a well-known object under the </w:t>
      </w:r>
      <w:r>
        <w:rPr>
          <w:b/>
        </w:rPr>
        <w:t xml:space="preserve">Server</w:t>
      </w:r>
      <w:r>
        <w:t xml:space="preserve"> object (</w:t>
      </w:r>
      <w:r>
        <w:fldChar w:fldCharType="begin"/>
      </w:r>
      <w:r>
        <w:instrText xml:space="preserve"> REF _Clause_c6_3 \r \h </w:instrText>
      </w:r>
      <w:r>
        <w:fldChar w:fldCharType="separate"/>
      </w:r>
      <w:r>
        <w:rPr>
          <w:noProof/>
        </w:rPr>
        <w:t xml:space="preserve">6.3</w:t>
      </w:r>
      <w:r>
        <w:fldChar w:fldCharType="end"/>
      </w:r>
      <w:r>
        <w:t xml:space="preserve">), so any Server — whether or not it implements Part 14 PubSub — can host, serve and federate schemas. PubSub is one </w:t>
      </w:r>
      <w:r>
        <w:rPr>
          <w:i/>
        </w:rPr>
        <w:t xml:space="preserve">consumer</w:t>
      </w:r>
      <w:r>
        <w:t xml:space="preserve"> of the registry, not a prerequisite: a Server that does support PubSub </w:t>
      </w:r>
      <w:r>
        <w:rPr>
          <w:b/>
        </w:rPr>
        <w:t xml:space="preserve">may</w:t>
      </w:r>
      <w:r>
        <w:t xml:space="preserve"> additionally reference the registry from its </w:t>
      </w:r>
      <w:r>
        <w:rPr>
          <w:rStyle w:val="VARIABLE"/>
        </w:rPr>
        <w:t xml:space="preserve">PublishSubscribe</w:t>
      </w:r>
      <w:r>
        <w:t xml:space="preserve"> object, and the optional PubSub-specific behaviour (DataSet schemas keyed to </w:t>
      </w:r>
      <w:r>
        <w:rPr>
          <w:rStyle w:val="VARIABLE"/>
        </w:rPr>
        <w:t xml:space="preserve">ConfigurationVersion</w:t>
      </w:r>
      <w:r>
        <w:t xml:space="preserve">, and the append-only schema evolution) is isolated in the </w:t>
      </w:r>
      <w:r>
        <w:rPr>
          <w:b/>
        </w:rPr>
        <w:t xml:space="preserve">PubSub DataSet schema profile</w:t>
      </w:r>
      <w:r>
        <w:t xml:space="preserve"> of Annex C.</w:t>
      </w:r>
    </w:p>
    <w:p w14:paraId="6A410034">
      <w:pPr>
        <w:pStyle w:val="PARAGRAPH"/>
      </w:pPr>
      <w:r>
        <w:t xml:space="preserve">The model is </w:t>
      </w:r>
      <w:r>
        <w:rPr>
          <w:b/>
        </w:rPr>
        <w:t xml:space="preserve">minimal first</w:t>
      </w:r>
      <w:r>
        <w:t xml:space="preserve">:</w:t>
      </w:r>
    </w:p>
    <w:p w14:paraId="78D0974B">
      <w:pPr>
        <w:pStyle w:val="ListBullet"/>
        <w:numPr>
          <w:ilvl w:val="0"/>
          <w:numId w:val="21"/>
        </w:numPr>
      </w:pPr>
      <w:r>
        <w:rPr>
          <w:b/>
        </w:rPr>
        <w:t xml:space="preserve">Download a schema (mandatory).</w:t>
      </w:r>
      <w:r>
        <w:t xml:space="preserve"> A consumer that received a schema-based message obtains the matching schema either by the one-Read </w:t>
      </w:r>
      <w:r>
        <w:rPr>
          <w:b/>
        </w:rPr>
        <w:t xml:space="preserve">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Pr>
          <w:noProof/>
        </w:rPr>
        <w:t xml:space="preserve">5.1</w:t>
      </w:r>
      <w:r>
        <w:fldChar w:fldCharType="end"/>
      </w:r>
      <w:r>
        <w:t xml:space="preserve">).</w:t>
      </w:r>
    </w:p>
    <w:p w14:paraId="7C425CA0">
      <w:pPr>
        <w:pStyle w:val="ListBullet"/>
        <w:numPr>
          <w:ilvl w:val="0"/>
          <w:numId w:val="21"/>
        </w:numPr>
      </w:pPr>
      <w:r>
        <w:rPr>
          <w:b/>
        </w:rPr>
        <w:t xml:space="preserve">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Pr>
          <w:noProof/>
        </w:rPr>
        <w:t xml:space="preserve">5.2</w:t>
      </w:r>
      <w:r>
        <w:fldChar w:fldCharType="end"/>
      </w:r>
      <w:r>
        <w:t xml:space="preserve">).</w:t>
      </w:r>
    </w:p>
    <w:p w14:paraId="35C5F283">
      <w:pPr>
        <w:pStyle w:val="ListBullet"/>
        <w:numPr>
          <w:ilvl w:val="0"/>
          <w:numId w:val="21"/>
        </w:numPr>
      </w:pPr>
      <w:r>
        <w:rPr>
          <w:b/>
        </w:rPr>
        <w:t xml:space="preserve">Materialize and serve the full registry (optional).</w:t>
      </w:r>
      <w:r>
        <w:t xml:space="preserve"> The schema groups, schemas and versions are materialized as a browsable xRegistry structure and served as the xRegistry API (</w:t>
      </w:r>
      <w:r>
        <w:t xml:space="preserve">§10</w:t>
      </w:r>
      <w:r>
        <w:t xml:space="preserve">), including to disconnected consumers and across federated registries — OPC UA or HTTP.</w:t>
      </w:r>
    </w:p>
    <w:p w14:paraId="36D81E50">
      <w:pPr>
        <w:pStyle w:val="PARAGRAPH"/>
      </w:pPr>
      <w:r>
        <w:t xml:space="preserve">The model has these goals:</w:t>
      </w:r>
    </w:p>
    <w:p w14:paraId="0AC88856">
      <w:pPr>
        <w:pStyle w:val="ListBullet"/>
        <w:numPr>
          <w:ilvl w:val="0"/>
          <w:numId w:val="21"/>
        </w:numPr>
      </w:pPr>
      <w:r>
        <w:t xml:space="preserve">define deterministic schema groups, schemas, versions, formats, content-types and metadata once for all schema-based OPC UA encodings;</w:t>
      </w:r>
    </w:p>
    <w:p w14:paraId="21125AC4">
      <w:pPr>
        <w:pStyle w:val="ListBullet"/>
        <w:numPr>
          <w:ilvl w:val="0"/>
          <w:numId w:val="21"/>
        </w:numPr>
      </w:pPr>
      <w:r>
        <w:t xml:space="preserve">let a decoder that holds only the on-wire </w:t>
      </w:r>
      <w:r>
        <w:rPr>
          <w:rStyle w:val="VARIABLE"/>
        </w:rPr>
        <w:t xml:space="preserve">SchemaId</w:t>
      </w:r>
      <w:r>
        <w:t xml:space="preserve"> bytes resolve the schema by a single Read of an Opaque SchemaId NodeId or a </w:t>
      </w:r>
      <w:r>
        <w:rPr>
          <w:rStyle w:val="VARIABLE"/>
        </w:rPr>
        <w:t xml:space="preserve">GetSchema</w:t>
      </w:r>
      <w:r>
        <w:t xml:space="preserve"> Method call;</w:t>
      </w:r>
    </w:p>
    <w:p w14:paraId="71B1D376">
      <w:pPr>
        <w:pStyle w:val="ListBullet"/>
        <w:numPr>
          <w:ilvl w:val="0"/>
          <w:numId w:val="21"/>
        </w:numPr>
      </w:pPr>
      <w:r>
        <w:t xml:space="preserve">define the ordered resolution flow a consumer follows from a received message to the concrete schema document;</w:t>
      </w:r>
    </w:p>
    <w:p w14:paraId="71787BF1">
      <w:pPr>
        <w:pStyle w:val="ListBullet"/>
        <w:numPr>
          <w:ilvl w:val="0"/>
          <w:numId w:val="21"/>
        </w:numPr>
      </w:pPr>
      <w:r>
        <w:t xml:space="preserve">be usable as a general schema registry independent of PubSub, while remaining a natural companion to PubSub setup and recovery where PubSub is present.</w:t>
      </w:r>
    </w:p>
    <w:p w14:paraId="3DB93604">
      <w:pPr>
        <w:pStyle w:val="PARAGRAPH"/>
      </w:pPr>
      <w:r>
        <w:t xml:space="preserve">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40D91F77">
      <w:pPr>
        <w:pStyle w:val="PARAGRAPH"/>
      </w:pPr>
      <w:r>
        <w:t xml:space="preserve">It is explicitly out of scope to re-specify the Avro, Arrow or JSON encodings themselves, the PubSub message framing, the abstract xRegistry model, or the xRegistry API. The abstract model is defined by </w:t>
      </w:r>
      <w:r>
        <w:rPr>
          <w:i/>
        </w:rPr>
        <w:t xml:space="preserve">OPC UA — xRegistry</w:t>
      </w:r>
      <w:r>
        <w:t xml:space="preserve"> and the OPC UA API for it by </w:t>
      </w:r>
      <w:r>
        <w:rPr>
          <w:i/>
        </w:rPr>
        <w:t xml:space="preserve">xRegistry — OPC UA API</w:t>
      </w:r>
      <w:r>
        <w:t xml:space="preserve">; this specification is a domain profile of them. The HTTP correspondence for readers familiar with the xRegistry HTTP binding is informative and confined to Annex D.</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xRegistry project</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49" w:name="UAPart1"/>
      <w:r>
        <w:t xml:space="preserve">OPC 10000-1, OPC Unified Architecture - Part 1: Overview and Concepts</w:t>
      </w:r>
      <w:bookmarkEnd w:id="449"/>
    </w:p>
    <w:p w14:paraId="6AD2C4ED">
      <w:pPr>
        <w:pStyle w:val="ReferenceDocuments"/>
      </w:pPr>
      <w:r>
        <w:t xml:space="preserve">http://www.opcfoundation.org/documents/10000-1/</w:t>
      </w:r>
    </w:p>
    <w:p w14:paraId="6FD2527B">
      <w:pPr>
        <w:pStyle w:val="ReferenceDocuments"/>
      </w:pPr>
      <w:bookmarkStart w:id="450" w:name="UAPart2"/>
      <w:r>
        <w:t xml:space="preserve">OPC 10000-2, OPC Unified Architecture - Part 2: Security Model</w:t>
      </w:r>
      <w:bookmarkEnd w:id="450"/>
    </w:p>
    <w:p w14:paraId="3D170781">
      <w:pPr>
        <w:pStyle w:val="ReferenceDocuments"/>
      </w:pPr>
      <w:r>
        <w:t xml:space="preserve">http://www.opcfoundation.org/documents/10000-2/</w:t>
      </w:r>
    </w:p>
    <w:p w14:paraId="0DF77927">
      <w:pPr>
        <w:pStyle w:val="ReferenceDocuments"/>
      </w:pPr>
      <w:bookmarkStart w:id="451" w:name="UAPart3"/>
      <w:r>
        <w:t xml:space="preserve">OPC 10000-3, OPC Unified Architecture - Part 3: Address Space Model</w:t>
      </w:r>
      <w:bookmarkEnd w:id="451"/>
    </w:p>
    <w:p w14:paraId="3C78FFE5">
      <w:pPr>
        <w:pStyle w:val="ReferenceDocuments"/>
      </w:pPr>
      <w:r>
        <w:t xml:space="preserve">http://www.opcfoundation.org/documents/10000-3/</w:t>
      </w:r>
    </w:p>
    <w:p w14:paraId="3F657DC6">
      <w:pPr>
        <w:pStyle w:val="ReferenceDocuments"/>
      </w:pPr>
      <w:bookmarkStart w:id="452" w:name="UAPart4"/>
      <w:r>
        <w:t xml:space="preserve">OPC 10000-4, OPC Unified Architecture - Part 4: Services</w:t>
      </w:r>
      <w:bookmarkEnd w:id="452"/>
    </w:p>
    <w:p w14:paraId="6730A53D">
      <w:pPr>
        <w:pStyle w:val="ReferenceDocuments"/>
      </w:pPr>
      <w:r>
        <w:t xml:space="preserve">http://www.opcfoundation.org/documents/10000-4/</w:t>
      </w:r>
    </w:p>
    <w:p w14:paraId="6CFFCBC8">
      <w:pPr>
        <w:pStyle w:val="ReferenceDocuments"/>
      </w:pPr>
      <w:bookmarkStart w:id="453" w:name="UAPart5"/>
      <w:r>
        <w:t xml:space="preserve">OPC 10000-5, OPC Unified Architecture - Part 5: Information Model</w:t>
      </w:r>
      <w:bookmarkEnd w:id="453"/>
    </w:p>
    <w:p w14:paraId="6BD99771">
      <w:pPr>
        <w:pStyle w:val="ReferenceDocuments"/>
      </w:pPr>
      <w:r>
        <w:t xml:space="preserve">http://www.opcfoundation.org/documents/10000-5/</w:t>
      </w:r>
    </w:p>
    <w:p w14:paraId="2B20AF8C">
      <w:pPr>
        <w:pStyle w:val="ReferenceDocuments"/>
      </w:pPr>
      <w:bookmarkStart w:id="454" w:name="UAPart6"/>
      <w:r>
        <w:t xml:space="preserve">OPC 10000-6, OPC Unified Architecture - Part 6: Mappings</w:t>
      </w:r>
      <w:bookmarkEnd w:id="454"/>
    </w:p>
    <w:p w14:paraId="57874050">
      <w:pPr>
        <w:pStyle w:val="ReferenceDocuments"/>
      </w:pPr>
      <w:r>
        <w:t xml:space="preserve">http://www.opcfoundation.org/documents/10000-6/</w:t>
      </w:r>
    </w:p>
    <w:p w14:paraId="15C4A750">
      <w:pPr>
        <w:pStyle w:val="ReferenceDocuments"/>
      </w:pPr>
      <w:bookmarkStart w:id="455" w:name="UAPart7"/>
      <w:r>
        <w:t xml:space="preserve">OPC 10000-7, OPC Unified Architecture - Part 7: Profiles</w:t>
      </w:r>
      <w:bookmarkEnd w:id="455"/>
    </w:p>
    <w:p w14:paraId="31ACFF0C">
      <w:pPr>
        <w:pStyle w:val="ReferenceDocuments"/>
      </w:pPr>
      <w:r>
        <w:t xml:space="preserve">http://www.opcfoundation.org/documents/10000-7/</w:t>
      </w:r>
    </w:p>
    <w:p w14:paraId="4D76427A">
      <w:pPr>
        <w:pStyle w:val="ReferenceDocuments"/>
      </w:pPr>
      <w:bookmarkStart w:id="456" w:name="UAPart12"/>
      <w:r>
        <w:t xml:space="preserve">OPC 10000-12, OPC Unified Architecture - Part 12: Discovery and Global Services</w:t>
      </w:r>
      <w:bookmarkEnd w:id="456"/>
    </w:p>
    <w:p w14:paraId="3F947831">
      <w:pPr>
        <w:pStyle w:val="ReferenceDocuments"/>
      </w:pPr>
      <w:r>
        <w:t xml:space="preserve">http://www.opcfoundation.org/documents/10000-12/</w:t>
      </w:r>
    </w:p>
    <w:p w14:paraId="4B1A03C5">
      <w:pPr>
        <w:pStyle w:val="ReferenceDocuments"/>
      </w:pPr>
      <w:bookmarkStart w:id="457" w:name="UAPart14"/>
      <w:r>
        <w:t xml:space="preserve">OPC 10000-14, OPC Unified Architecture - Part 14: PubSub</w:t>
      </w:r>
      <w:bookmarkEnd w:id="457"/>
    </w:p>
    <w:p w14:paraId="61EE0BCB">
      <w:pPr>
        <w:pStyle w:val="ReferenceDocuments"/>
      </w:pPr>
      <w:r>
        <w:t xml:space="preserve">http://www.opcfoundation.org/documents/10000-14/</w:t>
      </w:r>
    </w:p>
    <w:p w14:paraId="749F4E52">
      <w:pPr>
        <w:pStyle w:val="ReferenceDocuments"/>
      </w:pPr>
      <w:bookmarkStart w:id="458" w:name="UAPart20"/>
      <w:r>
        <w:t xml:space="preserve">OPC 10000-20, OPC Unified Architecture - Part 20: File Transfer</w:t>
      </w:r>
      <w:bookmarkEnd w:id="458"/>
    </w:p>
    <w:p w14:paraId="19709376">
      <w:pPr>
        <w:pStyle w:val="ReferenceDocuments"/>
      </w:pPr>
      <w:r>
        <w:t xml:space="preserve">http://www.opcfoundation.org/documents/10000-20/</w:t>
      </w:r>
    </w:p>
    <w:p w14:paraId="6700D0AA">
      <w:pPr>
        <w:pStyle w:val="ReferenceDocuments"/>
      </w:pPr>
      <w:bookmarkStart w:id="459" w:name="XREG"/>
      <w:r>
        <w:t xml:space="preserve">OPC UA for xRegistry, The abstract registry model of registries, groups and resources that this document extends; declared as a RequiredModel of its NodeSet.</w:t>
      </w:r>
      <w:bookmarkEnd w:id="459"/>
    </w:p>
    <w:p w14:paraId="56132168">
      <w:pPr>
        <w:pStyle w:val="ReferenceDocuments"/>
      </w:pPr>
      <w:bookmarkStart w:id="460" w:name="XREGSCHEMA"/>
      <w:r>
        <w:t xml:space="preserve">xRegistry Schema Registry Service, The schemagroups, schemas and versions model this document mirrors in OPC UA.</w:t>
      </w:r>
      <w:bookmarkEnd w:id="460"/>
    </w:p>
    <w:p w14:paraId="228C6C3C">
      <w:pPr>
        <w:pStyle w:val="ReferenceDocuments"/>
      </w:pPr>
      <w:r>
        <w:t xml:space="preserve">https://github.com/xregistry/spec</w:t>
      </w:r>
    </w:p>
    <w:p w14:paraId="61C386CB">
      <w:pPr>
        <w:pStyle w:val="ReferenceDocuments"/>
      </w:pPr>
      <w:bookmarkStart w:id="461" w:name="CLOUDEVENTS"/>
      <w:r>
        <w:t xml:space="preserve">CloudEvents, CloudEvents specification, whose dataschema attribute convention is reused for an optional on-wire schema reference.</w:t>
      </w:r>
      <w:bookmarkEnd w:id="461"/>
    </w:p>
    <w:p w14:paraId="58B11B66">
      <w:pPr>
        <w:pStyle w:val="ReferenceDocuments"/>
      </w:pPr>
      <w:r>
        <w:t xml:space="preserve">https://github.com/cloudevents/spec</w:t>
      </w:r>
    </w:p>
    <w:p w14:paraId="7BE15FFD" w14:textId="77777777" w:rsidR="00F95EC5" w:rsidRPr="00EC120D" w:rsidRDefault="00F95EC5" w:rsidP="00F95EC5">
      <w:pPr>
        <w:pStyle w:val="Heading1"/>
      </w:pPr>
      <w:bookmarkStart w:id="46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2"/>
    </w:p>
    <w:p w14:paraId="102C7103" w14:textId="77777777" w:rsidR="002A08F9" w:rsidRPr="00EC120D" w:rsidRDefault="002A08F9" w:rsidP="002A08F9">
      <w:pPr>
        <w:pStyle w:val="Heading2"/>
        <w:ind w:left="0" w:firstLine="0"/>
      </w:pPr>
      <w:bookmarkStart w:id="463" w:name="_Clause_c3_1"/>
      <w:bookmarkStart w:id="58" w:name="_Toc184116964"/>
      <w:r w:rsidRPr="00EC120D">
        <w:t>Overview</w:t>
      </w:r>
      <w:bookmarkEnd w:id="58"/>
      <w:bookmarkEnd w:id="463"/>
    </w:p>
    <w:p w14:paraId="40F7B99A" w14:textId="3BD15142" w:rsidR="00E12745" w:rsidRDefault="002A08F9" w:rsidP="00121B8E">
      <w:pPr>
        <w:pStyle w:val="Heading2"/>
        <w:ind w:left="0" w:firstLine="0"/>
      </w:pPr>
      <w:bookmarkStart w:id="46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Schema Registry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4"/>
    </w:p>
    <w:p w14:paraId="196CFA4B">
      <w:pPr>
        <w:pStyle w:val="PARAGRAPH"/>
      </w:pPr>
      <w:r>
        <w:t xml:space="preserve">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5"/>
    </w:p>
    <w:p w14:paraId="30B0FC23">
      <w:pPr>
        <w:pStyle w:val="TERM-number3"/>
      </w:pPr>
    </w:p>
    <w:p w14:paraId="6EF1C03A">
      <w:pPr>
        <w:pStyle w:val="TERM"/>
      </w:pPr>
      <w:r>
        <w:t xml:space="preserve">Schema Registry</w:t>
      </w:r>
    </w:p>
    <w:p w14:paraId="5880342A">
      <w:pPr>
        <w:pStyle w:val="TERM-definition"/>
      </w:pPr>
      <w:r>
        <w:t xml:space="preserve">The registry root, a subtype of the xRegistry </w:t>
      </w:r>
      <w:r>
        <w:rPr>
          <w:rStyle w:val="VARIABLE"/>
        </w:rPr>
        <w:t xml:space="preserve">RegistryType</w:t>
      </w:r>
      <w:r>
        <w:t xml:space="preserve">, exposed as the well-known </w:t>
      </w:r>
      <w:r>
        <w:rPr>
          <w:rStyle w:val="VARIABLE"/>
        </w:rPr>
        <w:t xml:space="preserve">SchemaRegistry</w:t>
      </w:r>
      <w:r>
        <w:t xml:space="preserve"> Object under the </w:t>
      </w:r>
      <w:r>
        <w:rPr>
          <w:rStyle w:val="VARIABLE"/>
        </w:rPr>
        <w:t xml:space="preserve">Server</w:t>
      </w:r>
      <w:r>
        <w:t xml:space="preserve"> object (</w:t>
      </w:r>
      <w:r>
        <w:rPr>
          <w:rStyle w:val="VARIABLE"/>
        </w:rPr>
        <w:t xml:space="preserve">i=2253</w:t>
      </w:r>
      <w:r>
        <w:t xml:space="preserve">).</w:t>
      </w:r>
    </w:p>
    <w:p w14:paraId="1A1C8A53">
      <w:pPr>
        <w:pStyle w:val="TERM-number3"/>
      </w:pPr>
    </w:p>
    <w:p w14:paraId="53BE9611">
      <w:pPr>
        <w:pStyle w:val="TERM"/>
      </w:pPr>
      <w:r>
        <w:t xml:space="preserve">Schema document</w:t>
      </w:r>
    </w:p>
    <w:p w14:paraId="29849280">
      <w:pPr>
        <w:pStyle w:val="TERM-definition"/>
      </w:pPr>
      <w:r>
        <w:t xml:space="preserve">A concrete Avro (</w:t>
      </w:r>
      <w:r>
        <w:rPr>
          <w:rStyle w:val="VARIABLE"/>
        </w:rPr>
        <w:t xml:space="preserve">.avsc</w:t>
      </w:r>
      <w:r>
        <w:t xml:space="preserve">), Apache Arrow Schema, or JSON Schema document describing an OPC UA DataType or DataSet in one encoding.</w:t>
      </w:r>
    </w:p>
    <w:p w14:paraId="0015EC7F">
      <w:pPr>
        <w:pStyle w:val="TERM-number3"/>
      </w:pPr>
    </w:p>
    <w:p w14:paraId="3A21BEEC">
      <w:pPr>
        <w:pStyle w:val="TERM"/>
      </w:pPr>
      <w:r>
        <w:t xml:space="preserve">Schema Group</w:t>
      </w:r>
    </w:p>
    <w:p w14:paraId="267823F6">
      <w:pPr>
        <w:pStyle w:val="TERM-definition"/>
      </w:pPr>
      <w:r>
        <w:t xml:space="preserve">A group folder for one OPC UA namespace URI, a subtype of the xRegistry </w:t>
      </w:r>
      <w:r>
        <w:rPr>
          <w:rStyle w:val="VARIABLE"/>
        </w:rPr>
        <w:t xml:space="preserve">GroupType</w:t>
      </w:r>
      <w:r>
        <w:t xml:space="preserve">, keyed by that namespace URI (an OPC UA domain convention; the generic xRegistry schema group imposes no such key).</w:t>
      </w:r>
    </w:p>
    <w:p w14:paraId="0D7CB810">
      <w:pPr>
        <w:pStyle w:val="TERM-number3"/>
      </w:pPr>
    </w:p>
    <w:p w14:paraId="20010749">
      <w:pPr>
        <w:pStyle w:val="TERM"/>
      </w:pPr>
      <w:r>
        <w:t xml:space="preserve">Schema / Schema file</w:t>
      </w:r>
    </w:p>
    <w:p w14:paraId="23F46C2D">
      <w:pPr>
        <w:pStyle w:val="TERM-definition"/>
      </w:pPr>
      <w:r>
        <w:t xml:space="preserve">One </w:t>
      </w:r>
      <w:r>
        <w:rPr>
          <w:rStyle w:val="VARIABLE"/>
        </w:rPr>
        <w:t xml:space="preserve">(DataType or PublishedDataSet, format)</w:t>
      </w:r>
      <w:r>
        <w:t xml:space="preserve"> schema document as a resource file, a subtype of the xRegistry </w:t>
      </w:r>
      <w:r>
        <w:rPr>
          <w:rStyle w:val="VARIABLE"/>
        </w:rPr>
        <w:t xml:space="preserve">ResourceType</w:t>
      </w:r>
      <w:r>
        <w:t xml:space="preserve">.</w:t>
      </w:r>
    </w:p>
    <w:p w14:paraId="6FDDCE51">
      <w:pPr>
        <w:pStyle w:val="TERM-number3"/>
      </w:pPr>
    </w:p>
    <w:p w14:paraId="79CAF5EC">
      <w:pPr>
        <w:pStyle w:val="TERM"/>
      </w:pPr>
      <w:r>
        <w:t xml:space="preserve">Schema Version / Version</w:t>
      </w:r>
    </w:p>
    <w:p w14:paraId="78833732">
      <w:pPr>
        <w:pStyle w:val="TERM-definition"/>
      </w:pPr>
      <w:r>
        <w:t xml:space="preserve">One concrete schema document. In the flat projection a schema file exposes its default (latest) version's document and </w:t>
      </w:r>
      <w:r>
        <w:rPr>
          <w:rStyle w:val="VARIABLE"/>
        </w:rPr>
        <w:t xml:space="preserve">VersionId</w:t>
      </w:r>
      <w:r>
        <w:t xml:space="preserve">; earlier versions, when kept, are sibling files linked by the xRegistry </w:t>
      </w:r>
      <w:r>
        <w:rPr>
          <w:rStyle w:val="VARIABLE"/>
        </w:rPr>
        <w:t xml:space="preserve">Ancestor</w:t>
      </w:r>
      <w:r>
        <w:t xml:space="preserve"> attribute and marked by </w:t>
      </w:r>
      <w:r>
        <w:rPr>
          <w:rStyle w:val="VARIABLE"/>
        </w:rPr>
        <w:t xml:space="preserve">IsDefault</w:t>
      </w:r>
      <w:r>
        <w:t xml:space="preserve">. For a DataSet in the PubSub profile a version is additionally correlated with a Part 14 </w:t>
      </w:r>
      <w:r>
        <w:rPr>
          <w:rStyle w:val="VARIABLE"/>
        </w:rPr>
        <w:t xml:space="preserve">ConfigurationVersion</w:t>
      </w:r>
      <w:r>
        <w:t xml:space="preserve"> (Annex C).</w:t>
      </w:r>
    </w:p>
    <w:p w14:paraId="26BCF03E">
      <w:pPr>
        <w:pStyle w:val="TERM-number3"/>
      </w:pPr>
    </w:p>
    <w:p w14:paraId="49463142">
      <w:pPr>
        <w:pStyle w:val="TERM"/>
      </w:pPr>
      <w:r>
        <w:t xml:space="preserve">Compatibility</w:t>
      </w:r>
    </w:p>
    <w:p w14:paraId="0C5DAF59">
      <w:pPr>
        <w:pStyle w:val="TERM-definition"/>
      </w:pPr>
      <w:r>
        <w:t xml:space="preserve">The xRegistry </w:t>
      </w:r>
      <w:r>
        <w:rPr>
          <w:rStyle w:val="VARIABLE"/>
        </w:rPr>
        <w:t xml:space="preserve">compatibility</w:t>
      </w:r>
      <w:r>
        <w:t xml:space="preserve"> mode a schema's versions adhere to (for example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w:t>
      </w:r>
      <w:r>
        <w:rPr>
          <w:rStyle w:val="VARIABLE"/>
        </w:rPr>
        <w:t xml:space="preserve">FULL</w:t>
      </w:r>
      <w:r>
        <w:t xml:space="preserve">); a change that breaks the mode starts a new schema rather than a new version.</w:t>
      </w:r>
    </w:p>
    <w:p w14:paraId="000A486B">
      <w:pPr>
        <w:pStyle w:val="TERM-number3"/>
      </w:pPr>
    </w:p>
    <w:p w14:paraId="7C1B3453">
      <w:pPr>
        <w:pStyle w:val="TERM"/>
      </w:pPr>
      <w:r>
        <w:t xml:space="preserve">Format</w:t>
      </w:r>
    </w:p>
    <w:p w14:paraId="288037B6">
      <w:pPr>
        <w:pStyle w:val="TERM-definition"/>
      </w:pPr>
      <w:r>
        <w:t xml:space="preserve">The xRegistry </w:t>
      </w:r>
      <w:r>
        <w:rPr>
          <w:rStyle w:val="VARIABLE"/>
        </w:rPr>
        <w:t xml:space="preserve">format</w:t>
      </w:r>
      <w:r>
        <w:t xml:space="preserve"> string identifying the schema language, for example </w:t>
      </w:r>
      <w:r>
        <w:rPr>
          <w:rStyle w:val="VARIABLE"/>
        </w:rPr>
        <w:t xml:space="preserve">Avro/1.11</w:t>
      </w:r>
      <w:r>
        <w:t xml:space="preserve">, </w:t>
      </w:r>
      <w:r>
        <w:rPr>
          <w:rStyle w:val="VARIABLE"/>
        </w:rPr>
        <w:t xml:space="preserve">ApacheArrow/1.0</w:t>
      </w:r>
      <w:r>
        <w:t xml:space="preserve"> or </w:t>
      </w:r>
      <w:r>
        <w:rPr>
          <w:rStyle w:val="VARIABLE"/>
        </w:rPr>
        <w:t xml:space="preserve">JsonSchema/2020-12</w:t>
      </w:r>
      <w:r>
        <w:t xml:space="preserve"> (xRegistry format naming, e.g. </w:t>
      </w:r>
      <w:r>
        <w:rPr>
          <w:rStyle w:val="VARIABLE"/>
        </w:rPr>
        <w:t xml:space="preserve">Avro/1.9</w:t>
      </w:r>
      <w:r>
        <w:t xml:space="preserve">, </w:t>
      </w:r>
      <w:r>
        <w:rPr>
          <w:rStyle w:val="VARIABLE"/>
        </w:rPr>
        <w:t xml:space="preserve">Protobuf/3</w:t>
      </w:r>
      <w:r>
        <w:t xml:space="preserve">, </w:t>
      </w:r>
      <w:r>
        <w:rPr>
          <w:rStyle w:val="VARIABLE"/>
        </w:rPr>
        <w:t xml:space="preserve">JsonSchema/draft-07</w:t>
      </w:r>
      <w:r>
        <w:t xml:space="preserve">, </w:t>
      </w:r>
      <w:r>
        <w:rPr>
          <w:rStyle w:val="VARIABLE"/>
        </w:rPr>
        <w:t xml:space="preserve">XSD/1.1</w:t>
      </w:r>
      <w:r>
        <w:t xml:space="preserve">; applications MAY define extension formats such as </w:t>
      </w:r>
      <w:r>
        <w:rPr>
          <w:rStyle w:val="VARIABLE"/>
        </w:rPr>
        <w:t xml:space="preserve">ApacheArrow/1.0</w:t>
      </w:r>
      <w:r>
        <w:t xml:space="preserve">).</w:t>
      </w:r>
    </w:p>
    <w:p w14:paraId="6325E0F0">
      <w:pPr>
        <w:pStyle w:val="TERM-number3"/>
      </w:pPr>
    </w:p>
    <w:p w14:paraId="26EFF10A">
      <w:pPr>
        <w:pStyle w:val="TERM"/>
      </w:pPr>
      <w:r>
        <w:t xml:space="preserve">Content type</w:t>
      </w:r>
    </w:p>
    <w:p w14:paraId="748673AB">
      <w:pPr>
        <w:pStyle w:val="TERM-definition"/>
      </w:pPr>
      <w:r>
        <w:t xml:space="preserve">The media type of a schema document or a message/transport payload. The schema document media type is recorded on the schema file; the message/transport content type selects the format during resolution.</w:t>
      </w:r>
    </w:p>
    <w:p w14:paraId="04040550">
      <w:pPr>
        <w:pStyle w:val="TERM-number3"/>
      </w:pPr>
    </w:p>
    <w:p w14:paraId="0401B3BA">
      <w:pPr>
        <w:pStyle w:val="TERM"/>
      </w:pPr>
      <w:r>
        <w:t xml:space="preserve">SchemaId</w:t>
      </w:r>
    </w:p>
    <w:p w14:paraId="0258EAEC">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 xml:space="preserve">SchemaIdAlg</w:t>
      </w:r>
      <w:r>
        <w:t xml:space="preserve"> and the per-format fingerprint provider is pluggable (registered by dependency injection).</w:t>
      </w:r>
    </w:p>
    <w:p w14:paraId="246DE3DF">
      <w:pPr>
        <w:pStyle w:val="TERM-number3"/>
      </w:pPr>
    </w:p>
    <w:p w14:paraId="33378E0E">
      <w:pPr>
        <w:pStyle w:val="TERM"/>
      </w:pPr>
      <w:r>
        <w:t xml:space="preserve">SchemaId NodeId</w:t>
      </w:r>
    </w:p>
    <w:p w14:paraId="7F6BE573">
      <w:pPr>
        <w:pStyle w:val="TERM-definition"/>
      </w:pPr>
      <w:r>
        <w:t xml:space="preserve">An Opaque NodeId in the Schema Registry namespace whose Identifier bytes are exactly the raw SchemaId bytes, addressing the schema document for a one-Read fetch.</w:t>
      </w:r>
    </w:p>
    <w:p w14:paraId="18E6580C">
      <w:pPr>
        <w:pStyle w:val="TERM-number3"/>
      </w:pPr>
    </w:p>
    <w:p w14:paraId="242A22C6">
      <w:pPr>
        <w:pStyle w:val="TERM"/>
      </w:pPr>
      <w:r>
        <w:t xml:space="preserve">PubSub DataSet schema profile</w:t>
      </w:r>
    </w:p>
    <w:p w14:paraId="6A2564BD">
      <w:pPr>
        <w:pStyle w:val="TERM-definition"/>
      </w:pPr>
      <w:r>
        <w:t xml:space="preserve">The optional set of behaviours (Annex C) a Server that also implements Part 14 PubSub applies: DataSet schemas keyed to </w:t>
      </w:r>
      <w:r>
        <w:rPr>
          <w:rStyle w:val="VARIABLE"/>
        </w:rPr>
        <w:t xml:space="preserve">ConfigurationVersion</w:t>
      </w:r>
      <w:r>
        <w:t xml:space="preserve">,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466" w:name="_Clause_c3_4"/>
      <w:bookmarkStart w:id="87" w:name="_Toc184116967"/>
      <w:r w:rsidRPr="00EC120D">
        <w:t>Conventions used in this document</w:t>
      </w:r>
      <w:bookmarkEnd w:id="84"/>
      <w:bookmarkEnd w:id="85"/>
      <w:bookmarkEnd w:id="86"/>
      <w:bookmarkEnd w:id="87"/>
      <w:bookmarkEnd w:id="46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Schema Registry and OPC UA</w:t>
      </w:r>
      <w:r w:rsidRPr="00EC120D">
        <w:rPr>
          <w:color w:val="FF0000"/>
        </w:rPr>
        <w:t xml:space="preserve"/>
      </w:r>
      <w:r w:rsidRPr="00EC120D">
        <w:t/>
      </w:r>
      <w:bookmarkEnd w:id="187"/>
      <w:bookmarkEnd w:id="188"/>
      <w:bookmarkEnd w:id="189"/>
      <w:bookmarkEnd w:id="467"/>
    </w:p>
    <w:p w14:paraId="5E4E1B10" w14:textId="77777777" w:rsidR="00F95EC5" w:rsidRPr="00EC120D" w:rsidRDefault="00831FE3" w:rsidP="00F95EC5">
      <w:pPr>
        <w:pStyle w:val="Heading2"/>
        <w:ind w:left="0" w:firstLine="0"/>
      </w:pPr>
      <w:bookmarkStart w:id="468" w:name="_Clause_c4_1"/>
      <w:bookmarkStart w:id="190" w:name="_Toc442691850"/>
      <w:bookmarkStart w:id="191" w:name="_Toc29911975"/>
      <w:bookmarkStart w:id="192" w:name="_Toc184116979"/>
      <w:r w:rsidRPr="00EC120D">
        <w:t xml:space="preserve">Introduction to Schema Registry</w:t>
      </w:r>
      <w:bookmarkEnd w:id="190"/>
      <w:r w:rsidRPr="00EC120D">
        <w:rPr>
          <w:color w:val="FF0000"/>
        </w:rPr>
        <w:t/>
      </w:r>
      <w:bookmarkEnd w:id="191"/>
      <w:bookmarkEnd w:id="192"/>
      <w:bookmarkEnd w:id="468"/>
    </w:p>
    <w:p w14:paraId="59BD7E05">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to turn a fingerprint back into a schema document, and it has to do so for every producer a consumer might meet.</w:t>
      </w:r>
    </w:p>
    <w:p w14:paraId="35956AED">
      <w:pPr>
        <w:pStyle w:val="PARAGRAPH"/>
      </w:pPr>
      <w:r>
        <w:t xml:space="preserve">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01E1851B">
      <w:pPr>
        <w:pStyle w:val="PARAGRAPH"/>
      </w:pPr>
      <w:r>
        <w:t xml:space="preserve">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46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6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Schema Registry</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0" w:name="_Clause_c5"/>
      <w:bookmarkStart w:id="217" w:name="_Toc184116984"/>
      <w:r w:rsidRPr="00EC120D">
        <w:t xml:space="preserve">Use </w:t>
      </w:r>
      <w:r w:rsidR="00BE7277" w:rsidRPr="00EC120D">
        <w:t>c</w:t>
      </w:r>
      <w:r w:rsidRPr="00EC120D">
        <w:t>ases</w:t>
      </w:r>
      <w:bookmarkEnd w:id="217"/>
      <w:bookmarkEnd w:id="470"/>
    </w:p>
    <w:p w14:paraId="0FC47EBE">
      <w:pPr>
        <w:pStyle w:val="Heading2"/>
      </w:pPr>
      <w:bookmarkStart w:id="471" w:name="_Clause_c5_1"/>
      <w:r>
        <w:t xml:space="preserve">Downloading a schema</w:t>
      </w:r>
      <w:bookmarkEnd w:id="471"/>
    </w:p>
    <w:p w14:paraId="384D6C6C">
      <w:pPr>
        <w:pStyle w:val="PARAGRAPH"/>
      </w:pPr>
      <w:r>
        <w:t xml:space="preserve">A consumer that received a schema-based message obtains the matching schema document in one of two ways.</w:t>
      </w:r>
    </w:p>
    <w:p w14:paraId="319219AE">
      <w:pPr>
        <w:pStyle w:val="PARAGRAPH"/>
      </w:pPr>
      <w:r>
        <w:rPr>
          <w:b/>
        </w:rPr>
        <w:t xml:space="preserve">SchemaId fast path (preferred for decoders).</w:t>
      </w:r>
      <w:r>
        <w:t xml:space="preserve"> When the message carries an on-wire </w:t>
      </w:r>
      <w:r>
        <w:rPr>
          <w:b/>
        </w:rPr>
        <w:t xml:space="preserve">SchemaId</w:t>
      </w:r>
      <w:r>
        <w:t xml:space="preserve">, the consumer constructs the Opaque SchemaId NodeId (</w:t>
      </w:r>
      <w:r>
        <w:fldChar w:fldCharType="begin"/>
      </w:r>
      <w:r>
        <w:instrText xml:space="preserve"> REF _Clause_c6_6 \r \h </w:instrText>
      </w:r>
      <w:r>
        <w:fldChar w:fldCharType="separate"/>
      </w:r>
      <w:r>
        <w:rPr>
          <w:noProof/>
        </w:rPr>
        <w:t xml:space="preserve">6.6</w:t>
      </w:r>
      <w:r>
        <w:fldChar w:fldCharType="end"/>
      </w:r>
      <w:r>
        <w:t xml:space="preserve">) from the raw SchemaId bytes and performs one </w:t>
      </w:r>
      <w:r>
        <w:rPr>
          <w:rStyle w:val="VARIABLE"/>
        </w:rPr>
        <w:t xml:space="preserve">Read</w:t>
      </w:r>
      <w:r>
        <w:t xml:space="preserve"> of its Value Attribute; the returned ByteString is the schema document. Equivalently it calls </w:t>
      </w:r>
      <w:r>
        <w:rPr>
          <w:rStyle w:val="VARIABLE"/>
        </w:rPr>
        <w:t xml:space="preserve">GetSchema(SchemaId)</w:t>
      </w:r>
      <w:r>
        <w:t xml:space="preserve"> on the </w:t>
      </w:r>
      <w:r>
        <w:rPr>
          <w:rStyle w:val="VARIABLE"/>
        </w:rPr>
        <w:t xml:space="preserve">SchemaRegistry</w:t>
      </w:r>
      <w:r>
        <w:t xml:space="preserve"> Object (</w:t>
      </w:r>
      <w:r>
        <w:fldChar w:fldCharType="begin"/>
      </w:r>
      <w:r>
        <w:instrText xml:space="preserve"> REF _Clause_c6_3 \r \h </w:instrText>
      </w:r>
      <w:r>
        <w:fldChar w:fldCharType="separate"/>
      </w:r>
      <w:r>
        <w:rPr>
          <w:noProof/>
        </w:rPr>
        <w:t xml:space="preserve">6.3</w:t>
      </w:r>
      <w:r>
        <w:fldChar w:fldCharType="end"/>
      </w:r>
      <w:r>
        <w:t xml:space="preserve">). No Browse, label search or fingerprint recomputation is required. This is the schema-registry fast path referred to by the base model's </w:t>
      </w:r>
      <w:r>
        <w:t xml:space="preserve">§5.1</w:t>
      </w:r>
      <w:r>
        <w:t xml:space="preserve">.</w:t>
      </w:r>
    </w:p>
    <w:p w14:paraId="1257CC79">
      <w:pPr>
        <w:pStyle w:val="PARAGRAPH"/>
      </w:pPr>
      <w:r>
        <w:rPr>
          <w:b/>
        </w:rPr>
        <w:t xml:space="preserve">Generic file read.</w:t>
      </w:r>
      <w:r>
        <w:t xml:space="preserve"> Otherwise the consumer browses to the schema file — the </w:t>
      </w:r>
      <w:r>
        <w:rPr>
          <w:rStyle w:val="VARIABLE"/>
        </w:rPr>
        <w:t xml:space="preserve">SchemaFileType</w:t>
      </w:r>
      <w:r>
        <w:t xml:space="preserve"> in the namespace's </w:t>
      </w:r>
      <w:r>
        <w:rPr>
          <w:rStyle w:val="VARIABLE"/>
        </w:rPr>
        <w:t xml:space="preserve">SchemaGroup</w:t>
      </w:r>
      <w:r>
        <w:t xml:space="preserve"> — and reads it with the standard FileType Methods (base </w:t>
      </w:r>
      <w:r>
        <w:fldChar w:fldCharType="begin"/>
      </w:r>
      <w:r>
        <w:instrText xml:space="preserve"> REF _Clause_c5_1 \r \h </w:instrText>
      </w:r>
      <w:r>
        <w:fldChar w:fldCharType="separate"/>
      </w:r>
      <w:r>
        <w:rPr>
          <w:noProof/>
        </w:rPr>
        <w:t xml:space="preserve">5.1</w:t>
      </w:r>
      <w:r>
        <w:fldChar w:fldCharType="end"/>
      </w:r>
      <w:r>
        <w:t xml:space="preserve">): </w:t>
      </w:r>
      <w:r>
        <w:rPr>
          <w:rStyle w:val="VARIABLE"/>
        </w:rPr>
        <w:t xml:space="preserve">Open(mode=Read)</w:t>
      </w:r>
      <w:r>
        <w:t xml:space="preserve"> → </w:t>
      </w:r>
      <w:r>
        <w:rPr>
          <w:rStyle w:val="VARIABLE"/>
        </w:rPr>
        <w:t xml:space="preserve">Read</w:t>
      </w:r>
      <w:r>
        <w:t xml:space="preserve"> → </w:t>
      </w:r>
      <w:r>
        <w:rPr>
          <w:rStyle w:val="VARIABLE"/>
        </w:rPr>
        <w:t xml:space="preserve">Close</w:t>
      </w:r>
      <w:r>
        <w:t xml:space="preserve">.</w:t>
      </w:r>
    </w:p>
    <w:p w14:paraId="06F8D527">
      <w:pPr>
        <w:pStyle w:val="Heading2"/>
      </w:pPr>
      <w:bookmarkStart w:id="472" w:name="_Clause_c5_2"/>
      <w:r>
        <w:t xml:space="preserve">Registering a schema</w:t>
      </w:r>
      <w:bookmarkEnd w:id="472"/>
    </w:p>
    <w:p w14:paraId="5580351D">
      <w:pPr>
        <w:pStyle w:val="PARAGRAPH"/>
      </w:pPr>
      <w:r>
        <w:t xml:space="preserve">A writer registers a schema by creating a file in the target schema group and writing the document bytes, exactly as in the base model (base </w:t>
      </w:r>
      <w:r>
        <w:t xml:space="preserve">§5.2</w:t>
      </w:r>
      <w:r>
        <w:t xml:space="preserve">):</w:t>
      </w:r>
    </w:p>
    <w:p w14:paraId="66D83600">
      <w:pPr>
        <w:pStyle w:val="ListNumber"/>
        <w:numPr>
          <w:ilvl w:val="0"/>
          <w:numId w:val="21"/>
        </w:numPr>
      </w:pPr>
      <w:r>
        <w:rPr>
          <w:rStyle w:val="VARIABLE"/>
        </w:rPr>
        <w:t xml:space="preserve">CreateResource(ResourceId, VersionId, RequestFileOpen = true)</w:t>
      </w:r>
      <w:r>
        <w:t xml:space="preserve"> on the target </w:t>
      </w:r>
      <w:r>
        <w:rPr>
          <w:rStyle w:val="VARIABLE"/>
        </w:rPr>
        <w:t xml:space="preserve">SchemaGroup</w:t>
      </w:r>
      <w:r>
        <w:t xml:space="preserve"> folder (or </w:t>
      </w:r>
      <w:r>
        <w:rPr>
          <w:rStyle w:val="VARIABLE"/>
        </w:rPr>
        <w:t xml:space="preserve">CreateGroup</w:t>
      </w:r>
      <w:r>
        <w:t xml:space="preserve"> first on the </w:t>
      </w:r>
      <w:r>
        <w:rPr>
          <w:rStyle w:val="VARIABLE"/>
        </w:rPr>
        <w:t xml:space="preserve">SchemaRegistry</w:t>
      </w:r>
      <w:r>
        <w:t xml:space="preserve"> root to create a new namespace group) → the new </w:t>
      </w:r>
      <w:r>
        <w:rPr>
          <w:rStyle w:val="VARIABLE"/>
        </w:rPr>
        <w:t xml:space="preserve">SchemaFileType</w:t>
      </w:r>
      <w:r>
        <w:t xml:space="preserve"> file's </w:t>
      </w:r>
      <w:r>
        <w:rPr>
          <w:rStyle w:val="VARIABLE"/>
        </w:rPr>
        <w:t xml:space="preserve">NodeId</w:t>
      </w:r>
      <w:r>
        <w:t xml:space="preserve">, the assigned </w:t>
      </w:r>
      <w:r>
        <w:rPr>
          <w:rStyle w:val="VARIABLE"/>
        </w:rPr>
        <w:t xml:space="preserve">VersionId</w:t>
      </w:r>
      <w:r>
        <w:t xml:space="preserve">, and a write </w:t>
      </w:r>
      <w:r>
        <w:rPr>
          <w:rStyle w:val="VARIABLE"/>
        </w:rPr>
        <w:t xml:space="preserve">fileHandle</w:t>
      </w:r>
      <w:r>
        <w:t xml:space="preserve">. A new version of an existing schema is registered by passing the same </w:t>
      </w:r>
      <w:r>
        <w:rPr>
          <w:rStyle w:val="VARIABLE"/>
        </w:rPr>
        <w:t xml:space="preserve">ResourceId</w:t>
      </w:r>
      <w:r>
        <w:t xml:space="preserve"> with a new (or empty, server-assigned) </w:t>
      </w:r>
      <w:r>
        <w:rPr>
          <w:rStyle w:val="VARIABLE"/>
        </w:rPr>
        <w:t xml:space="preserve">VersionId</w:t>
      </w:r>
      <w:r>
        <w:t xml:space="preserve">, which creates a sibling version file. The idempotent </w:t>
      </w:r>
      <w:r>
        <w:rPr>
          <w:rStyle w:val="VARIABLE"/>
        </w:rPr>
        <w:t xml:space="preserve">GetOrCreateResource</w:t>
      </w:r>
      <w:r>
        <w:t xml:space="preserve">/</w:t>
      </w:r>
      <w:r>
        <w:rPr>
          <w:rStyle w:val="VARIABLE"/>
        </w:rPr>
        <w:t xml:space="preserve">GetOrCreateGroup</w:t>
      </w:r>
      <w:r>
        <w:t xml:space="preserve"> collapse the existence-check-then-create into a single call.</w:t>
      </w:r>
    </w:p>
    <w:p w14:paraId="09740C71">
      <w:pPr>
        <w:pStyle w:val="ListNumber"/>
        <w:numPr>
          <w:ilvl w:val="0"/>
          <w:numId w:val="21"/>
        </w:numPr>
      </w:pPr>
      <w:r>
        <w:t xml:space="preserve">one or more </w:t>
      </w:r>
      <w:r>
        <w:rPr>
          <w:rStyle w:val="VARIABLE"/>
        </w:rPr>
        <w:t xml:space="preserve">Write(fileHandle, data)</w:t>
      </w:r>
      <w:r>
        <w:t xml:space="preserve"> with the schema document bytes.</w:t>
      </w:r>
    </w:p>
    <w:p w14:paraId="3D3F5F18">
      <w:pPr>
        <w:pStyle w:val="ListNumber"/>
        <w:numPr>
          <w:ilvl w:val="0"/>
          <w:numId w:val="21"/>
        </w:numPr>
      </w:pPr>
      <w:r>
        <w:rPr>
          <w:rStyle w:val="VARIABLE"/>
        </w:rPr>
        <w:t xml:space="preserve">Close(fileHandle)</w:t>
      </w:r>
      <w:r>
        <w:t xml:space="preserve">.</w:t>
      </w:r>
    </w:p>
    <w:p w14:paraId="2701C1CE">
      <w:pPr>
        <w:pStyle w:val="PARAGRAPH"/>
      </w:pPr>
      <w:r>
        <w:t xml:space="preserve">On </w:t>
      </w:r>
      <w:r>
        <w:rPr>
          <w:rStyle w:val="VARIABLE"/>
        </w:rPr>
        <w:t xml:space="preserve">Close</w:t>
      </w:r>
      <w:r>
        <w:t xml:space="preserve"> the server </w:t>
      </w:r>
      <w:r>
        <w:rPr>
          <w:b/>
        </w:rPr>
        <w:t xml:space="preserve">auto-bootstraps</w:t>
      </w:r>
      <w:r>
        <w:t xml:space="preserve"> the schema-specific metadata in addition to the base attributes (</w:t>
      </w:r>
      <w:r>
        <w:t xml:space="preserve">§10.1</w:t>
      </w:r>
      <w:r>
        <w:t xml:space="preserve">): it computes the </w:t>
      </w:r>
      <w:r>
        <w:rPr>
          <w:rStyle w:val="VARIABLE"/>
        </w:rPr>
        <w:t xml:space="preserve">SchemaId</w:t>
      </w:r>
      <w:r>
        <w:t xml:space="preserve"> and </w:t>
      </w:r>
      <w:r>
        <w:rPr>
          <w:rStyle w:val="VARIABLE"/>
        </w:rPr>
        <w:t xml:space="preserve">SchemaIdAlg</w:t>
      </w:r>
      <w:r>
        <w:t xml:space="preserve"> from the document per the encoding mapping, sets </w:t>
      </w:r>
      <w:r>
        <w:rPr>
          <w:rStyle w:val="VARIABLE"/>
        </w:rPr>
        <w:t xml:space="preserve">Format</w:t>
      </w:r>
      <w:r>
        <w:t xml:space="preserve">/</w:t>
      </w:r>
      <w:r>
        <w:rPr>
          <w:rStyle w:val="VARIABLE"/>
        </w:rPr>
        <w:t xml:space="preserve">ContentType</w:t>
      </w:r>
      <w:r>
        <w:t xml:space="preserve">, records </w:t>
      </w:r>
      <w:r>
        <w:rPr>
          <w:rStyle w:val="VARIABLE"/>
        </w:rPr>
        <w:t xml:space="preserve">ModelVersion</w:t>
      </w:r>
      <w:r>
        <w:t xml:space="preserve"> (and, for a DataSet schema, </w:t>
      </w:r>
      <w:r>
        <w:rPr>
          <w:rStyle w:val="VARIABLE"/>
        </w:rPr>
        <w:t xml:space="preserve">ConfigurationVersion</w:t>
      </w:r>
      <w:r>
        <w:t xml:space="preserve">) when known, and makes the document reachable by its Opaque SchemaId NodeId. A read-only registry (a published catalogue or a TTL mirror) need not expose </w:t>
      </w:r>
      <w:r>
        <w:rPr>
          <w:rStyle w:val="VARIABLE"/>
        </w:rPr>
        <w:t xml:space="preserve">CreateResource</w:t>
      </w:r>
      <w:r>
        <w:t xml:space="preserve">.</w:t>
      </w:r>
    </w:p>
    <w:p w14:paraId="1C9E1362" w14:textId="11C9A06E" w:rsidR="000E4B7A" w:rsidRPr="00EC120D" w:rsidRDefault="000E4B7A" w:rsidP="000E4B7A">
      <w:pPr>
        <w:pStyle w:val="Heading1"/>
      </w:pPr>
      <w:bookmarkStart w:id="473" w:name="_Clause_c6"/>
      <w:bookmarkStart w:id="218" w:name="_Toc442691855"/>
      <w:bookmarkStart w:id="219" w:name="_Toc29911984"/>
      <w:bookmarkStart w:id="220" w:name="_Toc184116985"/>
      <w:r w:rsidRPr="00EC120D">
        <w:rPr>
          <w:color w:val="FF0000"/>
        </w:rPr>
        <w:lastRenderedPageBreak/>
        <w:t>Schema Registry information model overview</w:t>
      </w:r>
      <w:r w:rsidRPr="00EC120D">
        <w:t xml:space="preserve"/>
      </w:r>
      <w:bookmarkEnd w:id="218"/>
      <w:bookmarkEnd w:id="219"/>
      <w:bookmarkEnd w:id="220"/>
      <w:bookmarkEnd w:id="473"/>
    </w:p>
    <w:p w14:paraId="794E96CA">
      <w:pPr>
        <w:pStyle w:val="PARAGRAPH"/>
      </w:pPr>
      <w:r>
        <w:t xml:space="preserve">A Schema Registry is an xRegistry (per </w:t>
      </w:r>
      <w:r>
        <w:rPr>
          <w:i/>
        </w:rPr>
        <w:t xml:space="preserve">OPC UA — xRegistry</w:t>
      </w:r>
      <w:r>
        <w:t xml:space="preserve">) whose groups are OPC UA namespaces and whose resources are schema documents. Because groups are folders and each schema document is a </w:t>
      </w:r>
      <w:r>
        <w:rPr>
          <w:rStyle w:val="VARIABLE"/>
        </w:rPr>
        <w:t xml:space="preserve">FileType</w:t>
      </w:r>
      <w:r>
        <w:t xml:space="preserve"> file, the registry </w:t>
      </w:r>
      <w:r>
        <w:rPr>
          <w:i/>
        </w:rPr>
        <w:t xml:space="preserve">is</w:t>
      </w:r>
      <w:r>
        <w:t xml:space="preserve"> a browsable folder tree of files:</w:t>
      </w:r>
    </w:p>
    <w:p w14:paraId="05804952">
      <w:pPr>
        <w:pStyle w:val="FIGURE"/>
      </w:pPr>
      <w:r>
        <w:object w:dxaOrig="8280" w:dyaOrig="8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00pt;height:441.00pt" o:ole="">
            <v:imagedata r:id="rId130" o:title=""/>
          </v:shape>
          <o:OLEObject Type="Embed" ProgID="PowerPoint.Show.12" ShapeID="_x0000_i1025" DrawAspect="Content" ObjectID="_1900000001" r:id="rId131"/>
        </w:object>
      </w:r>
    </w:p>
    <w:p w14:paraId="5494BA76">
      <w:pPr>
        <w:pStyle w:val="FIGURE-title"/>
      </w:pPr>
      <w:bookmarkStart w:id="474" w:name="_Fig_fig_sreg_shape"/>
      <w:r>
        <w:t xml:space="preserve">Figure </w:t>
      </w:r>
      <w:r>
        <w:fldChar w:fldCharType="begin"/>
      </w:r>
      <w:r>
        <w:instrText xml:space="preserve"> SEQ Figure \* ARABIC </w:instrText>
      </w:r>
      <w:r>
        <w:fldChar w:fldCharType="separate"/>
      </w:r>
      <w:r>
        <w:rPr>
          <w:noProof/>
        </w:rPr>
        <w:t xml:space="preserve">1</w:t>
      </w:r>
      <w:r>
        <w:fldChar w:fldCharType="end"/>
      </w:r>
      <w:r>
        <w:t xml:space="preserve"> – The schema registry in the address space</w:t>
      </w:r>
      <w:bookmarkEnd w:id="474"/>
    </w:p>
    <w:p w14:paraId="67B9A63C">
      <w:pPr>
        <w:pStyle w:val="PARAGRAPH"/>
      </w:pPr>
      <w:r>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 xml:space="preserve">Server</w:t>
      </w:r>
      <w:r>
        <w:t xml:space="preserve"> object and is present whether or not the Server implements PubSub; a PubSub-capable Server may add the dashed optional reference from </w:t>
      </w:r>
      <w:r>
        <w:rPr>
          <w:rStyle w:val="VARIABLE"/>
        </w:rPr>
        <w:t xml:space="preserve">PublishSubscribe</w:t>
      </w:r>
      <w:r>
        <w:t xml:space="preserve"> so PubSub clients discover it in the familiar place.</w:t>
      </w:r>
    </w:p>
    <w:p w14:paraId="02D21B8A">
      <w:pPr>
        <w:pStyle w:val="PARAGRAPH"/>
      </w:pPr>
      <w:r>
        <w:t xml:space="preserve">Everything the base model provides applies unchanged: the three representations (</w:t>
      </w:r>
      <w:r>
        <w:t xml:space="preserve">§4.2</w:t>
      </w:r>
      <w:r>
        <w:t xml:space="preserve"> of the base), auto-bootstrap on registration (</w:t>
      </w:r>
      <w:r>
        <w:t xml:space="preserve">§6.5</w:t>
      </w:r>
      <w:r>
        <w:t xml:space="preserve"> of the base), the </w:t>
      </w:r>
      <w:r>
        <w:rPr>
          <w:rStyle w:val="VARIABLE"/>
        </w:rPr>
        <w:t xml:space="preserve">Labels</w:t>
      </w:r>
      <w:r>
        <w:t xml:space="preserve"> container with </w:t>
      </w:r>
      <w:r>
        <w:rPr>
          <w:rStyle w:val="VARIABLE"/>
        </w:rPr>
        <w:t xml:space="preserve">AddAttribute</w:t>
      </w:r>
      <w:r>
        <w:t xml:space="preserve">/</w:t>
      </w:r>
      <w:r>
        <w:rPr>
          <w:rStyle w:val="VARIABLE"/>
        </w:rPr>
        <w:t xml:space="preserve">RemoveAttribute</w:t>
      </w:r>
      <w:r>
        <w:t xml:space="preserve"> on each entity (</w:t>
      </w:r>
      <w:r>
        <w:t xml:space="preserve">§6.6</w:t>
      </w:r>
      <w:r>
        <w:t xml:space="preserve"> of the base), and federation to schemas hosted by another registry via </w:t>
      </w:r>
      <w:r>
        <w:rPr>
          <w:rStyle w:val="VARIABLE"/>
        </w:rPr>
        <w:t xml:space="preserve">ExpandedNodeId</w:t>
      </w:r>
      <w:r>
        <w:t xml:space="preserve"> (</w:t>
      </w:r>
      <w:r>
        <w:t xml:space="preserve">§8</w:t>
      </w:r>
      <w:r>
        <w:t xml:space="preserve"> of the base; Annex B here).</w:t>
      </w:r>
    </w:p>
    <w:p w14:paraId="08C58180">
      <w:pPr>
        <w:pStyle w:val="Heading2"/>
      </w:pPr>
      <w:bookmarkStart w:id="475" w:name="_Clause_c6_1"/>
      <w:r>
        <w:t xml:space="preserve">OPC UA as a first-class binding</w:t>
      </w:r>
      <w:bookmarkEnd w:id="475"/>
    </w:p>
    <w:p w14:paraId="39246853">
      <w:pPr>
        <w:pStyle w:val="PARAGRAPH"/>
      </w:pPr>
      <w:r>
        <w:t xml:space="preserve">The xRegistry model has interchangeable </w:t>
      </w:r>
      <w:r>
        <w:rPr>
          <w:i/>
        </w:rPr>
        <w:t xml:space="preserve">representations</w:t>
      </w:r>
      <w:r>
        <w:t xml:space="preserve"> served by peer </w:t>
      </w:r>
      <w:r>
        <w:rPr>
          <w:i/>
        </w:rPr>
        <w:t xml:space="preserve">protocol bindings</w:t>
      </w:r>
      <w:r>
        <w:t xml:space="preserve">. </w:t>
      </w:r>
      <w:r>
        <w:rPr>
          <w:i/>
        </w:rPr>
        <w:t xml:space="preserve">xRegistry — OPC UA API</w:t>
      </w:r>
      <w:r>
        <w:t xml:space="preserve"> is the OPC UA binding — a first-class binding of the xRegistry API, defined natively over OPC UA Services and FileTransfer, not derived from the HTTP binding. A Schema Registry served over OPC UA is therefore </w:t>
      </w:r>
      <w:r>
        <w:rPr>
          <w:b/>
        </w:rPr>
        <w:t xml:space="preserve">accessed and federated the same way as one served over HTTP</w:t>
      </w:r>
      <w:r>
        <w:t xml:space="preserve">, and the two are interchangeable endpoints of the same registry:</w:t>
      </w:r>
    </w:p>
    <w:p w14:paraId="5FD8E02B">
      <w:pPr>
        <w:pStyle w:val="ListBullet"/>
        <w:numPr>
          <w:ilvl w:val="0"/>
          <w:numId w:val="21"/>
        </w:numPr>
      </w:pPr>
      <w:r>
        <w:rPr>
          <w:b/>
        </w:rPr>
        <w:t xml:space="preserve">Access parity.</w:t>
      </w:r>
      <w:r>
        <w:t xml:space="preserve"> Every schema-registry operation is available over the OPC UA binding with the same effect as over any other binding: </w:t>
      </w:r>
      <w:r>
        <w:rPr>
          <w:i/>
        </w:rPr>
        <w:t xml:space="preserve">download</w:t>
      </w:r>
      <w:r>
        <w:t xml:space="preserve"> a schema (OPC UA </w:t>
      </w:r>
      <w:r>
        <w:rPr>
          <w:rStyle w:val="VARIABLE"/>
        </w:rPr>
        <w:t xml:space="preserve">Open</w:t>
      </w:r>
      <w:r>
        <w:t xml:space="preserve">/</w:t>
      </w:r>
      <w:r>
        <w:rPr>
          <w:rStyle w:val="VARIABLE"/>
        </w:rPr>
        <w:t xml:space="preserve">Read</w:t>
      </w:r>
      <w:r>
        <w:t xml:space="preserve">/</w:t>
      </w:r>
      <w:r>
        <w:rPr>
          <w:rStyle w:val="VARIABLE"/>
        </w:rPr>
        <w:t xml:space="preserve">Close</w:t>
      </w:r>
      <w:r>
        <w:t xml:space="preserve">, or the SchemaId fast path), </w:t>
      </w:r>
      <w:r>
        <w:rPr>
          <w:i/>
        </w:rPr>
        <w:t xml:space="preserve">register</w:t>
      </w:r>
      <w:r>
        <w:t xml:space="preserve"> a schema (</w:t>
      </w:r>
      <w:r>
        <w:rPr>
          <w:rStyle w:val="VARIABLE"/>
        </w:rPr>
        <w:t xml:space="preserve">CreateResource</w:t>
      </w:r>
      <w:r>
        <w:t xml:space="preserve">/</w:t>
      </w:r>
      <w:r>
        <w:rPr>
          <w:rStyle w:val="VARIABLE"/>
        </w:rPr>
        <w:t xml:space="preserve">Write</w:t>
      </w:r>
      <w:r>
        <w:t xml:space="preserve">), </w:t>
      </w:r>
      <w:r>
        <w:rPr>
          <w:i/>
        </w:rPr>
        <w:t xml:space="preserve">list</w:t>
      </w:r>
      <w:r>
        <w:t xml:space="preserve"> groups/schemas/versions (Browse), and </w:t>
      </w:r>
      <w:r>
        <w:rPr>
          <w:i/>
        </w:rPr>
        <w:t xml:space="preserve">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5EBDE072">
      <w:pPr>
        <w:pStyle w:val="ListBullet"/>
        <w:numPr>
          <w:ilvl w:val="0"/>
          <w:numId w:val="21"/>
        </w:numPr>
      </w:pPr>
      <w:r>
        <w:rPr>
          <w:b/>
        </w:rPr>
        <w:t xml:space="preserve">Federation parity.</w:t>
      </w:r>
      <w:r>
        <w:t xml:space="preserve"> A schema referenced by one registry but hosted by another is resolved uniformly regardless of the hosting binding (base </w:t>
      </w:r>
      <w:r>
        <w:fldChar w:fldCharType="begin"/>
      </w:r>
      <w:r>
        <w:instrText xml:space="preserve"> REF _Clause_c6_10 \r \h </w:instrText>
      </w:r>
      <w:r>
        <w:fldChar w:fldCharType="separate"/>
      </w:r>
      <w:r>
        <w:rPr>
          <w:noProof/>
        </w:rPr>
        <w:t xml:space="preserve">6.10</w:t>
      </w:r>
      <w:r>
        <w:fldChar w:fldCharType="end"/>
      </w:r>
      <w:r>
        <w:t xml:space="preserve">). The federation link is an </w:t>
      </w:r>
      <w:r>
        <w:rPr>
          <w:rStyle w:val="VARIABLE"/>
        </w:rPr>
        <w:t xml:space="preserve">ExpandedNodeId</w:t>
      </w:r>
      <w:r>
        <w:t xml:space="preserve"> (</w:t>
      </w:r>
      <w:r>
        <w:rPr>
          <w:rStyle w:val="VARIABLE"/>
        </w:rPr>
        <w:t xml:space="preserve">ExternalReference</w:t>
      </w:r>
      <w:r>
        <w:t xml:space="preserve">) when the host is an OPC UA registry — its </w:t>
      </w:r>
      <w:r>
        <w:rPr>
          <w:rStyle w:val="VARIABLE"/>
        </w:rPr>
        <w:t xml:space="preserve">ServerUri</w:t>
      </w:r>
      <w:r>
        <w:t xml:space="preserve"> identifies the remote OPC UA server — and/or a URL (</w:t>
      </w:r>
      <w:r>
        <w:rPr>
          <w:rStyle w:val="VARIABLE"/>
        </w:rPr>
        <w:t xml:space="preserve">ResourceUrl</w:t>
      </w:r>
      <w:r>
        <w:t xml:space="preserve">) when the host is reached over another protocol, for example an HTTP xRegistry endpoint. A client follows an OPC UA link by resolving the </w:t>
      </w:r>
      <w:r>
        <w:rPr>
          <w:rStyle w:val="VARIABLE"/>
        </w:rPr>
        <w:t xml:space="preserve">ServerUri</w:t>
      </w:r>
      <w:r>
        <w:t xml:space="preserve"> to an endpoint and browsing/reading, and a URL link by dereferencing it over its own protocol; in both cases the schema's identity (</w:t>
      </w:r>
      <w:r>
        <w:rPr>
          <w:rStyle w:val="VARIABLE"/>
        </w:rPr>
        <w:t xml:space="preserve">SchemaId</w:t>
      </w:r>
      <w:r>
        <w:t xml:space="preserve">, </w:t>
      </w:r>
      <w:r>
        <w:rPr>
          <w:rStyle w:val="VARIABLE"/>
        </w:rPr>
        <w:t xml:space="preserve">xid</w:t>
      </w:r>
      <w:r>
        <w:t xml:space="preserve">) is stable across registries, so the same schema federated from several endpoints keeps one identity and can be de-duplicated by </w:t>
      </w:r>
      <w:r>
        <w:rPr>
          <w:rStyle w:val="VARIABLE"/>
        </w:rPr>
        <w:t xml:space="preserve">SchemaId</w:t>
      </w:r>
      <w:r>
        <w:t xml:space="preserve">. Annex B specifies the resolution algorithm.</w:t>
      </w:r>
    </w:p>
    <w:p w14:paraId="7E7A46E6">
      <w:pPr>
        <w:pStyle w:val="PARAGRAPH"/>
      </w:pPr>
      <w:r>
        <w:t xml:space="preserve">Consequently an OPC UA Schema Registry can front, mirror or be mirrored by an HTTP xRegistry Schema Registry, and a heterogeneous federation of OPC UA and HTTP registries resolves as one logical registry.</w:t>
      </w:r>
    </w:p>
    <w:p w14:paraId="3945C80D">
      <w:pPr>
        <w:pStyle w:val="Heading2"/>
      </w:pPr>
      <w:bookmarkStart w:id="476" w:name="_Clause_c6_2"/>
      <w:r>
        <w:t xml:space="preserve">Organisation of the model</w:t>
      </w:r>
      <w:bookmarkEnd w:id="476"/>
    </w:p>
    <w:p w14:paraId="38C54AE6">
      <w:pPr>
        <w:pStyle w:val="PARAGRAPH"/>
      </w:pPr>
      <w:r>
        <w:t xml:space="preserve">The companion namespace is </w:t>
      </w:r>
      <w:r>
        <w:rPr>
          <w:rStyle w:val="VARIABLE"/>
        </w:rPr>
        <w:t xml:space="preserve">http://opcfoundation.org/UA/SchemaRegistry/</w:t>
      </w:r>
      <w:r>
        <w:t xml:space="preserve">. Draft numeric NodeIds use the provisional </w:t>
      </w:r>
      <w:r>
        <w:rPr>
          <w:rStyle w:val="VARIABLE"/>
        </w:rPr>
        <w:t xml:space="preserve">62000+</w:t>
      </w:r>
      <w:r>
        <w:t xml:space="preserve"> block; final NodeIds are assigned by the OPC Foundation. The three schema types subtype the abstract xRegistry base types (namespace </w:t>
      </w:r>
      <w:r>
        <w:rPr>
          <w:rStyle w:val="VARIABLE"/>
        </w:rPr>
        <w:t xml:space="preserve">http://opcfoundation.org/UA/xRegistry/</w:t>
      </w:r>
      <w:r>
        <w:t xml:space="preserve">, declared as a </w:t>
      </w:r>
      <w:r>
        <w:rPr>
          <w:rStyle w:val="VARIABLE"/>
        </w:rPr>
        <w:t xml:space="preserve">&lt;RequiredModel&gt;</w:t>
      </w:r>
      <w:r>
        <w:t xml:space="preserve">). The types and their members are the normative node reference in Annex A; this clause describes the schema-specific additions.</w:t>
      </w:r>
    </w:p>
    <w:p w14:paraId="4CC4B97A">
      <w:pPr>
        <w:pStyle w:val="Heading2"/>
      </w:pPr>
      <w:bookmarkStart w:id="477" w:name="_Clause_c6_3"/>
      <w:r>
        <w:t xml:space="preserve">Registry root</w:t>
      </w:r>
      <w:bookmarkEnd w:id="477"/>
    </w:p>
    <w:p w14:paraId="3FC9E37A">
      <w:pPr>
        <w:pStyle w:val="PARAGRAPH"/>
      </w:pPr>
      <w:r>
        <w:rPr>
          <w:rStyle w:val="VARIABLE"/>
        </w:rPr>
        <w:t xml:space="preserve">SchemaRegistryType</w:t>
      </w:r>
      <w:r>
        <w:t xml:space="preserve"> is a subtype of the base </w:t>
      </w:r>
      <w:r>
        <w:rPr>
          <w:rStyle w:val="VARIABLE"/>
        </w:rPr>
        <w:t xml:space="preserve">RegistryType</w:t>
      </w:r>
      <w:r>
        <w:t xml:space="preserve"> (itself a </w:t>
      </w:r>
      <w:r>
        <w:rPr>
          <w:rStyle w:val="VARIABLE"/>
        </w:rPr>
        <w:t xml:space="preserve">FolderType</w:t>
      </w:r>
      <w:r>
        <w:t xml:space="preserve">). It is exposed as one well-known </w:t>
      </w:r>
      <w:r>
        <w:rPr>
          <w:rStyle w:val="VARIABLE"/>
        </w:rPr>
        <w:t xml:space="preserve">SchemaRegistry</w:t>
      </w:r>
      <w:r>
        <w:t xml:space="preserve"> Object as a </w:t>
      </w:r>
      <w:r>
        <w:rPr>
          <w:rStyle w:val="VARIABLE"/>
        </w:rPr>
        <w:t xml:space="preserve">HasComponent</w:t>
      </w:r>
      <w:r>
        <w:t xml:space="preserve"> of the </w:t>
      </w:r>
      <w:r>
        <w:rPr>
          <w:rStyle w:val="VARIABLE"/>
        </w:rPr>
        <w:t xml:space="preserve">Server</w:t>
      </w:r>
      <w:r>
        <w:t xml:space="preserve"> Object (</w:t>
      </w:r>
      <w:r>
        <w:rPr>
          <w:rStyle w:val="VARIABLE"/>
        </w:rPr>
        <w:t xml:space="preserve">i=2253</w:t>
      </w:r>
      <w:r>
        <w:t xml:space="preserve">), so </w:t>
      </w:r>
      <w:r>
        <w:rPr>
          <w:b/>
        </w:rPr>
        <w:t xml:space="preserve">any</w:t>
      </w:r>
      <w:r>
        <w:t xml:space="preserve"> Client that can reach the standard </w:t>
      </w:r>
      <w:r>
        <w:rPr>
          <w:rStyle w:val="VARIABLE"/>
        </w:rPr>
        <w:t xml:space="preserve">Server</w:t>
      </w:r>
      <w:r>
        <w:t xml:space="preserve"> object discovers schema resolution, independent of whether the Server implements PubSub. A Server that also implements Part 14 PubSub </w:t>
      </w:r>
      <w:r>
        <w:rPr>
          <w:b/>
        </w:rPr>
        <w:t xml:space="preserve">may</w:t>
      </w:r>
      <w:r>
        <w:t xml:space="preserve"> additionally add a reference from its </w:t>
      </w:r>
      <w:r>
        <w:rPr>
          <w:rStyle w:val="VARIABLE"/>
        </w:rPr>
        <w:t xml:space="preserve">PublishSubscribe</w:t>
      </w:r>
      <w:r>
        <w:t xml:space="preserve"> Object to the same </w:t>
      </w:r>
      <w:r>
        <w:rPr>
          <w:rStyle w:val="VARIABLE"/>
        </w:rPr>
        <w:t xml:space="preserve">SchemaRegistry</w:t>
      </w:r>
      <w:r>
        <w:t xml:space="preserve"> Object so PubSub clients find it in the familiar place, parallel to the Security Key Service (Annex C); that reference is optional and adds no dependency. Its </w:t>
      </w:r>
      <w:r>
        <w:rPr>
          <w:rStyle w:val="VARIABLE"/>
        </w:rPr>
        <w:t xml:space="preserve">&lt;SchemaGroup&gt;</w:t>
      </w:r>
      <w:r>
        <w:t xml:space="preserve"> OptionalPlaceholder constrains the base </w:t>
      </w:r>
      <w:r>
        <w:rPr>
          <w:rStyle w:val="VARIABLE"/>
        </w:rPr>
        <w:t xml:space="preserve">&lt;Group&gt;</w:t>
      </w:r>
      <w:r>
        <w:t xml:space="preserve"> to </w:t>
      </w:r>
      <w:r>
        <w:rPr>
          <w:rStyle w:val="VARIABLE"/>
        </w:rPr>
        <w:t xml:space="preserve">SchemaGroupType</w:t>
      </w:r>
      <w:r>
        <w:t xml:space="preserve">. It adds the </w:t>
      </w:r>
      <w:r>
        <w:rPr>
          <w:rStyle w:val="VARIABLE"/>
        </w:rPr>
        <w:t xml:space="preserve">GetSchema</w:t>
      </w:r>
      <w:r>
        <w:t xml:space="preserve"> Method (</w:t>
      </w:r>
      <w:r>
        <w:fldChar w:fldCharType="begin"/>
      </w:r>
      <w:r>
        <w:instrText xml:space="preserve"> REF _Clause_c6_6 \r \h </w:instrText>
      </w:r>
      <w:r>
        <w:fldChar w:fldCharType="separate"/>
      </w:r>
      <w:r>
        <w:rPr>
          <w:noProof/>
        </w:rPr>
        <w:t xml:space="preserve">6.6</w:t>
      </w:r>
      <w:r>
        <w:fldChar w:fldCharType="end"/>
      </w:r>
      <w:r>
        <w:t xml:space="preserve">) as the method form of the SchemaId fast path. The well-known </w:t>
      </w:r>
      <w:r>
        <w:rPr>
          <w:rStyle w:val="VARIABLE"/>
        </w:rPr>
        <w:t xml:space="preserve">SchemaRegistry</w:t>
      </w:r>
      <w:r>
        <w:t xml:space="preserve"> Object </w:t>
      </w:r>
      <w:r>
        <w:rPr>
          <w:b/>
        </w:rPr>
        <w:t xml:space="preserve">materializes</w:t>
      </w:r>
      <w:r>
        <w:t xml:space="preserve"> its </w:t>
      </w:r>
      <w:r>
        <w:rPr>
          <w:rStyle w:val="VARIABLE"/>
        </w:rPr>
        <w:t xml:space="preserve">GetSchema</w:t>
      </w:r>
      <w:r>
        <w:t xml:space="preserve"> Method as a concrete Method node (as the Part 14 </w:t>
      </w:r>
      <w:r>
        <w:rPr>
          <w:rStyle w:val="VARIABLE"/>
        </w:rPr>
        <w:t xml:space="preserve">PublishSubscribe</w:t>
      </w:r>
      <w:r>
        <w:t xml:space="preserve"> Object declares its methods), so the generated NodeSet yields a callable registry; a Server binds the Method handler and the Opaque-</w:t>
      </w:r>
      <w:r>
        <w:rPr>
          <w:rStyle w:val="VARIABLE"/>
        </w:rPr>
        <w:t xml:space="preserve">SchemaId</w:t>
      </w:r>
      <w:r>
        <w:t xml:space="preserve">-NodeId resolution to its schema store. Registration uses the base </w:t>
      </w:r>
      <w:r>
        <w:rPr>
          <w:rStyle w:val="VARIABLE"/>
        </w:rPr>
        <w:t xml:space="preserve">CreateResource</w:t>
      </w:r>
      <w:r>
        <w:t xml:space="preserve"> Method and </w:t>
      </w:r>
      <w:r>
        <w:rPr>
          <w:rStyle w:val="VARIABLE"/>
        </w:rPr>
        <w:t xml:space="preserve">Write</w:t>
      </w:r>
      <w:r>
        <w:t xml:space="preserve"> (</w:t>
      </w:r>
      <w:r>
        <w:t xml:space="preserve">§5.2</w:t>
      </w:r>
      <w:r>
        <w:t xml:space="preserve">); no bespoke register Method is required.</w:t>
      </w:r>
    </w:p>
    <w:p w14:paraId="2E9DB26D">
      <w:pPr>
        <w:pStyle w:val="Heading2"/>
      </w:pPr>
      <w:bookmarkStart w:id="478" w:name="_Clause_c6_4"/>
      <w:r>
        <w:t xml:space="preserve">Schema groups</w:t>
      </w:r>
      <w:bookmarkEnd w:id="478"/>
    </w:p>
    <w:p w14:paraId="603FDD20">
      <w:pPr>
        <w:pStyle w:val="PARAGRAPH"/>
      </w:pPr>
      <w:r>
        <w:rPr>
          <w:rStyle w:val="VARIABLE"/>
        </w:rPr>
        <w:t xml:space="preserve">SchemaGroupType</w:t>
      </w:r>
      <w:r>
        <w:t xml:space="preserve"> is a subtype of the base </w:t>
      </w:r>
      <w:r>
        <w:rPr>
          <w:rStyle w:val="VARIABLE"/>
        </w:rPr>
        <w:t xml:space="preserve">GroupType</w:t>
      </w:r>
      <w:r>
        <w:t xml:space="preserve">. Each instance is a folder of schema files for one OPC UA namespace, keyed by that namespace URI: its Mandatory </w:t>
      </w:r>
      <w:r>
        <w:rPr>
          <w:rStyle w:val="VARIABLE"/>
        </w:rPr>
        <w:t xml:space="preserve">NamespaceUri</w:t>
      </w:r>
      <w:r>
        <w:t xml:space="preserve"> Property is the group key (the xRegistry </w:t>
      </w:r>
      <w:r>
        <w:rPr>
          <w:rStyle w:val="VARIABLE"/>
        </w:rPr>
        <w:t xml:space="preserve">groupid</w:t>
      </w:r>
      <w:r>
        <w:t xml:space="preserve"> may be a server-chosen URL-safe slug of it, retained verbatim in </w:t>
      </w:r>
      <w:r>
        <w:rPr>
          <w:rStyle w:val="VARIABLE"/>
        </w:rPr>
        <w:t xml:space="preserve">NamespaceUri</w:t>
      </w:r>
      <w:r>
        <w:t xml:space="preserve">). Keying a schema group by an OPC UA namespace URI is a domain convention of this profile; the generic xRegistry schema group imposes no key or format constraint on its members. Its </w:t>
      </w:r>
      <w:r>
        <w:rPr>
          <w:rStyle w:val="VARIABLE"/>
        </w:rPr>
        <w:t xml:space="preserve">&lt;Schema&gt;</w:t>
      </w:r>
      <w:r>
        <w:t xml:space="preserve"> OptionalPlaceholder constrains the base </w:t>
      </w:r>
      <w:r>
        <w:rPr>
          <w:rStyle w:val="VARIABLE"/>
        </w:rPr>
        <w:t xml:space="preserve">&lt;Resource&gt;</w:t>
      </w:r>
      <w:r>
        <w:t xml:space="preserve"> to </w:t>
      </w:r>
      <w:r>
        <w:rPr>
          <w:rStyle w:val="VARIABLE"/>
        </w:rPr>
        <w:t xml:space="preserve">SchemaFileType</w:t>
      </w:r>
      <w:r>
        <w:t xml:space="preserve">. Under the PubSub DataSet schema profile (Annex C) the PubSub envelope schemas (NetworkMessage / DataSetMessage) live in the base-namespace group </w:t>
      </w:r>
      <w:r>
        <w:rPr>
          <w:rStyle w:val="VARIABLE"/>
        </w:rPr>
        <w:t xml:space="preserve">http://opcfoundation.org/UA/</w:t>
      </w:r>
      <w:r>
        <w:t xml:space="preserve">.</w:t>
      </w:r>
    </w:p>
    <w:p w14:paraId="22B47099">
      <w:pPr>
        <w:pStyle w:val="Heading2"/>
      </w:pPr>
      <w:bookmarkStart w:id="479" w:name="_Clause_c6_5"/>
      <w:r>
        <w:t xml:space="preserve">Schema files</w:t>
      </w:r>
      <w:bookmarkEnd w:id="479"/>
    </w:p>
    <w:p w14:paraId="661F49E3">
      <w:pPr>
        <w:pStyle w:val="PARAGRAPH"/>
      </w:pPr>
      <w:r>
        <w:rPr>
          <w:rStyle w:val="VARIABLE"/>
        </w:rPr>
        <w:t xml:space="preserve">SchemaFileType</w:t>
      </w:r>
      <w:r>
        <w:t xml:space="preserve"> is a subtype of the base </w:t>
      </w:r>
      <w:r>
        <w:rPr>
          <w:rStyle w:val="VARIABLE"/>
        </w:rPr>
        <w:t xml:space="preserve">ResourceType</w:t>
      </w:r>
      <w:r>
        <w:t xml:space="preserve"> (itself a </w:t>
      </w:r>
      <w:r>
        <w:rPr>
          <w:rStyle w:val="VARIABLE"/>
        </w:rPr>
        <w:t xml:space="preserve">FileType</w:t>
      </w:r>
      <w:r>
        <w:t xml:space="preserve">): the schema document </w:t>
      </w:r>
      <w:r>
        <w:rPr>
          <w:i/>
        </w:rPr>
        <w:t xml:space="preserve">is</w:t>
      </w:r>
      <w:r>
        <w:t xml:space="preserve"> the file. It represents one </w:t>
      </w:r>
      <w:r>
        <w:rPr>
          <w:rStyle w:val="VARIABLE"/>
        </w:rPr>
        <w:t xml:space="preserve">(DataType or PublishedDataSet) × format</w:t>
      </w:r>
      <w:r>
        <w:t xml:space="preserve"> pair — the three encodings of one DataType are three sibling schema files in the same group. It inherits </w:t>
      </w:r>
      <w:r>
        <w:rPr>
          <w:rStyle w:val="VARIABLE"/>
        </w:rPr>
        <w:t xml:space="preserve">Format</w:t>
      </w:r>
      <w:r>
        <w:t xml:space="preserve"> and </w:t>
      </w:r>
      <w:r>
        <w:rPr>
          <w:rStyle w:val="VARIABLE"/>
        </w:rPr>
        <w:t xml:space="preserve">ContentType</w:t>
      </w:r>
      <w:r>
        <w:t xml:space="preserve"> (</w:t>
      </w:r>
      <w:r>
        <w:fldChar w:fldCharType="begin"/>
      </w:r>
      <w:r>
        <w:instrText xml:space="preserve"> REF _Clause_c6_7 \r \h </w:instrText>
      </w:r>
      <w:r>
        <w:fldChar w:fldCharType="separate"/>
      </w:r>
      <w:r>
        <w:rPr>
          <w:noProof/>
        </w:rPr>
        <w:t xml:space="preserve">6.7</w:t>
      </w:r>
      <w:r>
        <w:fldChar w:fldCharType="end"/>
      </w:r>
      <w:r>
        <w:t xml:space="preserve">) and </w:t>
      </w:r>
      <w:r>
        <w:rPr>
          <w:rStyle w:val="VARIABLE"/>
        </w:rPr>
        <w:t xml:space="preserve">VersionId</w:t>
      </w:r>
      <w:r>
        <w:t xml:space="preserve"> from the base, and adds the xRegistry version attributes and the OPC UA schema-decoding metadata:</w:t>
      </w:r>
    </w:p>
    <w:p w14:paraId="56D7075A">
      <w:pPr>
        <w:pStyle w:val="ListBullet"/>
        <w:numPr>
          <w:ilvl w:val="0"/>
          <w:numId w:val="21"/>
        </w:numPr>
      </w:pPr>
      <w:r>
        <w:rPr>
          <w:rStyle w:val="VARIABLE"/>
        </w:rPr>
        <w:t xml:space="preserve">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Pr>
          <w:noProof/>
        </w:rPr>
        <w:t xml:space="preserve">6.6</w:t>
      </w:r>
      <w:r>
        <w:fldChar w:fldCharType="end"/>
      </w:r>
      <w:r>
        <w:t xml:space="preserve">). Every registered schema has a SchemaId, computed by its format's fingerprint provider (</w:t>
      </w:r>
      <w:r>
        <w:fldChar w:fldCharType="begin"/>
      </w:r>
      <w:r>
        <w:instrText xml:space="preserve"> REF _Clause_c6_8 \r \h </w:instrText>
      </w:r>
      <w:r>
        <w:fldChar w:fldCharType="separate"/>
      </w:r>
      <w:r>
        <w:rPr>
          <w:noProof/>
        </w:rPr>
        <w:t xml:space="preserve">6.8</w:t>
      </w:r>
      <w:r>
        <w:fldChar w:fldCharType="end"/>
      </w:r>
      <w:r>
        <w:t xml:space="preserve">) — including JSON Schema.</w:t>
      </w:r>
    </w:p>
    <w:p w14:paraId="6FADAEB3">
      <w:pPr>
        <w:pStyle w:val="ListBullet"/>
        <w:numPr>
          <w:ilvl w:val="0"/>
          <w:numId w:val="21"/>
        </w:numPr>
      </w:pPr>
      <w:r>
        <w:rPr>
          <w:rStyle w:val="VARIABLE"/>
        </w:rPr>
        <w:t xml:space="preserve">SchemaIdAlg</w:t>
      </w:r>
      <w:r>
        <w:t xml:space="preserve"> (Mandatory, String) — the SchemaId algorithm name identifying the </w:t>
      </w:r>
      <w:r>
        <w:rPr>
          <w:rStyle w:val="VARIABLE"/>
        </w:rPr>
        <w:t xml:space="preserve">(canonicalization, hash)</w:t>
      </w:r>
      <w:r>
        <w:t xml:space="preserve"> used, such as </w:t>
      </w:r>
      <w:r>
        <w:rPr>
          <w:rStyle w:val="VARIABLE"/>
        </w:rPr>
        <w:t xml:space="preserve">CRC-64-AVRO</w:t>
      </w:r>
      <w:r>
        <w:t xml:space="preserve"> (Avro), </w:t>
      </w:r>
      <w:r>
        <w:rPr>
          <w:rStyle w:val="VARIABLE"/>
        </w:rPr>
        <w:t xml:space="preserve">SHA-256/ApacheArrow</w:t>
      </w:r>
      <w:r>
        <w:t xml:space="preserve"> (Arrow) or </w:t>
      </w:r>
      <w:r>
        <w:rPr>
          <w:rStyle w:val="VARIABLE"/>
        </w:rPr>
        <w:t xml:space="preserve">SHA-256/JCS</w:t>
      </w:r>
      <w:r>
        <w:t xml:space="preserve"> (JSON Schema).</w:t>
      </w:r>
    </w:p>
    <w:p w14:paraId="7CA0FDC0">
      <w:pPr>
        <w:pStyle w:val="ListBullet"/>
        <w:numPr>
          <w:ilvl w:val="0"/>
          <w:numId w:val="21"/>
        </w:numPr>
      </w:pPr>
      <w:r>
        <w:rPr>
          <w:rStyle w:val="VARIABLE"/>
        </w:rPr>
        <w:t xml:space="preserve">Compatibility</w:t>
      </w:r>
      <w:r>
        <w:t xml:space="preserve"> (String) — the xRegistry </w:t>
      </w:r>
      <w:r>
        <w:rPr>
          <w:rStyle w:val="VARIABLE"/>
        </w:rPr>
        <w:t xml:space="preserve">compatibility</w:t>
      </w:r>
      <w:r>
        <w:t xml:space="preserve"> mode the schema's versions adhere to, such as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or </w:t>
      </w:r>
      <w:r>
        <w:rPr>
          <w:rStyle w:val="VARIABLE"/>
        </w:rPr>
        <w:t xml:space="preserve">FULL</w:t>
      </w:r>
      <w:r>
        <w:t xml:space="preserve">. This is </w:t>
      </w:r>
      <w:r>
        <w:rPr>
          <w:b/>
        </w:rPr>
        <w:t xml:space="preserve">Resource-level</w:t>
      </w:r>
      <w:r>
        <w:t xml:space="preserve"> metadata — identical across all versions of one schema — so in the flat projection every version file of the same schema carries the same value; a change that would break it starts a </w:t>
      </w:r>
      <w:r>
        <w:rPr>
          <w:b/>
        </w:rPr>
        <w:t xml:space="preserve">new</w:t>
      </w:r>
      <w:r>
        <w:t xml:space="preserve"> schema (a new </w:t>
      </w:r>
      <w:r>
        <w:rPr>
          <w:rStyle w:val="VARIABLE"/>
        </w:rPr>
        <w:t xml:space="preserve">SchemaFileType</w:t>
      </w:r>
      <w:r>
        <w:t xml:space="preserve"> with a fresh lineage), not a new version. A registry that enforces compatibility advertises it through the base </w:t>
      </w:r>
      <w:r>
        <w:rPr>
          <w:rStyle w:val="VARIABLE"/>
        </w:rPr>
        <w:t xml:space="preserve">RegistryCapabilitiesDataType.EnforceCompatibility</w:t>
      </w:r>
      <w:r>
        <w:t xml:space="preserve"> capability.</w:t>
      </w:r>
    </w:p>
    <w:p w14:paraId="559D3EB6">
      <w:pPr>
        <w:pStyle w:val="ListBullet"/>
        <w:numPr>
          <w:ilvl w:val="0"/>
          <w:numId w:val="21"/>
        </w:numPr>
      </w:pPr>
      <w:r>
        <w:rPr>
          <w:rStyle w:val="VARIABLE"/>
        </w:rPr>
        <w:t xml:space="preserve">IsDefault</w:t>
      </w:r>
      <w:r>
        <w:t xml:space="preserve"> (Boolean) — the xRegistry </w:t>
      </w:r>
      <w:r>
        <w:rPr>
          <w:rStyle w:val="VARIABLE"/>
        </w:rPr>
        <w:t xml:space="preserve">isdefault</w:t>
      </w:r>
      <w:r>
        <w:t xml:space="preserve">: </w:t>
      </w:r>
      <w:r>
        <w:rPr>
          <w:rStyle w:val="VARIABLE"/>
        </w:rPr>
        <w:t xml:space="preserve">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 xml:space="preserve">IsDefault = true</w:t>
      </w:r>
      <w:r>
        <w:t xml:space="preserve">.</w:t>
      </w:r>
    </w:p>
    <w:p w14:paraId="00575069">
      <w:pPr>
        <w:pStyle w:val="ListBullet"/>
        <w:numPr>
          <w:ilvl w:val="0"/>
          <w:numId w:val="21"/>
        </w:numPr>
      </w:pPr>
      <w:r>
        <w:rPr>
          <w:rStyle w:val="VARIABLE"/>
        </w:rPr>
        <w:t xml:space="preserve">Ancestor</w:t>
      </w:r>
      <w:r>
        <w:t xml:space="preserve"> (String) — the xRegistry </w:t>
      </w:r>
      <w:r>
        <w:rPr>
          <w:rStyle w:val="VARIABLE"/>
        </w:rPr>
        <w:t xml:space="preserve">ancestor</w:t>
      </w:r>
      <w:r>
        <w:t xml:space="preserve">: the </w:t>
      </w:r>
      <w:r>
        <w:rPr>
          <w:rStyle w:val="VARIABLE"/>
        </w:rPr>
        <w:t xml:space="preserve">VersionId</w:t>
      </w:r>
      <w:r>
        <w:t xml:space="preserve"> of the version this one derives from, establishing the version lineage when historic versions are kept as sibling files. The root version's </w:t>
      </w:r>
      <w:r>
        <w:rPr>
          <w:rStyle w:val="VARIABLE"/>
        </w:rPr>
        <w:t xml:space="preserve">Ancestor</w:t>
      </w:r>
      <w:r>
        <w:t xml:space="preserve"> is its own </w:t>
      </w:r>
      <w:r>
        <w:rPr>
          <w:rStyle w:val="VARIABLE"/>
        </w:rPr>
        <w:t xml:space="preserve">VersionId</w:t>
      </w:r>
      <w:r>
        <w:t xml:space="preserve">.</w:t>
      </w:r>
    </w:p>
    <w:p w14:paraId="11E8A8E0">
      <w:pPr>
        <w:pStyle w:val="ListBullet"/>
        <w:numPr>
          <w:ilvl w:val="0"/>
          <w:numId w:val="21"/>
        </w:numPr>
      </w:pPr>
      <w:r>
        <w:rPr>
          <w:rStyle w:val="VARIABLE"/>
        </w:rPr>
        <w:t xml:space="preserve">DataTypeEncoding</w:t>
      </w:r>
      <w:r>
        <w:t xml:space="preserve"> (String) — the related OPC UA DataTypeEncoding name, for example </w:t>
      </w:r>
      <w:r>
        <w:rPr>
          <w:rStyle w:val="VARIABLE"/>
        </w:rPr>
        <w:t xml:space="preserve">Default Avro</w:t>
      </w:r>
      <w:r>
        <w:t xml:space="preserve"> or </w:t>
      </w:r>
      <w:r>
        <w:rPr>
          <w:rStyle w:val="VARIABLE"/>
        </w:rPr>
        <w:t xml:space="preserve">Default Arrow</w:t>
      </w:r>
      <w:r>
        <w:t xml:space="preserve">.</w:t>
      </w:r>
    </w:p>
    <w:p w14:paraId="63F73552">
      <w:pPr>
        <w:pStyle w:val="ListBullet"/>
        <w:numPr>
          <w:ilvl w:val="0"/>
          <w:numId w:val="21"/>
        </w:numPr>
      </w:pPr>
      <w:r>
        <w:rPr>
          <w:rStyle w:val="VARIABLE"/>
        </w:rPr>
        <w:t xml:space="preserve">ModelVersion</w:t>
      </w:r>
      <w:r>
        <w:t xml:space="preserve"> (String) — the originating NodeSet model version (</w:t>
      </w:r>
      <w:r>
        <w:rPr>
          <w:rStyle w:val="VARIABLE"/>
        </w:rPr>
        <w:t xml:space="preserve">opcua.modelversion</w:t>
      </w:r>
      <w:r>
        <w:t xml:space="preserve">).</w:t>
      </w:r>
    </w:p>
    <w:p w14:paraId="53E37A20">
      <w:pPr>
        <w:pStyle w:val="ListBullet"/>
        <w:numPr>
          <w:ilvl w:val="0"/>
          <w:numId w:val="21"/>
        </w:numPr>
      </w:pPr>
      <w:r>
        <w:rPr>
          <w:rStyle w:val="VARIABLE"/>
        </w:rPr>
        <w:t xml:space="preserve">ConfigurationVersion</w:t>
      </w:r>
      <w:r>
        <w:t xml:space="preserve"> (</w:t>
      </w:r>
      <w:r>
        <w:rPr>
          <w:rStyle w:val="VARIABLE"/>
        </w:rPr>
        <w:t xml:space="preserve">ConfigurationVersionDataType</w:t>
      </w:r>
      <w:r>
        <w:t xml:space="preserve">) — </w:t>
      </w:r>
      <w:r>
        <w:rPr>
          <w:b/>
        </w:rPr>
        <w:t xml:space="preserve">PubSub DataSet schema profile only</w:t>
      </w:r>
      <w:r>
        <w:t xml:space="preserve"> (Annex C): the Part 14 </w:t>
      </w:r>
      <w:r>
        <w:rPr>
          <w:rStyle w:val="VARIABLE"/>
        </w:rPr>
        <w:t xml:space="preserve">ConfigurationVersion</w:t>
      </w:r>
      <w:r>
        <w:t xml:space="preserve"> when the schema describes a DataSet. Omitted by a schema registry that does not serve PubSub DataSets.</w:t>
      </w:r>
    </w:p>
    <w:p w14:paraId="21EEF845">
      <w:pPr>
        <w:pStyle w:val="ListBullet"/>
        <w:numPr>
          <w:ilvl w:val="0"/>
          <w:numId w:val="21"/>
        </w:numPr>
      </w:pPr>
      <w:r>
        <w:rPr>
          <w:rStyle w:val="VARIABLE"/>
        </w:rPr>
        <w:t xml:space="preserve">ExpiryTime</w:t>
      </w:r>
      <w:r>
        <w:t xml:space="preserve"> (DateTime) and </w:t>
      </w:r>
      <w:r>
        <w:rPr>
          <w:rStyle w:val="VARIABLE"/>
        </w:rPr>
        <w:t xml:space="preserve">Ttl</w:t>
      </w:r>
      <w:r>
        <w:t xml:space="preserve"> (Duration) — optional mirror/cache metadata (</w:t>
      </w:r>
      <w:r>
        <w:fldChar w:fldCharType="begin"/>
      </w:r>
      <w:r>
        <w:instrText xml:space="preserve"> REF _Clause_c6_11 \r \h </w:instrText>
      </w:r>
      <w:r>
        <w:fldChar w:fldCharType="separate"/>
      </w:r>
      <w:r>
        <w:rPr>
          <w:noProof/>
        </w:rPr>
        <w:t xml:space="preserve">6.11</w:t>
      </w:r>
      <w:r>
        <w:fldChar w:fldCharType="end"/>
      </w:r>
      <w:r>
        <w:t xml:space="preserve">).</w:t>
      </w:r>
    </w:p>
    <w:p w14:paraId="0B740577">
      <w:pPr>
        <w:pStyle w:val="PARAGRAPH"/>
      </w:pPr>
      <w:r>
        <w:t xml:space="preserve">The inherited </w:t>
      </w:r>
      <w:r>
        <w:rPr>
          <w:rStyle w:val="VARIABLE"/>
        </w:rPr>
        <w:t xml:space="preserve">Labels</w:t>
      </w:r>
      <w:r>
        <w:t xml:space="preserve"> container (an </w:t>
      </w:r>
      <w:r>
        <w:rPr>
          <w:rStyle w:val="VARIABLE"/>
        </w:rPr>
        <w:t xml:space="preserve">AttributesType</w:t>
      </w:r>
      <w:r>
        <w:t xml:space="preserve">, base </w:t>
      </w:r>
      <w:r>
        <w:fldChar w:fldCharType="begin"/>
      </w:r>
      <w:r>
        <w:instrText xml:space="preserve"> REF _Clause_c6_8 \r \h </w:instrText>
      </w:r>
      <w:r>
        <w:fldChar w:fldCharType="separate"/>
      </w:r>
      <w:r>
        <w:rPr>
          <w:noProof/>
        </w:rPr>
        <w:t xml:space="preserve">6.8</w:t>
      </w:r>
      <w:r>
        <w:fldChar w:fldCharType="end"/>
      </w:r>
      <w:r>
        <w:t xml:space="preserve">) and its </w:t>
      </w:r>
      <w:r>
        <w:rPr>
          <w:rStyle w:val="VARIABLE"/>
        </w:rPr>
        <w:t xml:space="preserve">AddAttribute</w:t>
      </w:r>
      <w:r>
        <w:t xml:space="preserve">/</w:t>
      </w:r>
      <w:r>
        <w:rPr>
          <w:rStyle w:val="VARIABLE"/>
        </w:rPr>
        <w:t xml:space="preserve">RemoveAttribute</w:t>
      </w:r>
      <w:r>
        <w:t xml:space="preserve"> Methods configure further xRegistry labels on a schema file.</w:t>
      </w:r>
    </w:p>
    <w:p w14:paraId="555DC8D6">
      <w:pPr>
        <w:pStyle w:val="Heading2"/>
      </w:pPr>
      <w:bookmarkStart w:id="480" w:name="_Clause_c6_6"/>
      <w:r>
        <w:t xml:space="preserve">SchemaId NodeId fast access</w:t>
      </w:r>
      <w:bookmarkEnd w:id="480"/>
    </w:p>
    <w:p w14:paraId="11B4BE6A">
      <w:pPr>
        <w:pStyle w:val="PARAGRAPH"/>
      </w:pPr>
      <w:r>
        <w:t xml:space="preserve">Each schema document </w:t>
      </w:r>
      <w:r>
        <w:rPr>
          <w:b/>
        </w:rPr>
        <w:t xml:space="preserve">shall</w:t>
      </w:r>
      <w:r>
        <w:t xml:space="preserve"> be additionally addressable by an Opaque NodeId in the Schema Registry namespace. The deterministic construction is:</w:t>
      </w:r>
    </w:p>
    <w:p w14:paraId="23BC5993">
      <w:pPr>
        <w:pStyle w:val="CODE"/>
      </w:pPr>
      <w:r>
        <w:t xml:space="preserve">NamespaceIndex = namespace index assigned to http://opcfoundation.org/UA/SchemaRegistry/</w:t>
      </w:r>
    </w:p>
    <w:p w14:paraId="34373C17">
      <w:pPr>
        <w:pStyle w:val="CODE"/>
      </w:pPr>
      <w:r>
        <w:t xml:space="preserve">IdentifierType = Opaque</w:t>
      </w:r>
    </w:p>
    <w:p w14:paraId="23674F75">
      <w:pPr>
        <w:pStyle w:val="CODE"/>
      </w:pPr>
      <w:r>
        <w:t xml:space="preserve">Identifier     = the exact raw on-wire SchemaId bytes</w:t>
      </w:r>
    </w:p>
    <w:p w14:paraId="1FA5A0DD">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 xml:space="preserve">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 xml:space="preserve">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 xml:space="preserve">SchemaIdAlg</w:t>
      </w:r>
      <w:r>
        <w:t xml:space="preserve"> / </w:t>
      </w:r>
      <w:r>
        <w:rPr>
          <w:rStyle w:val="VARIABLE"/>
        </w:rPr>
        <w:t xml:space="preserve">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4C3A0194">
      <w:pPr>
        <w:pStyle w:val="PARAGRAPH"/>
      </w:pPr>
      <w:r>
        <w:rPr>
          <w:rStyle w:val="VARIABLE"/>
        </w:rPr>
        <w:t xml:space="preserve">GetSchema(SchemaId: ByteString) → (Document: ByteString, Format: String, ContentType: String)</w:t>
      </w:r>
      <w:r>
        <w:t xml:space="preserve"> on the </w:t>
      </w:r>
      <w:r>
        <w:rPr>
          <w:rStyle w:val="VARIABLE"/>
        </w:rPr>
        <w:t xml:space="preserve">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 xml:space="preserve">Bad_NotFound</w:t>
      </w:r>
      <w:r>
        <w:t xml:space="preserve"> Call StatusCode rather than an empty result.</w:t>
      </w:r>
    </w:p>
    <w:p w14:paraId="47857AE0">
      <w:pPr>
        <w:pStyle w:val="Heading2"/>
      </w:pPr>
      <w:bookmarkStart w:id="481" w:name="_Clause_c6_7"/>
      <w:r>
        <w:t xml:space="preserve">Formats and content types</w:t>
      </w:r>
      <w:bookmarkEnd w:id="481"/>
    </w:p>
    <w:p w14:paraId="5C4C89CE">
      <w:pPr>
        <w:pStyle w:val="TABLE-title"/>
        <w:keepNext/>
      </w:pPr>
      <w:bookmarkStart w:id="482" w:name="_Tab_formats_and_content_types_tab1"/>
      <w:r>
        <w:t xml:space="preserve">Table </w:t>
      </w:r>
      <w:r>
        <w:fldChar w:fldCharType="begin"/>
      </w:r>
      <w:r>
        <w:instrText xml:space="preserve"> SEQ Table \* ARABIC </w:instrText>
      </w:r>
      <w:r>
        <w:fldChar w:fldCharType="separate"/>
      </w:r>
      <w:r>
        <w:rPr>
          <w:noProof/>
        </w:rPr>
        <w:t xml:space="preserve">1</w:t>
      </w:r>
      <w:r>
        <w:fldChar w:fldCharType="end"/>
      </w:r>
      <w:r>
        <w:t xml:space="preserve"> – Formats and content types</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57F9D59">
            <w:pPr>
              <w:pStyle w:val="TableText"/>
            </w:pPr>
            <w:r>
              <w:t xml:space="preserve">Encoding</w:t>
            </w:r>
          </w:p>
        </w:tc>
        <w:tc>
          <w:tcPr>
            <w:tcW w:w="2231" w:type="dxa"/>
            <w:tcBorders>
              <w:top w:val="single" w:sz="4" w:space="0" w:color="auto"/>
              <w:left w:val="single" w:sz="4" w:space="0" w:color="auto"/>
              <w:bottom w:val="double" w:sz="4" w:space="0" w:color="auto"/>
              <w:right w:val="single" w:sz="4" w:space="0" w:color="auto"/>
            </w:tcBorders>
          </w:tcPr>
          <w:p w14:paraId="2C96B557">
            <w:pPr>
              <w:pStyle w:val="TableText"/>
            </w:pPr>
            <w:r>
              <w:t xml:space="preserve">xRegistry </w:t>
            </w:r>
            <w:r>
              <w:rPr>
                <w:rStyle w:val="VARIABLE"/>
              </w:rPr>
              <w:t xml:space="preserve">format</w:t>
            </w:r>
          </w:p>
        </w:tc>
        <w:tc>
          <w:tcPr>
            <w:tcW w:w="2231" w:type="dxa"/>
            <w:tcBorders>
              <w:top w:val="single" w:sz="4" w:space="0" w:color="auto"/>
              <w:left w:val="single" w:sz="4" w:space="0" w:color="auto"/>
              <w:bottom w:val="double" w:sz="4" w:space="0" w:color="auto"/>
              <w:right w:val="single" w:sz="4" w:space="0" w:color="auto"/>
            </w:tcBorders>
          </w:tcPr>
          <w:p w14:paraId="3C1ADE57">
            <w:pPr>
              <w:pStyle w:val="TableText"/>
            </w:pPr>
            <w:r>
              <w:t xml:space="preserve">Schema document </w:t>
            </w:r>
            <w:r>
              <w:rPr>
                <w:rStyle w:val="VARIABLE"/>
              </w:rPr>
              <w:t xml:space="preserve">contenttype</w:t>
            </w:r>
          </w:p>
        </w:tc>
        <w:tc>
          <w:tcPr>
            <w:tcW w:w="2233" w:type="dxa"/>
            <w:tcBorders>
              <w:top w:val="single" w:sz="4" w:space="0" w:color="auto"/>
              <w:left w:val="single" w:sz="4" w:space="0" w:color="auto"/>
              <w:bottom w:val="double" w:sz="4" w:space="0" w:color="auto"/>
              <w:right w:val="single" w:sz="4" w:space="0" w:color="auto"/>
            </w:tcBorders>
          </w:tcPr>
          <w:p w14:paraId="0254CD72">
            <w:pPr>
              <w:pStyle w:val="TableText"/>
            </w:pPr>
            <w:r>
              <w:t xml:space="preserve">Document carrier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1F5E73">
            <w:pPr>
              <w:pStyle w:val="TableText"/>
            </w:pPr>
            <w:r>
              <w:t xml:space="preserve">Apache Avro</w:t>
            </w:r>
          </w:p>
        </w:tc>
        <w:tc>
          <w:tcPr>
            <w:tcW w:w="2231" w:type="dxa"/>
            <w:tcBorders>
              <w:top w:val="single" w:sz="4" w:space="0" w:color="auto"/>
              <w:left w:val="single" w:sz="4" w:space="0" w:color="auto"/>
              <w:bottom w:val="single" w:sz="4" w:space="0" w:color="auto"/>
              <w:right w:val="single" w:sz="4" w:space="0" w:color="auto"/>
            </w:tcBorders>
          </w:tcPr>
          <w:p w14:paraId="2C24C0BA">
            <w:pPr>
              <w:pStyle w:val="TableText"/>
            </w:pPr>
            <w:r>
              <w:rPr>
                <w:rStyle w:val="VARIABLE"/>
              </w:rPr>
              <w:t xml:space="preserve">Avro/1.11</w:t>
            </w:r>
          </w:p>
        </w:tc>
        <w:tc>
          <w:tcPr>
            <w:tcW w:w="2231" w:type="dxa"/>
            <w:tcBorders>
              <w:top w:val="single" w:sz="4" w:space="0" w:color="auto"/>
              <w:left w:val="single" w:sz="4" w:space="0" w:color="auto"/>
              <w:bottom w:val="single" w:sz="4" w:space="0" w:color="auto"/>
              <w:right w:val="single" w:sz="4" w:space="0" w:color="auto"/>
            </w:tcBorders>
          </w:tcPr>
          <w:p w14:paraId="1616B5D6">
            <w:pPr>
              <w:pStyle w:val="TableText"/>
            </w:pPr>
            <w:r>
              <w:rPr>
                <w:rStyle w:val="VARIABLE"/>
              </w:rPr>
              <w:t xml:space="preserve">application/vnd.apache.avro+json</w:t>
            </w:r>
          </w:p>
        </w:tc>
        <w:tc>
          <w:tcPr>
            <w:tcW w:w="2233" w:type="dxa"/>
            <w:tcBorders>
              <w:top w:val="single" w:sz="4" w:space="0" w:color="auto"/>
              <w:left w:val="single" w:sz="4" w:space="0" w:color="auto"/>
              <w:bottom w:val="single" w:sz="4" w:space="0" w:color="auto"/>
              <w:right w:val="single" w:sz="4" w:space="0" w:color="auto"/>
            </w:tcBorders>
          </w:tcPr>
          <w:p w14:paraId="57FD8769">
            <w:pPr>
              <w:pStyle w:val="TableText"/>
            </w:pPr>
            <w:r>
              <w:t xml:space="preserve">the </w:t>
            </w:r>
            <w:r>
              <w:rPr>
                <w:rStyle w:val="VARIABLE"/>
              </w:rPr>
              <w:t xml:space="preserve">.avsc</w:t>
            </w:r>
            <w:r>
              <w:t xml:space="preserve"> JSON as the file content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1B9223">
            <w:pPr>
              <w:pStyle w:val="TableText"/>
            </w:pPr>
            <w:r>
              <w:t xml:space="preserve">Apache Arrow</w:t>
            </w:r>
          </w:p>
        </w:tc>
        <w:tc>
          <w:tcPr>
            <w:tcW w:w="2231" w:type="dxa"/>
            <w:tcBorders>
              <w:top w:val="single" w:sz="4" w:space="0" w:color="auto"/>
              <w:left w:val="single" w:sz="4" w:space="0" w:color="auto"/>
              <w:bottom w:val="single" w:sz="4" w:space="0" w:color="auto"/>
              <w:right w:val="single" w:sz="4" w:space="0" w:color="auto"/>
            </w:tcBorders>
          </w:tcPr>
          <w:p w14:paraId="65536004">
            <w:pPr>
              <w:pStyle w:val="TableText"/>
            </w:pPr>
            <w:r>
              <w:rPr>
                <w:rStyle w:val="VARIABLE"/>
              </w:rPr>
              <w:t xml:space="preserve">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669A4CBA">
            <w:pPr>
              <w:pStyle w:val="TableText"/>
            </w:pPr>
            <w:r>
              <w:rPr>
                <w:rStyle w:val="VARIABLE"/>
              </w:rPr>
              <w:t xml:space="preserve">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78C8A078">
            <w:pPr>
              <w:pStyle w:val="TableText"/>
            </w:pPr>
            <w:r>
              <w:t xml:space="preserve">the JSON Arrow-schema description as the file content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3F78F0">
            <w:pPr>
              <w:pStyle w:val="TableText"/>
            </w:pPr>
            <w:r>
              <w:t xml:space="preserve">JSON Schema</w:t>
            </w:r>
          </w:p>
        </w:tc>
        <w:tc>
          <w:tcPr>
            <w:tcW w:w="2231" w:type="dxa"/>
            <w:tcBorders>
              <w:top w:val="single" w:sz="4" w:space="0" w:color="auto"/>
              <w:left w:val="single" w:sz="4" w:space="0" w:color="auto"/>
              <w:bottom w:val="single" w:sz="4" w:space="0" w:color="auto"/>
              <w:right w:val="single" w:sz="4" w:space="0" w:color="auto"/>
            </w:tcBorders>
          </w:tcPr>
          <w:p w14:paraId="6FD31B02">
            <w:pPr>
              <w:pStyle w:val="TableText"/>
            </w:pPr>
            <w:r>
              <w:rPr>
                <w:rStyle w:val="VARIABLE"/>
              </w:rPr>
              <w:t xml:space="preserve">JsonSchema/2020-12</w:t>
            </w:r>
          </w:p>
        </w:tc>
        <w:tc>
          <w:tcPr>
            <w:tcW w:w="2231" w:type="dxa"/>
            <w:tcBorders>
              <w:top w:val="single" w:sz="4" w:space="0" w:color="auto"/>
              <w:left w:val="single" w:sz="4" w:space="0" w:color="auto"/>
              <w:bottom w:val="single" w:sz="4" w:space="0" w:color="auto"/>
              <w:right w:val="single" w:sz="4" w:space="0" w:color="auto"/>
            </w:tcBorders>
          </w:tcPr>
          <w:p w14:paraId="1B9938A0">
            <w:pPr>
              <w:pStyle w:val="TableText"/>
            </w:pPr>
            <w:r>
              <w:rPr>
                <w:rStyle w:val="VARIABLE"/>
              </w:rPr>
              <w:t xml:space="preserve">application/schema+json</w:t>
            </w:r>
          </w:p>
        </w:tc>
        <w:tc>
          <w:tcPr>
            <w:tcW w:w="2233" w:type="dxa"/>
            <w:tcBorders>
              <w:top w:val="single" w:sz="4" w:space="0" w:color="auto"/>
              <w:left w:val="single" w:sz="4" w:space="0" w:color="auto"/>
              <w:bottom w:val="single" w:sz="4" w:space="0" w:color="auto"/>
              <w:right w:val="single" w:sz="4" w:space="0" w:color="auto"/>
            </w:tcBorders>
          </w:tcPr>
          <w:p w14:paraId="694AF2DB">
            <w:pPr>
              <w:pStyle w:val="TableText"/>
            </w:pPr>
            <w:r>
              <w:t xml:space="preserve">the JSON Schema as the file content</w:t>
            </w:r>
          </w:p>
        </w:tc>
      </w:tr>
    </w:tbl>
    <w:p w14:paraId="50F6E58A">
      <w:pPr>
        <w:pStyle w:val="spacer"/>
      </w:pPr>
    </w:p>
    <w:p w14:paraId="4598235E">
      <w:pPr>
        <w:pStyle w:val="PARAGRAPH"/>
      </w:pPr>
      <w:r>
        <w:rPr>
          <w:rStyle w:val="VARIABLE"/>
        </w:rPr>
        <w:t xml:space="preserve">Avro/1.x</w:t>
      </w:r>
      <w:r>
        <w:t xml:space="preserve"> and </w:t>
      </w:r>
      <w:r>
        <w:rPr>
          <w:rStyle w:val="VARIABLE"/>
        </w:rPr>
        <w:t xml:space="preserve">JsonSchema/*</w:t>
      </w:r>
      <w:r>
        <w:t xml:space="preserve"> follow the xRegistry Schema Registry format-naming convention (the spec lists names such as </w:t>
      </w:r>
      <w:r>
        <w:rPr>
          <w:rStyle w:val="VARIABLE"/>
        </w:rPr>
        <w:t xml:space="preserve">Avro/1.9</w:t>
      </w:r>
      <w:r>
        <w:t xml:space="preserve">, </w:t>
      </w:r>
      <w:r>
        <w:rPr>
          <w:rStyle w:val="VARIABLE"/>
        </w:rPr>
        <w:t xml:space="preserve">Protobuf/3</w:t>
      </w:r>
      <w:r>
        <w:t xml:space="preserve">, </w:t>
      </w:r>
      <w:r>
        <w:rPr>
          <w:rStyle w:val="VARIABLE"/>
        </w:rPr>
        <w:t xml:space="preserve">JsonSchema/draft-07</w:t>
      </w:r>
      <w:r>
        <w:t xml:space="preserve">, </w:t>
      </w:r>
      <w:r>
        <w:rPr>
          <w:rStyle w:val="VARIABLE"/>
        </w:rPr>
        <w:t xml:space="preserve">XSD/1.1</w:t>
      </w:r>
      <w:r>
        <w:t xml:space="preserve">; the exact revision token is chosen to match the document); </w:t>
      </w:r>
      <w:r>
        <w:rPr>
          <w:rStyle w:val="VARIABLE"/>
        </w:rPr>
        <w:t xml:space="preserve">ApacheArrow/1.0</w:t>
      </w:r>
      <w:r>
        <w:t xml:space="preserve"> is an application-defined extension format, which xRegistry permits. Every schema file </w:t>
      </w:r>
      <w:r>
        <w:rPr>
          <w:b/>
        </w:rPr>
        <w:t xml:space="preserve">shall</w:t>
      </w:r>
      <w:r>
        <w:t xml:space="preserve"> set </w:t>
      </w:r>
      <w:r>
        <w:rPr>
          <w:rStyle w:val="VARIABLE"/>
        </w:rPr>
        <w:t xml:space="preserve">Format</w:t>
      </w:r>
      <w:r>
        <w:t xml:space="preserve"> (the base </w:t>
      </w:r>
      <w:r>
        <w:rPr>
          <w:rStyle w:val="VARIABLE"/>
        </w:rPr>
        <w:t xml:space="preserve">ResourceType.Format</w:t>
      </w:r>
      <w:r>
        <w:t xml:space="preserve"> is Optional in general, but a schema is identified by its format), and all versions of one schema share the same </w:t>
      </w:r>
      <w:r>
        <w:rPr>
          <w:rStyle w:val="VARIABLE"/>
        </w:rPr>
        <w:t xml:space="preserve">Format</w:t>
      </w:r>
      <w:r>
        <w:t xml:space="preserve"> value. The </w:t>
      </w:r>
      <w:r>
        <w:rPr>
          <w:rStyle w:val="VARIABLE"/>
        </w:rPr>
        <w:t xml:space="preserve">contenttype</w:t>
      </w:r>
      <w:r>
        <w:t xml:space="preserve"> above is the schema </w:t>
      </w:r>
      <w:r>
        <w:rPr>
          <w:i/>
        </w:rPr>
        <w:t xml:space="preserve">document</w:t>
      </w:r>
      <w:r>
        <w:t xml:space="preserve"> media type recorded on the schema file. The message/transport content-type differs by usage and selects the format at resolution time (</w:t>
      </w:r>
      <w:r>
        <w:fldChar w:fldCharType="begin"/>
      </w:r>
      <w:r>
        <w:instrText xml:space="preserve"> REF _Clause_c6_10 \r \h </w:instrText>
      </w:r>
      <w:r>
        <w:fldChar w:fldCharType="separate"/>
      </w:r>
      <w:r>
        <w:rPr>
          <w:noProof/>
        </w:rPr>
        <w:t xml:space="preserve">6.10</w:t>
      </w:r>
      <w:r>
        <w:fldChar w:fldCharType="end"/>
      </w:r>
      <w:r>
        <w:t xml:space="preserve">): Avro PubSub </w:t>
      </w:r>
      <w:r>
        <w:rPr>
          <w:rStyle w:val="VARIABLE"/>
        </w:rPr>
        <w:t xml:space="preserve">application/vnd.apache.avro</w:t>
      </w:r>
      <w:r>
        <w:t xml:space="preserve">, JSON PubSub </w:t>
      </w:r>
      <w:r>
        <w:rPr>
          <w:rStyle w:val="VARIABLE"/>
        </w:rPr>
        <w:t xml:space="preserve">application/json</w:t>
      </w:r>
      <w:r>
        <w:t xml:space="preserve">, and Apache Arrow </w:t>
      </w:r>
      <w:r>
        <w:rPr>
          <w:rStyle w:val="VARIABLE"/>
        </w:rPr>
        <w:t xml:space="preserve">application/vnd.apache.arrow.stream</w:t>
      </w:r>
      <w:r>
        <w:t xml:space="preserve"> (batch PubSub and historian/ADBC streams) or </w:t>
      </w:r>
      <w:r>
        <w:rPr>
          <w:rStyle w:val="VARIABLE"/>
        </w:rPr>
        <w:t xml:space="preserve">application/vnd.apache.arrow.file</w:t>
      </w:r>
      <w:r>
        <w:t xml:space="preserve"> where applicable.</w:t>
      </w:r>
    </w:p>
    <w:p w14:paraId="1A5A6E97">
      <w:pPr>
        <w:pStyle w:val="Heading2"/>
      </w:pPr>
      <w:bookmarkStart w:id="483" w:name="_Clause_c6_8"/>
      <w:r>
        <w:t xml:space="preserve">Schema identity and per-format fingerprints</w:t>
      </w:r>
      <w:bookmarkEnd w:id="483"/>
    </w:p>
    <w:p w14:paraId="2C69BB15">
      <w:pPr>
        <w:pStyle w:val="PARAGRAPH"/>
      </w:pPr>
      <w:r>
        <w:t xml:space="preserve">Every registered schema — regardless of format — has a compact </w:t>
      </w:r>
      <w:r>
        <w:rPr>
          <w:b/>
        </w:rPr>
        <w:t xml:space="preserve">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 xml:space="preserve">per-format and pluggable</w:t>
      </w:r>
      <w:r>
        <w:t xml:space="preserve">: each schema format contributes a deterministic </w:t>
      </w:r>
      <w:r>
        <w:rPr>
          <w:rStyle w:val="VARIABLE"/>
        </w:rPr>
        <w:t xml:space="preserve">(canonicalization, hash)</w:t>
      </w:r>
      <w:r>
        <w:t xml:space="preserve"> pair named by </w:t>
      </w:r>
      <w:r>
        <w:rPr>
          <w:rStyle w:val="VARIABLE"/>
        </w:rPr>
        <w:t xml:space="preserve">SchemaIdAlg</w:t>
      </w:r>
      <w:r>
        <w:t xml:space="preserve">, and a server that supports a format registers its fingerprint provider by </w:t>
      </w:r>
      <w:r>
        <w:rPr>
          <w:b/>
        </w:rPr>
        <w:t xml:space="preserve">dependency injection</w:t>
      </w:r>
      <w:r>
        <w:t xml:space="preserve">. The built-in formats define:</w:t>
      </w:r>
    </w:p>
    <w:p w14:paraId="3C4B7462">
      <w:pPr>
        <w:pStyle w:val="ListBullet"/>
        <w:numPr>
          <w:ilvl w:val="0"/>
          <w:numId w:val="21"/>
        </w:numPr>
      </w:pPr>
      <w:r>
        <w:rPr>
          <w:b/>
        </w:rPr>
        <w:t xml:space="preserve">Apache Avro</w:t>
      </w:r>
      <w:r>
        <w:t xml:space="preserve"> (</w:t>
      </w:r>
      <w:r>
        <w:rPr>
          <w:rStyle w:val="VARIABLE"/>
        </w:rPr>
        <w:t xml:space="preserve">SchemaIdAlg = CRC-64-AVRO</w:t>
      </w:r>
      <w:r>
        <w:t xml:space="preserve">) — the 8-byte CRC-64-AVRO Rabin fingerprint of the schema's Parsing Canonical Form, the fingerprint bytes used by Avro single-object encoding.</w:t>
      </w:r>
    </w:p>
    <w:p w14:paraId="0E44F242">
      <w:pPr>
        <w:pStyle w:val="ListBullet"/>
        <w:numPr>
          <w:ilvl w:val="0"/>
          <w:numId w:val="21"/>
        </w:numPr>
      </w:pPr>
      <w:r>
        <w:rPr>
          <w:b/>
        </w:rPr>
        <w:t xml:space="preserve">Apache Arrow</w:t>
      </w:r>
      <w:r>
        <w:t xml:space="preserve"> (</w:t>
      </w:r>
      <w:r>
        <w:rPr>
          <w:rStyle w:val="VARIABLE"/>
        </w:rPr>
        <w:t xml:space="preserve">SchemaIdAlg = SHA-256/ApacheArrow</w:t>
      </w:r>
      <w:r>
        <w:t xml:space="preserve">) — the first 8 bytes of a SHA-256 fingerprint of the serialized Arrow </w:t>
      </w:r>
      <w:r>
        <w:rPr>
          <w:rStyle w:val="VARIABLE"/>
        </w:rPr>
        <w:t xml:space="preserve">Schema</w:t>
      </w:r>
      <w:r>
        <w:t xml:space="preserve">.</w:t>
      </w:r>
    </w:p>
    <w:p w14:paraId="51B10194">
      <w:pPr>
        <w:pStyle w:val="ListBullet"/>
        <w:numPr>
          <w:ilvl w:val="0"/>
          <w:numId w:val="21"/>
        </w:numPr>
      </w:pPr>
      <w:r>
        <w:rPr>
          <w:b/>
        </w:rPr>
        <w:t xml:space="preserve">JSON Schema</w:t>
      </w:r>
      <w:r>
        <w:t xml:space="preserve"> (</w:t>
      </w:r>
      <w:r>
        <w:rPr>
          <w:rStyle w:val="VARIABLE"/>
        </w:rPr>
        <w:t xml:space="preserve">SchemaIdAlg = SHA-256/JCS</w:t>
      </w:r>
      <w:r>
        <w:t xml:space="preserve">)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26907D94">
      <w:pPr>
        <w:pStyle w:val="PARAGRAPH"/>
      </w:pPr>
      <w:r>
        <w:t xml:space="preserve">A format this specification does not enumerate contributes its own provider and a distinct </w:t>
      </w:r>
      <w:r>
        <w:rPr>
          <w:rStyle w:val="VARIABLE"/>
        </w:rPr>
        <w:t xml:space="preserve">SchemaIdAlg</w:t>
      </w:r>
      <w:r>
        <w:t xml:space="preserve">. Because the SchemaId is the fingerprint of the </w:t>
      </w:r>
      <w:r>
        <w:rPr>
          <w:i/>
        </w:rPr>
        <w:t xml:space="preserve">format-specific</w:t>
      </w:r>
      <w:r>
        <w:t xml:space="preserve"> canonical form, the SchemaIds of the same OPC UA type in different formats differ, and each schema file records both its </w:t>
      </w:r>
      <w:r>
        <w:rPr>
          <w:rStyle w:val="VARIABLE"/>
        </w:rPr>
        <w:t xml:space="preserve">SchemaId</w:t>
      </w:r>
      <w:r>
        <w:t xml:space="preserve"> (raw bytes) and </w:t>
      </w:r>
      <w:r>
        <w:rPr>
          <w:rStyle w:val="VARIABLE"/>
        </w:rPr>
        <w:t xml:space="preserve">SchemaIdAlg</w:t>
      </w:r>
      <w:r>
        <w:t xml:space="preserve">.</w:t>
      </w:r>
    </w:p>
    <w:p w14:paraId="35F96F34">
      <w:pPr>
        <w:pStyle w:val="PARAGRAPH"/>
      </w:pPr>
      <w:r>
        <w:t xml:space="preserve">A consumer holding only a message's SchemaId resolves the schema by matching </w:t>
      </w:r>
      <w:r>
        <w:rPr>
          <w:rStyle w:val="VARIABLE"/>
        </w:rPr>
        <w:t xml:space="preserve">SchemaId</w:t>
      </w:r>
      <w:r>
        <w:t xml:space="preserve"> — directly through the Opaque SchemaId NodeId or </w:t>
      </w:r>
      <w:r>
        <w:rPr>
          <w:rStyle w:val="VARIABLE"/>
        </w:rPr>
        <w:t xml:space="preserve">GetSchema</w:t>
      </w:r>
      <w:r>
        <w:t xml:space="preserve"> (</w:t>
      </w:r>
      <w:r>
        <w:fldChar w:fldCharType="begin"/>
      </w:r>
      <w:r>
        <w:instrText xml:space="preserve"> REF _Clause_c6_6 \r \h </w:instrText>
      </w:r>
      <w:r>
        <w:fldChar w:fldCharType="separate"/>
      </w:r>
      <w:r>
        <w:rPr>
          <w:noProof/>
        </w:rPr>
        <w:t xml:space="preserve">6.6</w:t>
      </w:r>
      <w:r>
        <w:fldChar w:fldCharType="end"/>
      </w:r>
      <w:r>
        <w:t xml:space="preserve">), or by matching within the format's schema group — and confirms the resolved document's </w:t>
      </w:r>
      <w:r>
        <w:rPr>
          <w:rStyle w:val="VARIABLE"/>
        </w:rPr>
        <w:t xml:space="preserve">SchemaIdAlg</w:t>
      </w:r>
      <w:r>
        <w:t xml:space="preserve"> / </w:t>
      </w:r>
      <w:r>
        <w:rPr>
          <w:rStyle w:val="VARIABLE"/>
        </w:rPr>
        <w:t xml:space="preserve">Format</w:t>
      </w:r>
      <w:r>
        <w:t xml:space="preserve"> are the ones it expects (</w:t>
      </w:r>
      <w:r>
        <w:fldChar w:fldCharType="begin"/>
      </w:r>
      <w:r>
        <w:instrText xml:space="preserve"> REF _Clause_c6_6 \r \h </w:instrText>
      </w:r>
      <w:r>
        <w:fldChar w:fldCharType="separate"/>
      </w:r>
      <w:r>
        <w:rPr>
          <w:noProof/>
        </w:rPr>
        <w:t xml:space="preserve">6.6</w:t>
      </w:r>
      <w:r>
        <w:fldChar w:fldCharType="end"/>
      </w:r>
      <w:r>
        <w:t xml:space="preserve">). This resolution is </w:t>
      </w:r>
      <w:r>
        <w:rPr>
          <w:b/>
        </w:rPr>
        <w:t xml:space="preserve">independent of any OPC UA version</w:t>
      </w:r>
      <w:r>
        <w:t xml:space="preserve"> because the SchemaId derives solely from the schema; the compatibility relationship between the SchemaIds of successive Versions of a DataSet is defined in </w:t>
      </w:r>
      <w:r>
        <w:t xml:space="preserve">§7</w:t>
      </w:r>
      <w:r>
        <w:t xml:space="preserve"> and the PubSub DataSet profile (Annex C). For provenance a schema file also records </w:t>
      </w:r>
      <w:r>
        <w:rPr>
          <w:rStyle w:val="VARIABLE"/>
        </w:rPr>
        <w:t xml:space="preserve">ModelVersion</w:t>
      </w:r>
      <w:r>
        <w:t xml:space="preserve">; under the PubSub DataSet profile it additionally records </w:t>
      </w:r>
      <w:r>
        <w:rPr>
          <w:rStyle w:val="VARIABLE"/>
        </w:rPr>
        <w:t xml:space="preserve">ConfigurationVersion</w:t>
      </w:r>
      <w:r>
        <w:t xml:space="preserve"> (Annex C), while a reference DataType schema carries only </w:t>
      </w:r>
      <w:r>
        <w:rPr>
          <w:rStyle w:val="VARIABLE"/>
        </w:rPr>
        <w:t xml:space="preserve">ModelVersion</w:t>
      </w:r>
      <w:r>
        <w:t xml:space="preserve">.</w:t>
      </w:r>
    </w:p>
    <w:p w14:paraId="544124A1">
      <w:pPr>
        <w:pStyle w:val="Heading2"/>
      </w:pPr>
      <w:bookmarkStart w:id="484" w:name="_Clause_c6_9"/>
      <w:r>
        <w:t xml:space="preserve">Schema versioning and compatibility</w:t>
      </w:r>
      <w:bookmarkEnd w:id="484"/>
    </w:p>
    <w:p w14:paraId="354DFD0A">
      <w:pPr>
        <w:pStyle w:val="PARAGRAPH"/>
      </w:pPr>
      <w:r>
        <w:t xml:space="preserve">A schema is an xRegistry </w:t>
      </w:r>
      <w:r>
        <w:rPr>
          <w:i/>
        </w:rPr>
        <w:t xml:space="preserve">schema Resource</w:t>
      </w:r>
      <w:r>
        <w:t xml:space="preserve">: a semantic umbrella over one or more concrete </w:t>
      </w:r>
      <w:r>
        <w:rPr>
          <w:i/>
        </w:rPr>
        <w:t xml:space="preserve">versions</w:t>
      </w:r>
      <w:r>
        <w:t xml:space="preserve">, each a </w:t>
      </w:r>
      <w:r>
        <w:rPr>
          <w:rStyle w:val="VARIABLE"/>
        </w:rPr>
        <w:t xml:space="preserve">SchemaFileType</w:t>
      </w:r>
      <w:r>
        <w:t xml:space="preserve"> document. Versioning follows the base xRegistry model (base </w:t>
      </w:r>
      <w:r>
        <w:t xml:space="preserve">§6.3</w:t>
      </w:r>
      <w:r>
        <w:t xml:space="preserve"> </w:t>
      </w:r>
      <w:r>
        <w:rPr>
          <w:rStyle w:val="VARIABLE"/>
        </w:rPr>
        <w:t xml:space="preserve">ResourceType</w:t>
      </w:r>
      <w:r>
        <w:t xml:space="preserve">/</w:t>
      </w:r>
      <w:r>
        <w:rPr>
          <w:rStyle w:val="VARIABLE"/>
        </w:rPr>
        <w:t xml:space="preserve">VersionId</w:t>
      </w:r>
      <w:r>
        <w:t xml:space="preserve"> and </w:t>
      </w:r>
      <w:r>
        <w:t xml:space="preserve">§6.8</w:t>
      </w:r>
      <w:r>
        <w:t xml:space="preserve"> collection ordering):</w:t>
      </w:r>
    </w:p>
    <w:p w14:paraId="4CAB5449">
      <w:pPr>
        <w:pStyle w:val="ListBullet"/>
        <w:numPr>
          <w:ilvl w:val="0"/>
          <w:numId w:val="21"/>
        </w:numPr>
      </w:pPr>
      <w:r>
        <w:t xml:space="preserve">Each version has a </w:t>
      </w:r>
      <w:r>
        <w:rPr>
          <w:rStyle w:val="VARIABLE"/>
        </w:rPr>
        <w:t xml:space="preserve">VersionId</w:t>
      </w:r>
      <w:r>
        <w:t xml:space="preserve">; the default version is marked </w:t>
      </w:r>
      <w:r>
        <w:rPr>
          <w:rStyle w:val="VARIABLE"/>
        </w:rPr>
        <w:t xml:space="preserve">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 xml:space="preserve">Ancestor</w:t>
      </w:r>
      <w:r>
        <w:t xml:space="preserve"> (</w:t>
      </w:r>
      <w:r>
        <w:rPr>
          <w:rStyle w:val="VARIABLE"/>
        </w:rPr>
        <w:t xml:space="preserve">VersionId</w:t>
      </w:r>
      <w:r>
        <w:t xml:space="preserve">) attribute, so a client can reconstruct the lineage from Browse results.</w:t>
      </w:r>
    </w:p>
    <w:p w14:paraId="4036A32E">
      <w:pPr>
        <w:pStyle w:val="ListBullet"/>
        <w:numPr>
          <w:ilvl w:val="0"/>
          <w:numId w:val="21"/>
        </w:numPr>
      </w:pPr>
      <w:r>
        <w:t xml:space="preserve">A schema's </w:t>
      </w:r>
      <w:r>
        <w:rPr>
          <w:rStyle w:val="VARIABLE"/>
        </w:rPr>
        <w:t xml:space="preserve">Compatibility</w:t>
      </w:r>
      <w:r>
        <w:t xml:space="preserve"> attribute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w:t>
      </w:r>
      <w:r>
        <w:rPr>
          <w:rStyle w:val="VARIABLE"/>
        </w:rPr>
        <w:t xml:space="preserve">FULL</w:t>
      </w:r>
      <w:r>
        <w:t xml:space="preserve">, …) states the contract every version of that schema honours. Adding a version that would break the mode is </w:t>
      </w:r>
      <w:r>
        <w:rPr>
          <w:b/>
        </w:rPr>
        <w:t xml:space="preserve">not</w:t>
      </w:r>
      <w:r>
        <w:t xml:space="preserve"> a new version: it starts a </w:t>
      </w:r>
      <w:r>
        <w:rPr>
          <w:b/>
        </w:rPr>
        <w:t xml:space="preserve">new schema</w:t>
      </w:r>
      <w:r>
        <w:t xml:space="preserve"> (a new </w:t>
      </w:r>
      <w:r>
        <w:rPr>
          <w:rStyle w:val="VARIABLE"/>
        </w:rPr>
        <w:t xml:space="preserve">SchemaFileType</w:t>
      </w:r>
      <w:r>
        <w:t xml:space="preserve">, per the xRegistry rule that any breaking change yields a new schema Resource). A registry that enforces this advertises </w:t>
      </w:r>
      <w:r>
        <w:rPr>
          <w:rStyle w:val="VARIABLE"/>
        </w:rPr>
        <w:t xml:space="preserve">RegistryCapabilitiesDataType.EnforceCompatibility</w:t>
      </w:r>
      <w:r>
        <w:t xml:space="preserve"> (base </w:t>
      </w:r>
      <w:r>
        <w:fldChar w:fldCharType="begin"/>
      </w:r>
      <w:r>
        <w:instrText xml:space="preserve"> REF _Clause_c6_7 \r \h </w:instrText>
      </w:r>
      <w:r>
        <w:fldChar w:fldCharType="separate"/>
      </w:r>
      <w:r>
        <w:rPr>
          <w:noProof/>
        </w:rPr>
        <w:t xml:space="preserve">6.7</w:t>
      </w:r>
      <w:r>
        <w:fldChar w:fldCharType="end"/>
      </w:r>
      <w:r>
        <w:t xml:space="preserve">).</w:t>
      </w:r>
    </w:p>
    <w:p w14:paraId="2371DB50">
      <w:pPr>
        <w:pStyle w:val="ListBullet"/>
        <w:numPr>
          <w:ilvl w:val="0"/>
          <w:numId w:val="21"/>
        </w:numPr>
      </w:pPr>
      <w:r>
        <w:rPr>
          <w:rStyle w:val="VARIABLE"/>
        </w:rPr>
        <w:t xml:space="preserve">SchemaId</w:t>
      </w:r>
      <w:r>
        <w:t xml:space="preserve"> is the on-wire content fingerprint of the concrete version document and is independent of the version number: each version is a distinct document with a distinct </w:t>
      </w:r>
      <w:r>
        <w:rPr>
          <w:rStyle w:val="VARIABLE"/>
        </w:rPr>
        <w:t xml:space="preserve">SchemaId</w:t>
      </w:r>
      <w:r>
        <w:t xml:space="preserve">, and a message carries the </w:t>
      </w:r>
      <w:r>
        <w:rPr>
          <w:rStyle w:val="VARIABLE"/>
        </w:rPr>
        <w:t xml:space="preserve">SchemaId</w:t>
      </w:r>
      <w:r>
        <w:t xml:space="preserve"> of the exact writer version. A consumer compares the </w:t>
      </w:r>
      <w:r>
        <w:rPr>
          <w:rStyle w:val="VARIABLE"/>
        </w:rPr>
        <w:t xml:space="preserve">SchemaId</w:t>
      </w:r>
      <w:r>
        <w:t xml:space="preserve">, not the version number, to decide whether it already holds the schema.</w:t>
      </w:r>
    </w:p>
    <w:p w14:paraId="79262F16">
      <w:pPr>
        <w:pStyle w:val="PARAGRAPH"/>
      </w:pPr>
      <w:r>
        <w:t xml:space="preserve">This core versioning is encoding- and PubSub-neutral and applies to any schema format. Where a Server also serves PubSub DataSet schemas, the optional </w:t>
      </w:r>
      <w:r>
        <w:rPr>
          <w:b/>
        </w:rPr>
        <w:t xml:space="preserve">PubSub DataSet schema profile</w:t>
      </w:r>
      <w:r>
        <w:t xml:space="preserve"> (Annex C) refines this with a </w:t>
      </w:r>
      <w:r>
        <w:rPr>
          <w:rStyle w:val="VARIABLE"/>
        </w:rPr>
        <w:t xml:space="preserve">ConfigurationVersion</w:t>
      </w:r>
      <w:r>
        <w:t xml:space="preserve">-keyed major.minor lineage and an append-only Variant/ExtensionObject schema-evolution rule that realises a </w:t>
      </w:r>
      <w:r>
        <w:rPr>
          <w:rStyle w:val="VARIABLE"/>
        </w:rPr>
        <w:t xml:space="preserve">BACKWARD</w:t>
      </w:r>
      <w:r>
        <w:t xml:space="preserve">-style </w:t>
      </w:r>
      <w:r>
        <w:rPr>
          <w:rStyle w:val="VARIABLE"/>
        </w:rPr>
        <w:t xml:space="preserve">Compatibility</w:t>
      </w:r>
      <w:r>
        <w:t xml:space="preserve"> mode for the Avro and Arrow encodings.</w:t>
      </w:r>
    </w:p>
    <w:p w14:paraId="6C351224">
      <w:pPr>
        <w:pStyle w:val="Heading2"/>
      </w:pPr>
      <w:bookmarkStart w:id="485" w:name="_Clause_c6_10"/>
      <w:r>
        <w:t xml:space="preserve">Resolution flow</w:t>
      </w:r>
      <w:bookmarkEnd w:id="485"/>
    </w:p>
    <w:p w14:paraId="47CEE5F8">
      <w:pPr>
        <w:pStyle w:val="PARAGRAPH"/>
      </w:pPr>
      <w:r>
        <w:t xml:space="preserve">Given a received schema-based message, a consumer </w:t>
      </w:r>
      <w:r>
        <w:rPr>
          <w:b/>
        </w:rPr>
        <w:t xml:space="preserve">shall</w:t>
      </w:r>
      <w:r>
        <w:t xml:space="preserve"> resolve its schema as follows:</w:t>
      </w:r>
    </w:p>
    <w:p w14:paraId="61FACFF3">
      <w:pPr>
        <w:pStyle w:val="ListNumber"/>
        <w:numPr>
          <w:ilvl w:val="0"/>
          <w:numId w:val="21"/>
        </w:numPr>
      </w:pPr>
      <w:r>
        <w:t xml:space="preserve">If the message carries an on-wire </w:t>
      </w:r>
      <w:r>
        <w:rPr>
          <w:b/>
        </w:rPr>
        <w:t xml:space="preserve">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Pr>
          <w:noProof/>
        </w:rPr>
        <w:t xml:space="preserve">5.1</w:t>
      </w:r>
      <w:r>
        <w:fldChar w:fldCharType="end"/>
      </w:r>
      <w:r>
        <w:t xml:space="preserve">):</w:t>
      </w:r>
    </w:p>
    <w:p w14:paraId="5DDAB711">
      <w:pPr>
        <w:pStyle w:val="ListNumber"/>
        <w:numPr>
          <w:ilvl w:val="0"/>
          <w:numId w:val="21"/>
        </w:numPr>
      </w:pPr>
      <w:r>
        <w:rPr>
          <w:b/>
        </w:rPr>
        <w:t xml:space="preserve">0a in-server fast path:</w:t>
      </w:r>
      <w:r>
        <w:t xml:space="preserve"> construct the Opaque SchemaId NodeId in the </w:t>
      </w:r>
      <w:r>
        <w:rPr>
          <w:rStyle w:val="VARIABLE"/>
        </w:rPr>
        <w:t xml:space="preserve">http://opcfoundation.org/UA/SchemaRegistry/</w:t>
      </w:r>
      <w:r>
        <w:t xml:space="preserve"> namespace and Read the Value Attribute of the addressed ByteString Variable, or call </w:t>
      </w:r>
      <w:r>
        <w:rPr>
          <w:rStyle w:val="VARIABLE"/>
        </w:rPr>
        <w:t xml:space="preserve">GetSchema(SchemaId)</w:t>
      </w:r>
      <w:r>
        <w:t xml:space="preserve">. If found, cache the returned document by SchemaId for all subsequent messages and decode.</w:t>
      </w:r>
    </w:p>
    <w:p w14:paraId="788CA28F">
      <w:pPr>
        <w:pStyle w:val="ListNumber"/>
        <w:numPr>
          <w:ilvl w:val="0"/>
          <w:numId w:val="21"/>
        </w:numPr>
      </w:pPr>
      <w:r>
        <w:rPr>
          <w:b/>
        </w:rPr>
        <w:t xml:space="preserve">0b compatible lineage:</w:t>
      </w:r>
      <w:r>
        <w:t xml:space="preserve"> if the exact on-wire SchemaId cannot be resolved but the consumer already holds a later minor of the same lineage (PubSub DataSet profile, Annex C), it </w:t>
      </w:r>
      <w:r>
        <w:rPr>
          <w:b/>
        </w:rPr>
        <w:t xml:space="preserve">may</w:t>
      </w:r>
      <w:r>
        <w:t xml:space="preserve"> decode with that later schema where the encoding permits — Avro or an Arrow IPC </w:t>
      </w:r>
      <w:r>
        <w:rPr>
          <w:rStyle w:val="VARIABLE"/>
        </w:rPr>
        <w:t xml:space="preserve">stream</w:t>
      </w:r>
      <w:r>
        <w:t xml:space="preserve"> — after confirming from the registry or announced lineage that the on-wire SchemaId is an earlier minor of that lineage; it </w:t>
      </w:r>
      <w:r>
        <w:rPr>
          <w:b/>
        </w:rPr>
        <w:t xml:space="preserve">shall not</w:t>
      </w:r>
      <w:r>
        <w:t xml:space="preserve"> compare the on-wire fingerprint against the later schema's canonical form, and for an Arrow bare </w:t>
      </w:r>
      <w:r>
        <w:rPr>
          <w:rStyle w:val="VARIABLE"/>
        </w:rPr>
        <w:t xml:space="preserve">batch</w:t>
      </w:r>
      <w:r>
        <w:t xml:space="preserve"> it </w:t>
      </w:r>
      <w:r>
        <w:rPr>
          <w:b/>
        </w:rPr>
        <w:t xml:space="preserve">shall</w:t>
      </w:r>
      <w:r>
        <w:t xml:space="preserve"> resolve the exact writer-minor schema instead.</w:t>
      </w:r>
    </w:p>
    <w:p w14:paraId="004159AA">
      <w:pPr>
        <w:pStyle w:val="ListNumber"/>
        <w:numPr>
          <w:ilvl w:val="0"/>
          <w:numId w:val="21"/>
        </w:numPr>
      </w:pPr>
      <w:r>
        <w:rPr>
          <w:b/>
        </w:rPr>
        <w:t xml:space="preserve">0c federated registry:</w:t>
      </w:r>
      <w:r>
        <w:t xml:space="preserve"> if the SchemaId is not registered locally, the consumer </w:t>
      </w:r>
      <w:r>
        <w:rPr>
          <w:b/>
        </w:rPr>
        <w:t xml:space="preserve">may</w:t>
      </w:r>
      <w:r>
        <w:t xml:space="preserve"> resolve it against a federated registry the local registry references (base </w:t>
      </w:r>
      <w:r>
        <w:fldChar w:fldCharType="begin"/>
      </w:r>
      <w:r>
        <w:instrText xml:space="preserve"> REF _Clause_c6_10 \r \h </w:instrText>
      </w:r>
      <w:r>
        <w:fldChar w:fldCharType="separate"/>
      </w:r>
      <w:r>
        <w:rPr>
          <w:noProof/>
        </w:rPr>
        <w:t xml:space="preserve">6.10</w:t>
      </w:r>
      <w:r>
        <w:fldChar w:fldCharType="end"/>
      </w:r>
      <w:r>
        <w:t xml:space="preserve"> / Annex B). If no SchemaId path succeeds, continue.</w:t>
      </w:r>
    </w:p>
    <w:p w14:paraId="65823E39">
      <w:pPr>
        <w:pStyle w:val="ListNumber"/>
        <w:numPr>
          <w:ilvl w:val="0"/>
          <w:numId w:val="21"/>
        </w:numPr>
      </w:pPr>
      <w:r>
        <w:t xml:space="preserve">Determine the </w:t>
      </w:r>
      <w:r>
        <w:rPr>
          <w:b/>
        </w:rPr>
        <w:t xml:space="preserve">format</w:t>
      </w:r>
      <w:r>
        <w:t xml:space="preserve"> from the transport </w:t>
      </w:r>
      <w:r>
        <w:rPr>
          <w:b/>
        </w:rPr>
        <w:t xml:space="preserve">content-type</w:t>
      </w:r>
      <w:r>
        <w:t xml:space="preserve">: for example Avro PubSub </w:t>
      </w:r>
      <w:r>
        <w:rPr>
          <w:rStyle w:val="VARIABLE"/>
        </w:rPr>
        <w:t xml:space="preserve">application/vnd.apache.avro</w:t>
      </w:r>
      <w:r>
        <w:t xml:space="preserve">, JSON PubSub </w:t>
      </w:r>
      <w:r>
        <w:rPr>
          <w:rStyle w:val="VARIABLE"/>
        </w:rPr>
        <w:t xml:space="preserve">application/json</w:t>
      </w:r>
      <w:r>
        <w:t xml:space="preserve">, or Arrow </w:t>
      </w:r>
      <w:r>
        <w:rPr>
          <w:rStyle w:val="VARIABLE"/>
        </w:rPr>
        <w:t xml:space="preserve">application/vnd.apache.arrow.stream</w:t>
      </w:r>
      <w:r>
        <w:t xml:space="preserve"> carried in MQTT </w:t>
      </w:r>
      <w:r>
        <w:rPr>
          <w:rStyle w:val="VARIABLE"/>
        </w:rPr>
        <w:t xml:space="preserve">ContentType</w:t>
      </w:r>
      <w:r>
        <w:t xml:space="preserve">, AMQP/Kafka </w:t>
      </w:r>
      <w:r>
        <w:rPr>
          <w:rStyle w:val="VARIABLE"/>
        </w:rPr>
        <w:t xml:space="preserve">content-type</w:t>
      </w:r>
      <w:r>
        <w:t xml:space="preserve">, or the corresponding OPC UA message mapping.</w:t>
      </w:r>
    </w:p>
    <w:p w14:paraId="564B578D">
      <w:pPr>
        <w:pStyle w:val="ListNumber"/>
        <w:numPr>
          <w:ilvl w:val="0"/>
          <w:numId w:val="21"/>
        </w:numPr>
      </w:pPr>
      <w:r>
        <w:t xml:space="preserve">If the message header carries an explicit </w:t>
      </w:r>
      <w:r>
        <w:rPr>
          <w:b/>
        </w:rPr>
        <w:t xml:space="preserve">schema reference</w:t>
      </w:r>
      <w:r>
        <w:t xml:space="preserve"> (a schema file's </w:t>
      </w:r>
      <w:r>
        <w:rPr>
          <w:rStyle w:val="VARIABLE"/>
        </w:rPr>
        <w:t xml:space="preserve">self</w:t>
      </w:r>
      <w:r>
        <w:t xml:space="preserve">/URL, carried in the Part 14 message header extension or the transport header, modelled on CloudEvents </w:t>
      </w:r>
      <w:r>
        <w:rPr>
          <w:rStyle w:val="VARIABLE"/>
        </w:rPr>
        <w:t xml:space="preserve">dataschema</w:t>
      </w:r>
      <w:r>
        <w:t xml:space="preserve">), read it and decode. Otherwise, continue.</w:t>
      </w:r>
    </w:p>
    <w:p w14:paraId="5EB02E74">
      <w:pPr>
        <w:pStyle w:val="ListNumber"/>
        <w:numPr>
          <w:ilvl w:val="0"/>
          <w:numId w:val="21"/>
        </w:numPr>
      </w:pPr>
      <w:r>
        <w:t xml:space="preserve">Resolve the </w:t>
      </w:r>
      <w:r>
        <w:rPr>
          <w:b/>
        </w:rPr>
        <w:t xml:space="preserve">schema group</w:t>
      </w:r>
      <w:r>
        <w:t xml:space="preserve"> from the namespace, then the </w:t>
      </w:r>
      <w:r>
        <w:rPr>
          <w:b/>
        </w:rPr>
        <w:t xml:space="preserve">schema file</w:t>
      </w:r>
      <w:r>
        <w:t xml:space="preserve"> and </w:t>
      </w:r>
      <w:r>
        <w:rPr>
          <w:b/>
        </w:rPr>
        <w:t xml:space="preserve">Version</w:t>
      </w:r>
      <w:r>
        <w:t xml:space="preserve">:</w:t>
      </w:r>
    </w:p>
    <w:p w14:paraId="774E876E">
      <w:pPr>
        <w:pStyle w:val="ListNumber"/>
        <w:numPr>
          <w:ilvl w:val="0"/>
          <w:numId w:val="21"/>
        </w:numPr>
      </w:pPr>
      <w:r>
        <w:t xml:space="preserve">against a reference </w:t>
      </w:r>
      <w:r>
        <w:rPr>
          <w:b/>
        </w:rPr>
        <w:t xml:space="preserve">DataType</w:t>
      </w:r>
      <w:r>
        <w:t xml:space="preserve"> registry: by </w:t>
      </w:r>
      <w:r>
        <w:rPr>
          <w:rStyle w:val="VARIABLE"/>
        </w:rPr>
        <w:t xml:space="preserve">&lt;BrowseName&gt;:&lt;fmt&gt;</w:t>
      </w:r>
      <w:r>
        <w:t xml:space="preserve"> (the DataType BrowseName) and the </w:t>
      </w:r>
      <w:r>
        <w:rPr>
          <w:rStyle w:val="VARIABLE"/>
        </w:rPr>
        <w:t xml:space="preserve">ModelVersion</w:t>
      </w:r>
      <w:r>
        <w:t xml:space="preserve"> metadata;</w:t>
      </w:r>
    </w:p>
    <w:p w14:paraId="3D94D9CA">
      <w:pPr>
        <w:pStyle w:val="ListNumber"/>
        <w:numPr>
          <w:ilvl w:val="0"/>
          <w:numId w:val="21"/>
        </w:numPr>
      </w:pPr>
      <w:r>
        <w:t xml:space="preserve">against a live </w:t>
      </w:r>
      <w:r>
        <w:rPr>
          <w:b/>
        </w:rPr>
        <w:t xml:space="preserve">PubSub</w:t>
      </w:r>
      <w:r>
        <w:t xml:space="preserve"> registry that registers per-DataSet schemas (PubSub DataSet profile, Annex C): by </w:t>
      </w:r>
      <w:r>
        <w:rPr>
          <w:rStyle w:val="VARIABLE"/>
        </w:rPr>
        <w:t xml:space="preserve">&lt;DataSetName&gt;:&lt;fmt&gt;</w:t>
      </w:r>
      <w:r>
        <w:t xml:space="preserve"> and </w:t>
      </w:r>
      <w:r>
        <w:rPr>
          <w:rStyle w:val="VARIABLE"/>
        </w:rPr>
        <w:t xml:space="preserve">ConfigurationVersion</w:t>
      </w:r>
      <w:r>
        <w:t xml:space="preserve"> = the message </w:t>
      </w:r>
      <w:r>
        <w:rPr>
          <w:rStyle w:val="VARIABLE"/>
        </w:rPr>
        <w:t xml:space="preserve">DataSetMessage</w:t>
      </w:r>
      <w:r>
        <w:t xml:space="preserve"> header </w:t>
      </w:r>
      <w:r>
        <w:rPr>
          <w:rStyle w:val="VARIABLE"/>
        </w:rPr>
        <w:t xml:space="preserve">ConfigurationVersion</w:t>
      </w:r>
      <w:r>
        <w:t xml:space="preserve">. This name+</w:t>
      </w:r>
      <w:r>
        <w:rPr>
          <w:rStyle w:val="VARIABLE"/>
        </w:rPr>
        <w:t xml:space="preserve">ConfigurationVersion</w:t>
      </w:r>
      <w:r>
        <w:t xml:space="preserve"> lookup is unambiguous only when schema generation is </w:t>
      </w:r>
      <w:r>
        <w:rPr>
          <w:b/>
        </w:rPr>
        <w:t xml:space="preserve">deterministic</w:t>
      </w:r>
      <w:r>
        <w:t xml:space="preserve"> (schema-driven, Annex C.2) or the DataSet has a single writer; under publisher-local data-driven growth several distinct schemas may share one </w:t>
      </w:r>
      <w:r>
        <w:rPr>
          <w:rStyle w:val="VARIABLE"/>
        </w:rPr>
        <w:t xml:space="preserve">ConfigurationVersion</w:t>
      </w:r>
      <w:r>
        <w:t xml:space="preserve">, so the lookup MAY return multiple candidates that the consumer disambiguates by the on-wire </w:t>
      </w:r>
      <w:r>
        <w:rPr>
          <w:rStyle w:val="VARIABLE"/>
        </w:rPr>
        <w:t xml:space="preserve">SchemaId</w:t>
      </w:r>
      <w:r>
        <w:t xml:space="preserve"> (step 0), which remains the authoritative key.</w:t>
      </w:r>
    </w:p>
    <w:p w14:paraId="459905F2">
      <w:pPr>
        <w:pStyle w:val="ListNumber"/>
        <w:numPr>
          <w:ilvl w:val="0"/>
          <w:numId w:val="21"/>
        </w:numPr>
      </w:pPr>
      <w:r>
        <w:rPr>
          <w:rStyle w:val="VARIABLE"/>
        </w:rPr>
        <w:t xml:space="preserve">Open</w:t>
      </w:r>
      <w:r>
        <w:t xml:space="preserve">/</w:t>
      </w:r>
      <w:r>
        <w:rPr>
          <w:rStyle w:val="VARIABLE"/>
        </w:rPr>
        <w:t xml:space="preserve">Read</w:t>
      </w:r>
      <w:r>
        <w:t xml:space="preserve"> the resolved schema file and decode the payload per the corresponding Part 6 or Part 14 addition.</w:t>
      </w:r>
    </w:p>
    <w:p w14:paraId="6F1E702D">
      <w:pPr>
        <w:pStyle w:val="PARAGRAPH"/>
      </w:pPr>
      <w:r>
        <w:t xml:space="preserve">The </w:t>
      </w:r>
      <w:r>
        <w:rPr>
          <w:rStyle w:val="VARIABLE"/>
        </w:rPr>
        <w:t xml:space="preserve">ConfigurationVersion</w:t>
      </w:r>
      <w:r>
        <w:t xml:space="preserve"> correlation (step 3, PubSub DataSet profile) is the same mechanism the OPC UA JSON/UADP mappings already use to detect DataSet layout change; a mismatch </w:t>
      </w:r>
      <w:r>
        <w:rPr>
          <w:b/>
        </w:rPr>
        <w:t xml:space="preserve">shall</w:t>
      </w:r>
      <w:r>
        <w:t xml:space="preserve"> cause the consumer to re-resolve the schema. A PubSub decoder follows the Avro </w:t>
      </w:r>
      <w:r>
        <w:fldChar w:fldCharType="begin"/>
      </w:r>
      <w:r>
        <w:instrText xml:space="preserve"> REF _Clause_c6_11 \r \h </w:instrText>
      </w:r>
      <w:r>
        <w:fldChar w:fldCharType="separate"/>
      </w:r>
      <w:r>
        <w:rPr>
          <w:noProof/>
        </w:rPr>
        <w:t xml:space="preserve">6.11</w:t>
      </w:r>
      <w:r>
        <w:fldChar w:fldCharType="end"/>
      </w:r>
      <w:r>
        <w:t xml:space="preserve"> or Arrow </w:t>
      </w:r>
      <w:r>
        <w:fldChar w:fldCharType="begin"/>
      </w:r>
      <w:r>
        <w:instrText xml:space="preserve"> REF _Clause_c5_2 \r \h </w:instrText>
      </w:r>
      <w:r>
        <w:fldChar w:fldCharType="separate"/>
      </w:r>
      <w:r>
        <w:rPr>
          <w:noProof/>
        </w:rPr>
        <w:t xml:space="preserve">5.2</w:t>
      </w:r>
      <w:r>
        <w:fldChar w:fldCharType="end"/>
      </w:r>
      <w:r>
        <w:t xml:space="preserve"> cache-miss flow: if the message carries a SchemaId and the decoder cache does not contain it, it first attempts the Opaque NodeId Read or </w:t>
      </w:r>
      <w:r>
        <w:rPr>
          <w:rStyle w:val="VARIABLE"/>
        </w:rPr>
        <w:t xml:space="preserve">GetSchema</w:t>
      </w:r>
      <w:r>
        <w:t xml:space="preserve">; if neither succeeds, it may fall back to an announcement frame, a federated registry lookup, or AddressSpace schema regeneration as defined by the encoding mapping.</w:t>
      </w:r>
    </w:p>
    <w:p w14:paraId="4A1BCCB4">
      <w:pPr>
        <w:pStyle w:val="Heading2"/>
      </w:pPr>
      <w:bookmarkStart w:id="486" w:name="_Clause_c6_11"/>
      <w:r>
        <w:t xml:space="preserve">TTL and mirror semantics</w:t>
      </w:r>
      <w:bookmarkEnd w:id="486"/>
    </w:p>
    <w:p w14:paraId="727DE954">
      <w:pPr>
        <w:pStyle w:val="PARAGRAPH"/>
      </w:pPr>
      <w:r>
        <w:t xml:space="preserve">A registry is authoritative by default. In authoritative mode, schema files do not expire and </w:t>
      </w:r>
      <w:r>
        <w:rPr>
          <w:rStyle w:val="VARIABLE"/>
        </w:rPr>
        <w:t xml:space="preserve">ExpiryTime</w:t>
      </w:r>
      <w:r>
        <w:t xml:space="preserve"> and </w:t>
      </w:r>
      <w:r>
        <w:rPr>
          <w:rStyle w:val="VARIABLE"/>
        </w:rPr>
        <w:t xml:space="preserve">Ttl</w:t>
      </w:r>
      <w:r>
        <w:t xml:space="preserve"> are omitted.</w:t>
      </w:r>
    </w:p>
    <w:p w14:paraId="1CFF92BB">
      <w:pPr>
        <w:pStyle w:val="PARAGRAPH"/>
      </w:pPr>
      <w:r>
        <w:t xml:space="preserve">An in-server registry may operate as a TTL-cached mirror in front of an external xRegistry (a federated registry, base </w:t>
      </w:r>
      <w:r>
        <w:t xml:space="preserve">§8</w:t>
      </w:r>
      <w:r>
        <w:t xml:space="preserve">). In mirror mode, </w:t>
      </w:r>
      <w:r>
        <w:rPr>
          <w:rStyle w:val="VARIABLE"/>
        </w:rPr>
        <w:t xml:space="preserve">Ttl</w:t>
      </w:r>
      <w:r>
        <w:t xml:space="preserve"> records the configured time-to-live and </w:t>
      </w:r>
      <w:r>
        <w:rPr>
          <w:rStyle w:val="VARIABLE"/>
        </w:rPr>
        <w:t xml:space="preserve">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4D5883A5">
      <w:pPr>
        <w:pStyle w:val="Heading2"/>
      </w:pPr>
      <w:bookmarkStart w:id="487" w:name="_Clause_c6_12"/>
      <w:r>
        <w:t xml:space="preserve">Structure materialization and the xRegistry API</w:t>
      </w:r>
      <w:bookmarkEnd w:id="487"/>
    </w:p>
    <w:p w14:paraId="33A5809D">
      <w:pPr>
        <w:pStyle w:val="Heading3"/>
      </w:pPr>
      <w:bookmarkStart w:id="488" w:name="_Clause_c6_12_1"/>
      <w:r>
        <w:t xml:space="preserve">Auto-bootstrap of the schema structure</w:t>
      </w:r>
      <w:bookmarkEnd w:id="488"/>
    </w:p>
    <w:p w14:paraId="79F4A4E8">
      <w:pPr>
        <w:pStyle w:val="PARAGRAPH"/>
      </w:pPr>
      <w:r>
        <w:t xml:space="preserve">The base auto-bootstrap (base </w:t>
      </w:r>
      <w:r>
        <w:t xml:space="preserve">§6.5</w:t>
      </w:r>
      <w:r>
        <w:t xml:space="preserve">) is specialized for schemas. When a schema file is created and written (</w:t>
      </w:r>
      <w:r>
        <w:fldChar w:fldCharType="begin"/>
      </w:r>
      <w:r>
        <w:instrText xml:space="preserve"> REF _Clause_c5_2 \r \h </w:instrText>
      </w:r>
      <w:r>
        <w:fldChar w:fldCharType="separate"/>
      </w:r>
      <w:r>
        <w:rPr>
          <w:noProof/>
        </w:rPr>
        <w:t xml:space="preserve">5.2</w:t>
      </w:r>
      <w:r>
        <w:fldChar w:fldCharType="end"/>
      </w:r>
      <w:r>
        <w:t xml:space="preserve">), the server materializes the full xRegistry structure so it is immediately visible in all three representations: it creates the namespace </w:t>
      </w:r>
      <w:r>
        <w:rPr>
          <w:rStyle w:val="VARIABLE"/>
        </w:rPr>
        <w:t xml:space="preserve">SchemaGroup</w:t>
      </w:r>
      <w:r>
        <w:t xml:space="preserve"> if absent (deriving </w:t>
      </w:r>
      <w:r>
        <w:rPr>
          <w:rStyle w:val="VARIABLE"/>
        </w:rPr>
        <w:t xml:space="preserve">NamespaceUri</w:t>
      </w:r>
      <w:r>
        <w:t xml:space="preserve"> from the document or the create arguments), assigns the base attributes (</w:t>
      </w:r>
      <w:r>
        <w:rPr>
          <w:rStyle w:val="VARIABLE"/>
        </w:rPr>
        <w:t xml:space="preserve">Xid</w:t>
      </w:r>
      <w:r>
        <w:t xml:space="preserve">, </w:t>
      </w:r>
      <w:r>
        <w:rPr>
          <w:rStyle w:val="VARIABLE"/>
        </w:rPr>
        <w:t xml:space="preserve">Epoch</w:t>
      </w:r>
      <w:r>
        <w:t xml:space="preserve">, </w:t>
      </w:r>
      <w:r>
        <w:rPr>
          <w:rStyle w:val="VARIABLE"/>
        </w:rPr>
        <w:t xml:space="preserve">CreatedAt</w:t>
      </w:r>
      <w:r>
        <w:t xml:space="preserve">/</w:t>
      </w:r>
      <w:r>
        <w:rPr>
          <w:rStyle w:val="VARIABLE"/>
        </w:rPr>
        <w:t xml:space="preserve">ModifiedAt</w:t>
      </w:r>
      <w:r>
        <w:t xml:space="preserve">, </w:t>
      </w:r>
      <w:r>
        <w:rPr>
          <w:rStyle w:val="VARIABLE"/>
        </w:rPr>
        <w:t xml:space="preserve">ResourceId</w:t>
      </w:r>
      <w:r>
        <w:t xml:space="preserve">, </w:t>
      </w:r>
      <w:r>
        <w:rPr>
          <w:rStyle w:val="VARIABLE"/>
        </w:rPr>
        <w:t xml:space="preserve">VersionId</w:t>
      </w:r>
      <w:r>
        <w:t xml:space="preserve">), and computes the schema-specific metadata (</w:t>
      </w:r>
      <w:r>
        <w:rPr>
          <w:rStyle w:val="VARIABLE"/>
        </w:rPr>
        <w:t xml:space="preserve">SchemaId</w:t>
      </w:r>
      <w:r>
        <w:t xml:space="preserve">, </w:t>
      </w:r>
      <w:r>
        <w:rPr>
          <w:rStyle w:val="VARIABLE"/>
        </w:rPr>
        <w:t xml:space="preserve">SchemaIdAlg</w:t>
      </w:r>
      <w:r>
        <w:t xml:space="preserve">, </w:t>
      </w:r>
      <w:r>
        <w:rPr>
          <w:rStyle w:val="VARIABLE"/>
        </w:rPr>
        <w:t xml:space="preserve">Format</w:t>
      </w:r>
      <w:r>
        <w:t xml:space="preserve">, </w:t>
      </w:r>
      <w:r>
        <w:rPr>
          <w:rStyle w:val="VARIABLE"/>
        </w:rPr>
        <w:t xml:space="preserve">ContentType</w:t>
      </w:r>
      <w:r>
        <w:t xml:space="preserve">, </w:t>
      </w:r>
      <w:r>
        <w:rPr>
          <w:rStyle w:val="VARIABLE"/>
        </w:rPr>
        <w:t xml:space="preserve">DataTypeEncoding</w:t>
      </w:r>
      <w:r>
        <w:t xml:space="preserve">, </w:t>
      </w:r>
      <w:r>
        <w:rPr>
          <w:rStyle w:val="VARIABLE"/>
        </w:rPr>
        <w:t xml:space="preserve">ModelVersion</w:t>
      </w:r>
      <w:r>
        <w:t xml:space="preserve">, and </w:t>
      </w:r>
      <w:r>
        <w:rPr>
          <w:rStyle w:val="VARIABLE"/>
        </w:rPr>
        <w:t xml:space="preserve">ConfigurationVersion</w:t>
      </w:r>
      <w:r>
        <w:t xml:space="preserve"> for a DataSet schema). A client that needs finer control adjusts labels afterwards with the inherited </w:t>
      </w:r>
      <w:r>
        <w:rPr>
          <w:rStyle w:val="VARIABLE"/>
        </w:rPr>
        <w:t xml:space="preserve">Labels</w:t>
      </w:r>
      <w:r>
        <w:t xml:space="preserve"> container's </w:t>
      </w:r>
      <w:r>
        <w:rPr>
          <w:rStyle w:val="VARIABLE"/>
        </w:rPr>
        <w:t xml:space="preserve">AddAttribute</w:t>
      </w:r>
      <w:r>
        <w:t xml:space="preserve">/</w:t>
      </w:r>
      <w:r>
        <w:rPr>
          <w:rStyle w:val="VARIABLE"/>
        </w:rPr>
        <w:t xml:space="preserve">RemoveAttribute</w:t>
      </w:r>
      <w:r>
        <w:t xml:space="preserve"> Methods.</w:t>
      </w:r>
    </w:p>
    <w:p w14:paraId="611434D3">
      <w:pPr>
        <w:pStyle w:val="Heading3"/>
      </w:pPr>
      <w:bookmarkStart w:id="489" w:name="_Clause_c6_12_2"/>
      <w:r>
        <w:t xml:space="preserve">Serving the xRegistry API and the JSON projection</w:t>
      </w:r>
      <w:bookmarkEnd w:id="489"/>
    </w:p>
    <w:p w14:paraId="6EFEBE15">
      <w:pPr>
        <w:pStyle w:val="PARAGRAPH"/>
      </w:pPr>
      <w:r>
        <w:t xml:space="preserve">The AddressSpace subtree rooted at </w:t>
      </w:r>
      <w:r>
        <w:rPr>
          <w:rStyle w:val="VARIABLE"/>
        </w:rPr>
        <w:t xml:space="preserve">SchemaRegistry</w:t>
      </w:r>
      <w:r>
        <w:t xml:space="preserve"> is simultaneously the xRegistry API server and serializes to the xRegistry Schema Registry JSON shape, per the OPC UA API of </w:t>
      </w:r>
      <w:r>
        <w:rPr>
          <w:i/>
        </w:rPr>
        <w:t xml:space="preserve">xRegistry — OPC UA API</w:t>
      </w:r>
      <w:r>
        <w:t xml:space="preserve">. The schema-specific projection is:</w:t>
      </w:r>
    </w:p>
    <w:p w14:paraId="38BE8FC2">
      <w:pPr>
        <w:pStyle w:val="TABLE-title"/>
        <w:keepNext/>
      </w:pPr>
      <w:bookmarkStart w:id="490" w:name="_Tab_serving_the_xregistry_api_and_the_json_projection_tab1"/>
      <w:r>
        <w:t xml:space="preserve">Table </w:t>
      </w:r>
      <w:r>
        <w:fldChar w:fldCharType="begin"/>
      </w:r>
      <w:r>
        <w:instrText xml:space="preserve"> SEQ Table \* ARABIC </w:instrText>
      </w:r>
      <w:r>
        <w:fldChar w:fldCharType="separate"/>
      </w:r>
      <w:r>
        <w:rPr>
          <w:noProof/>
        </w:rPr>
        <w:t xml:space="preserve">2</w:t>
      </w:r>
      <w:r>
        <w:fldChar w:fldCharType="end"/>
      </w:r>
      <w:r>
        <w:t xml:space="preserve"> – Serving the xRegistry API and the JSON projection</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A407262">
            <w:pPr>
              <w:pStyle w:val="TableText"/>
            </w:pPr>
            <w:r>
              <w:t xml:space="preserve">OPC UA node</w:t>
            </w:r>
          </w:p>
        </w:tc>
        <w:tc>
          <w:tcPr>
            <w:tcW w:w="4463" w:type="dxa"/>
            <w:tcBorders>
              <w:top w:val="single" w:sz="4" w:space="0" w:color="auto"/>
              <w:left w:val="single" w:sz="4" w:space="0" w:color="auto"/>
              <w:bottom w:val="double" w:sz="4" w:space="0" w:color="auto"/>
              <w:right w:val="single" w:sz="4" w:space="0" w:color="auto"/>
            </w:tcBorders>
          </w:tcPr>
          <w:p w14:paraId="5D48119F">
            <w:pPr>
              <w:pStyle w:val="TableText"/>
            </w:pPr>
            <w:r>
              <w:t xml:space="preserve">xRegistry JSON member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44585C">
            <w:pPr>
              <w:pStyle w:val="TableText"/>
            </w:pPr>
            <w:r>
              <w:rPr>
                <w:rStyle w:val="VARIABLE"/>
              </w:rPr>
              <w:t xml:space="preserve">SchemaRegistry</w:t>
            </w:r>
          </w:p>
        </w:tc>
        <w:tc>
          <w:tcPr>
            <w:tcW w:w="4463" w:type="dxa"/>
            <w:tcBorders>
              <w:top w:val="single" w:sz="4" w:space="0" w:color="auto"/>
              <w:left w:val="single" w:sz="4" w:space="0" w:color="auto"/>
              <w:bottom w:val="single" w:sz="4" w:space="0" w:color="auto"/>
              <w:right w:val="single" w:sz="4" w:space="0" w:color="auto"/>
            </w:tcBorders>
          </w:tcPr>
          <w:p w14:paraId="089ACD08">
            <w:pPr>
              <w:pStyle w:val="TableText"/>
            </w:pPr>
            <w:r>
              <w:t xml:space="preserve">registry document root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3D30E58">
            <w:pPr>
              <w:pStyle w:val="TableText"/>
            </w:pPr>
            <w:r>
              <w:rPr>
                <w:rStyle w:val="VARIABLE"/>
              </w:rPr>
              <w:t xml:space="preserve">SchemaGroupType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42D64607">
            <w:pPr>
              <w:pStyle w:val="TableText"/>
            </w:pPr>
            <w:r>
              <w:rPr>
                <w:rStyle w:val="VARIABLE"/>
              </w:rPr>
              <w:t xml:space="preserve">schemagroups</w:t>
            </w:r>
            <w:r>
              <w:t xml:space="preserve"> map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36033A">
            <w:pPr>
              <w:pStyle w:val="TableText"/>
            </w:pPr>
            <w:r>
              <w:rPr>
                <w:rStyle w:val="VARIABLE"/>
              </w:rPr>
              <w:t xml:space="preserve">SchemaGroupType.NamespaceUri</w:t>
            </w:r>
          </w:p>
        </w:tc>
        <w:tc>
          <w:tcPr>
            <w:tcW w:w="4463" w:type="dxa"/>
            <w:tcBorders>
              <w:top w:val="single" w:sz="4" w:space="0" w:color="auto"/>
              <w:left w:val="single" w:sz="4" w:space="0" w:color="auto"/>
              <w:bottom w:val="single" w:sz="4" w:space="0" w:color="auto"/>
              <w:right w:val="single" w:sz="4" w:space="0" w:color="auto"/>
            </w:tcBorders>
          </w:tcPr>
          <w:p w14:paraId="221EFCC3">
            <w:pPr>
              <w:pStyle w:val="TableText"/>
            </w:pPr>
            <w:r>
              <w:t xml:space="preserve">group key / </w:t>
            </w:r>
            <w:r>
              <w:rPr>
                <w:rStyle w:val="VARIABLE"/>
              </w:rPr>
              <w:t xml:space="preserve">labels["opcua.namespaceuri"]</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CF63432">
            <w:pPr>
              <w:pStyle w:val="TableText"/>
            </w:pPr>
            <w:r>
              <w:rPr>
                <w:rStyle w:val="VARIABLE"/>
              </w:rPr>
              <w:t xml:space="preserve">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EEE2BF6">
            <w:pPr>
              <w:pStyle w:val="TableText"/>
            </w:pPr>
            <w:r>
              <w:t xml:space="preserve">group </w:t>
            </w:r>
            <w:r>
              <w:rPr>
                <w:rStyle w:val="VARIABLE"/>
              </w:rPr>
              <w:t xml:space="preserve">schemas</w:t>
            </w:r>
            <w:r>
              <w:t xml:space="preserve"> map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AD672A">
            <w:pPr>
              <w:pStyle w:val="TableText"/>
            </w:pPr>
            <w:r>
              <w:rPr>
                <w:rStyle w:val="VARIABLE"/>
              </w:rPr>
              <w:t xml:space="preserve">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7571AB2E">
            <w:pPr>
              <w:pStyle w:val="TableText"/>
            </w:pPr>
            <w:r>
              <w:t xml:space="preserve">inline </w:t>
            </w:r>
            <w:r>
              <w:rPr>
                <w:rStyle w:val="VARIABLE"/>
              </w:rPr>
              <w:t xml:space="preserve">schema</w:t>
            </w:r>
            <w:r>
              <w:t xml:space="preserve"> bytes or </w:t>
            </w:r>
            <w:r>
              <w:rPr>
                <w:rStyle w:val="VARIABLE"/>
              </w:rPr>
              <w:t xml:space="preserve">schemabase64</w:t>
            </w:r>
            <w:r>
              <w:t xml:space="preserve">, by content 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5D2C315">
            <w:pPr>
              <w:pStyle w:val="TableText"/>
            </w:pPr>
            <w:r>
              <w:rPr>
                <w:rStyle w:val="VARIABLE"/>
              </w:rPr>
              <w:t xml:space="preserve">SchemaFileType.Format</w:t>
            </w:r>
          </w:p>
        </w:tc>
        <w:tc>
          <w:tcPr>
            <w:tcW w:w="4463" w:type="dxa"/>
            <w:tcBorders>
              <w:top w:val="single" w:sz="4" w:space="0" w:color="auto"/>
              <w:left w:val="single" w:sz="4" w:space="0" w:color="auto"/>
              <w:bottom w:val="single" w:sz="4" w:space="0" w:color="auto"/>
              <w:right w:val="single" w:sz="4" w:space="0" w:color="auto"/>
            </w:tcBorders>
          </w:tcPr>
          <w:p w14:paraId="27A7B202">
            <w:pPr>
              <w:pStyle w:val="TableText"/>
            </w:pPr>
            <w:r>
              <w:t xml:space="preserve">schema </w:t>
            </w:r>
            <w:r>
              <w:rPr>
                <w:rStyle w:val="VARIABLE"/>
              </w:rPr>
              <w:t xml:space="preserve">format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4BB89B2">
            <w:pPr>
              <w:pStyle w:val="TableText"/>
            </w:pPr>
            <w:r>
              <w:rPr>
                <w:rStyle w:val="VARIABLE"/>
              </w:rPr>
              <w:t xml:space="preserve">SchemaFileType.ContentType</w:t>
            </w:r>
          </w:p>
        </w:tc>
        <w:tc>
          <w:tcPr>
            <w:tcW w:w="4463" w:type="dxa"/>
            <w:tcBorders>
              <w:top w:val="single" w:sz="4" w:space="0" w:color="auto"/>
              <w:left w:val="single" w:sz="4" w:space="0" w:color="auto"/>
              <w:bottom w:val="single" w:sz="4" w:space="0" w:color="auto"/>
              <w:right w:val="single" w:sz="4" w:space="0" w:color="auto"/>
            </w:tcBorders>
          </w:tcPr>
          <w:p w14:paraId="16A0FD3A">
            <w:pPr>
              <w:pStyle w:val="TableText"/>
            </w:pPr>
            <w:r>
              <w:t xml:space="preserve">version </w:t>
            </w:r>
            <w:r>
              <w:rPr>
                <w:rStyle w:val="VARIABLE"/>
              </w:rPr>
              <w:t xml:space="preserve">contenttype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4B5183">
            <w:pPr>
              <w:pStyle w:val="TableText"/>
            </w:pPr>
            <w:r>
              <w:rPr>
                <w:rStyle w:val="VARIABLE"/>
              </w:rPr>
              <w:t xml:space="preserve">SchemaFileType.Compatibility</w:t>
            </w:r>
          </w:p>
        </w:tc>
        <w:tc>
          <w:tcPr>
            <w:tcW w:w="4463" w:type="dxa"/>
            <w:tcBorders>
              <w:top w:val="single" w:sz="4" w:space="0" w:color="auto"/>
              <w:left w:val="single" w:sz="4" w:space="0" w:color="auto"/>
              <w:bottom w:val="single" w:sz="4" w:space="0" w:color="auto"/>
              <w:right w:val="single" w:sz="4" w:space="0" w:color="auto"/>
            </w:tcBorders>
          </w:tcPr>
          <w:p w14:paraId="0F2C7787">
            <w:pPr>
              <w:pStyle w:val="TableText"/>
            </w:pPr>
            <w:r>
              <w:t xml:space="preserve">schema </w:t>
            </w:r>
            <w:r>
              <w:rPr>
                <w:rStyle w:val="VARIABLE"/>
              </w:rPr>
              <w:t xml:space="preserve">compatibility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63DF83">
            <w:pPr>
              <w:pStyle w:val="TableText"/>
            </w:pPr>
            <w:r>
              <w:rPr>
                <w:rStyle w:val="VARIABLE"/>
              </w:rPr>
              <w:t xml:space="preserve">SchemaFileType.IsDefault</w:t>
            </w:r>
          </w:p>
        </w:tc>
        <w:tc>
          <w:tcPr>
            <w:tcW w:w="4463" w:type="dxa"/>
            <w:tcBorders>
              <w:top w:val="single" w:sz="4" w:space="0" w:color="auto"/>
              <w:left w:val="single" w:sz="4" w:space="0" w:color="auto"/>
              <w:bottom w:val="single" w:sz="4" w:space="0" w:color="auto"/>
              <w:right w:val="single" w:sz="4" w:space="0" w:color="auto"/>
            </w:tcBorders>
          </w:tcPr>
          <w:p w14:paraId="3E9A1554">
            <w:pPr>
              <w:pStyle w:val="TableText"/>
            </w:pPr>
            <w:r>
              <w:t xml:space="preserve">version </w:t>
            </w:r>
            <w:r>
              <w:rPr>
                <w:rStyle w:val="VARIABLE"/>
              </w:rPr>
              <w:t xml:space="preserve">isdefault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A7BE80">
            <w:pPr>
              <w:pStyle w:val="TableText"/>
            </w:pPr>
            <w:r>
              <w:rPr>
                <w:rStyle w:val="VARIABLE"/>
              </w:rPr>
              <w:t xml:space="preserve">SchemaFileType.Ancestor</w:t>
            </w:r>
          </w:p>
        </w:tc>
        <w:tc>
          <w:tcPr>
            <w:tcW w:w="4463" w:type="dxa"/>
            <w:tcBorders>
              <w:top w:val="single" w:sz="4" w:space="0" w:color="auto"/>
              <w:left w:val="single" w:sz="4" w:space="0" w:color="auto"/>
              <w:bottom w:val="single" w:sz="4" w:space="0" w:color="auto"/>
              <w:right w:val="single" w:sz="4" w:space="0" w:color="auto"/>
            </w:tcBorders>
          </w:tcPr>
          <w:p w14:paraId="3B8DC23F">
            <w:pPr>
              <w:pStyle w:val="TableText"/>
            </w:pPr>
            <w:r>
              <w:t xml:space="preserve">version </w:t>
            </w:r>
            <w:r>
              <w:rPr>
                <w:rStyle w:val="VARIABLE"/>
              </w:rPr>
              <w:t xml:space="preserve">ancestor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772829">
            <w:pPr>
              <w:pStyle w:val="TableText"/>
            </w:pPr>
            <w:r>
              <w:rPr>
                <w:rStyle w:val="VARIABLE"/>
              </w:rPr>
              <w:t xml:space="preserve">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4558E7A4">
            <w:pPr>
              <w:pStyle w:val="TableText"/>
            </w:pPr>
            <w:r>
              <w:rPr>
                <w:rStyle w:val="VARIABLE"/>
              </w:rPr>
              <w:t xml:space="preserve">labels["opcua.datatypeencoding"]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8E4F46">
            <w:pPr>
              <w:pStyle w:val="TableText"/>
            </w:pPr>
            <w:r>
              <w:rPr>
                <w:rStyle w:val="VARIABLE"/>
              </w:rPr>
              <w:t xml:space="preserve">SchemaFileType.SchemaId</w:t>
            </w:r>
          </w:p>
        </w:tc>
        <w:tc>
          <w:tcPr>
            <w:tcW w:w="4463" w:type="dxa"/>
            <w:tcBorders>
              <w:top w:val="single" w:sz="4" w:space="0" w:color="auto"/>
              <w:left w:val="single" w:sz="4" w:space="0" w:color="auto"/>
              <w:bottom w:val="single" w:sz="4" w:space="0" w:color="auto"/>
              <w:right w:val="single" w:sz="4" w:space="0" w:color="auto"/>
            </w:tcBorders>
          </w:tcPr>
          <w:p w14:paraId="262A8E00">
            <w:pPr>
              <w:pStyle w:val="TableText"/>
            </w:pPr>
            <w:r>
              <w:rPr>
                <w:rStyle w:val="VARIABLE"/>
              </w:rPr>
              <w:t xml:space="preserve">labels["opcua.schemaid"]</w:t>
            </w:r>
            <w:r>
              <w:t xml:space="preserve"> as lower-case hex</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E6CAF3">
            <w:pPr>
              <w:pStyle w:val="TableText"/>
            </w:pPr>
            <w:r>
              <w:rPr>
                <w:rStyle w:val="VARIABLE"/>
              </w:rPr>
              <w:t xml:space="preserve">SchemaFileType.SchemaIdAlg</w:t>
            </w:r>
          </w:p>
        </w:tc>
        <w:tc>
          <w:tcPr>
            <w:tcW w:w="4463" w:type="dxa"/>
            <w:tcBorders>
              <w:top w:val="single" w:sz="4" w:space="0" w:color="auto"/>
              <w:left w:val="single" w:sz="4" w:space="0" w:color="auto"/>
              <w:bottom w:val="single" w:sz="4" w:space="0" w:color="auto"/>
              <w:right w:val="single" w:sz="4" w:space="0" w:color="auto"/>
            </w:tcBorders>
          </w:tcPr>
          <w:p w14:paraId="790152DD">
            <w:pPr>
              <w:pStyle w:val="TableText"/>
            </w:pPr>
            <w:r>
              <w:rPr>
                <w:rStyle w:val="VARIABLE"/>
              </w:rPr>
              <w:t xml:space="preserve">labels["opcua.schemaid.alg"]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F9CC7F">
            <w:pPr>
              <w:pStyle w:val="TableText"/>
            </w:pPr>
            <w:r>
              <w:rPr>
                <w:rStyle w:val="VARIABLE"/>
              </w:rPr>
              <w:t xml:space="preserve">SchemaFileType.ModelVersion</w:t>
            </w:r>
          </w:p>
        </w:tc>
        <w:tc>
          <w:tcPr>
            <w:tcW w:w="4463" w:type="dxa"/>
            <w:tcBorders>
              <w:top w:val="single" w:sz="4" w:space="0" w:color="auto"/>
              <w:left w:val="single" w:sz="4" w:space="0" w:color="auto"/>
              <w:bottom w:val="single" w:sz="4" w:space="0" w:color="auto"/>
              <w:right w:val="single" w:sz="4" w:space="0" w:color="auto"/>
            </w:tcBorders>
          </w:tcPr>
          <w:p w14:paraId="66AF66A3">
            <w:pPr>
              <w:pStyle w:val="TableText"/>
            </w:pPr>
            <w:r>
              <w:rPr>
                <w:rStyle w:val="VARIABLE"/>
              </w:rPr>
              <w:t xml:space="preserve">labels["opcua.modelversion"]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DA4C3F">
            <w:pPr>
              <w:pStyle w:val="TableText"/>
            </w:pPr>
            <w:r>
              <w:rPr>
                <w:rStyle w:val="VARIABLE"/>
              </w:rPr>
              <w:t xml:space="preserve">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47ABDE17">
            <w:pPr>
              <w:pStyle w:val="TableText"/>
            </w:pPr>
            <w:r>
              <w:rPr>
                <w:rStyle w:val="VARIABLE"/>
              </w:rPr>
              <w:t xml:space="preserve">labels["opcua.configurationversion"]</w:t>
            </w:r>
            <w:r>
              <w:t xml:space="preserve"> as </w:t>
            </w:r>
            <w:r>
              <w:rPr>
                <w:rStyle w:val="VARIABLE"/>
              </w:rPr>
              <w:t xml:space="preserve">major.minor</w:t>
            </w:r>
            <w:r>
              <w:t xml:space="preserve"> (PubSub DataSet profile, Annex C)</w:t>
            </w:r>
          </w:p>
        </w:tc>
      </w:tr>
    </w:tbl>
    <w:p w14:paraId="0A09E11C">
      <w:pPr>
        <w:pStyle w:val="spacer"/>
      </w:pPr>
    </w:p>
    <w:p w14:paraId="34A3F2EA">
      <w:pPr>
        <w:pStyle w:val="PARAGRAPH"/>
      </w:pPr>
      <w:r>
        <w:t xml:space="preserve">An export of the </w:t>
      </w:r>
      <w:r>
        <w:rPr>
          <w:rStyle w:val="VARIABLE"/>
        </w:rPr>
        <w:t xml:space="preserve">SchemaRegistry</w:t>
      </w:r>
      <w:r>
        <w:t xml:space="preserve"> subtree — Browse plus Read/</w:t>
      </w:r>
      <w:r>
        <w:rPr>
          <w:rStyle w:val="VARIABLE"/>
        </w:rPr>
        <w:t xml:space="preserve">Open</w:t>
      </w:r>
      <w:r>
        <w:t xml:space="preserve">/</w:t>
      </w:r>
      <w:r>
        <w:rPr>
          <w:rStyle w:val="VARIABLE"/>
        </w:rPr>
        <w:t xml:space="preserve">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w:t>
      </w:r>
      <w:r>
        <w:t xml:space="preserve">§8</w:t>
      </w:r>
      <w:r>
        <w:t xml:space="preserve">) needs. This is a representation mapping, not a new transport. The equivalent HTTP request/response correspondence, for readers familiar with the xRegistry HTTP binding, is informative and given in Annex D.</w:t>
      </w:r>
    </w:p>
    <w:p w14:paraId="36943900">
      <w:pPr>
        <w:pStyle w:val="Heading2"/>
      </w:pPr>
      <w:bookmarkStart w:id="491" w:name="_Clause_c6_13"/>
      <w:r>
        <w:t xml:space="preserve">PubSub integration</w:t>
      </w:r>
      <w:bookmarkEnd w:id="491"/>
    </w:p>
    <w:p w14:paraId="28031DC1">
      <w:pPr>
        <w:pStyle w:val="PARAGRAPH"/>
      </w:pPr>
      <w:r>
        <w:t xml:space="preserve">The Schema Registry is a stand-alone </w:t>
      </w:r>
      <w:r>
        <w:rPr>
          <w:rStyle w:val="VARIABLE"/>
        </w:rPr>
        <w:t xml:space="preserve">Server</w:t>
      </w:r>
      <w:r>
        <w:t xml:space="preserve"> capability (</w:t>
      </w:r>
      <w:r>
        <w:fldChar w:fldCharType="begin"/>
      </w:r>
      <w:r>
        <w:instrText xml:space="preserve"> REF _Clause_c6_3 \r \h </w:instrText>
      </w:r>
      <w:r>
        <w:fldChar w:fldCharType="separate"/>
      </w:r>
      <w:r>
        <w:rPr>
          <w:noProof/>
        </w:rPr>
        <w:t xml:space="preserve">6.3</w:t>
      </w:r>
      <w:r>
        <w:fldChar w:fldCharType="end"/>
      </w:r>
      <w:r>
        <w:t xml:space="preserve">) and does not require PubSub. Where a Server also implements Part 14 PubSub, it </w:t>
      </w:r>
      <w:r>
        <w:rPr>
          <w:b/>
        </w:rPr>
        <w:t xml:space="preserve">may</w:t>
      </w:r>
      <w:r>
        <w:t xml:space="preserve"> integrate the two, but only additively:</w:t>
      </w:r>
    </w:p>
    <w:p w14:paraId="23F4EC1D">
      <w:pPr>
        <w:pStyle w:val="ListBullet"/>
        <w:numPr>
          <w:ilvl w:val="0"/>
          <w:numId w:val="21"/>
        </w:numPr>
      </w:pPr>
      <w:r>
        <w:t xml:space="preserve">it </w:t>
      </w:r>
      <w:r>
        <w:rPr>
          <w:b/>
        </w:rPr>
        <w:t xml:space="preserve">may</w:t>
      </w:r>
      <w:r>
        <w:t xml:space="preserve"> add a reference from its </w:t>
      </w:r>
      <w:r>
        <w:rPr>
          <w:rStyle w:val="VARIABLE"/>
        </w:rPr>
        <w:t xml:space="preserve">PublishSubscribe</w:t>
      </w:r>
      <w:r>
        <w:t xml:space="preserve"> Object to the well-known </w:t>
      </w:r>
      <w:r>
        <w:rPr>
          <w:rStyle w:val="VARIABLE"/>
        </w:rPr>
        <w:t xml:space="preserve">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 xml:space="preserve">not</w:t>
      </w:r>
      <w:r>
        <w:t xml:space="preserve"> folded into </w:t>
      </w:r>
      <w:r>
        <w:rPr>
          <w:rStyle w:val="VARIABLE"/>
        </w:rPr>
        <w:t xml:space="preserve">GetSecurityKeys</w:t>
      </w:r>
      <w:r>
        <w:t xml:space="preserve">: keys and schema documents have different lifetimes, access-control policies, payload shapes and cache semantics;</w:t>
      </w:r>
    </w:p>
    <w:p w14:paraId="588BFFEE">
      <w:pPr>
        <w:pStyle w:val="ListBullet"/>
        <w:numPr>
          <w:ilvl w:val="0"/>
          <w:numId w:val="21"/>
        </w:numPr>
      </w:pPr>
      <w:r>
        <w:t xml:space="preserve">it applies the </w:t>
      </w:r>
      <w:r>
        <w:rPr>
          <w:b/>
        </w:rPr>
        <w:t xml:space="preserve">PubSub DataSet schema profile</w:t>
      </w:r>
      <w:r>
        <w:t xml:space="preserve"> (Annex C): DataSet schemas keyed to </w:t>
      </w:r>
      <w:r>
        <w:rPr>
          <w:rStyle w:val="VARIABLE"/>
        </w:rPr>
        <w:t xml:space="preserve">ConfigurationVersion</w:t>
      </w:r>
      <w:r>
        <w:t xml:space="preserve">, the append-only Variant/ExtensionObject evolution rule, and the optional schema-reference carrier in the message header.</w:t>
      </w:r>
    </w:p>
    <w:p w14:paraId="44A01F71">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 xml:space="preserve">PublishSubscribe</w:t>
      </w:r>
      <w:r>
        <w:t xml:space="preserve">, both defined by the Part 14 message-mapping additions and summarised in Annex C; when absent, resolution falls back to the SchemaId or </w:t>
      </w:r>
      <w:r>
        <w:rPr>
          <w:rStyle w:val="VARIABLE"/>
        </w:rPr>
        <w:t xml:space="preserve">namespace + name + ConfigurationVersion</w:t>
      </w:r>
      <w:r>
        <w:t xml:space="preserve"> lookup of </w:t>
      </w:r>
      <w:r>
        <w:t xml:space="preserve">§8</w:t>
      </w:r>
      <w:r>
        <w:t xml:space="preserve">.</w:t>
      </w:r>
    </w:p>
    <w:p w14:paraId="5ABA4B96">
      <w:pPr>
        <w:pStyle w:val="Heading1"/>
      </w:pPr>
      <w:bookmarkStart w:id="492" w:name="_Clause_c7"/>
      <w:r>
        <w:t xml:space="preserve">OPC UA ObjectTypes</w:t>
      </w:r>
      <w:bookmarkEnd w:id="492"/>
    </w:p>
    <w:p w14:paraId="64A8DE4B">
      <w:pPr>
        <w:pStyle w:val="Heading2"/>
      </w:pPr>
      <w:bookmarkStart w:id="493" w:name="_Clause_c7_1"/>
      <w:r>
        <w:t xml:space="preserve">SchemaRegistryType</w:t>
      </w:r>
      <w:bookmarkEnd w:id="493"/>
    </w:p>
    <w:p w14:paraId="09DB9563">
      <w:pPr>
        <w:pStyle w:val="PARAGRAPH"/>
      </w:pPr>
      <w:r>
        <w:t xml:space="preserve">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29540714">
      <w:pPr>
        <w:pStyle w:val="TABLE-title"/>
        <w:keepNext/>
      </w:pPr>
      <w:bookmarkStart w:id="494" w:name="_Tab_c7_1_def"/>
      <w:r>
        <w:t xml:space="preserve">Table </w:t>
      </w:r>
      <w:r>
        <w:fldChar w:fldCharType="begin"/>
      </w:r>
      <w:r>
        <w:instrText xml:space="preserve"> SEQ Table \* ARABIC </w:instrText>
      </w:r>
      <w:r>
        <w:fldChar w:fldCharType="separate"/>
      </w:r>
      <w:r>
        <w:rPr>
          <w:noProof/>
        </w:rPr>
        <w:t xml:space="preserve">3</w:t>
      </w:r>
      <w:r>
        <w:fldChar w:fldCharType="end"/>
      </w:r>
      <w:r>
        <w:t xml:space="preserve"> – SchemaRegistryType definition</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2:SchemaRegistryType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1:RegistryType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&lt;SchemaGroup&gt;</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SchemaGroupType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GetSchema</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CCD897">
            <w:pPr>
              <w:pStyle w:val="TableText"/>
            </w:pPr>
            <w:r>
              <w:t xml:space="preserve">SREG-StructureMaterialization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723004">
            <w:pPr>
              <w:pStyle w:val="TableText"/>
            </w:pPr>
            <w:r>
              <w:t xml:space="preserve">SREG-XRegistryApi</w:t>
            </w:r>
          </w:p>
        </w:tc>
      </w:tr>
    </w:tbl>
    <w:p w14:paraId="3B205952">
      <w:pPr>
        <w:pStyle w:val="spacer"/>
      </w:pPr>
    </w:p>
    <w:p w14:paraId="09246B05">
      <w:pPr>
        <w:pStyle w:val="Heading3"/>
      </w:pPr>
      <w:bookmarkStart w:id="495" w:name="_Clause_c7_1_1"/>
      <w:r>
        <w:t xml:space="preserve">GetSchema</w:t>
      </w:r>
      <w:bookmarkEnd w:id="495"/>
    </w:p>
    <w:p w14:paraId="3540B525">
      <w:pPr>
        <w:pStyle w:val="PARAGRAPH"/>
      </w:pPr>
      <w:r>
        <w:t xml:space="preserve">Return the schema document and metadata for a raw on-wire SchemaId fingerprint (the method form of the Opaque SchemaId NodeId fast path). An unresolved SchemaId returns the Method Call StatusCode Bad_NotFound rather than an empty result.</w:t>
      </w:r>
    </w:p>
    <w:p w14:paraId="788F7F54">
      <w:pPr>
        <w:pStyle w:val="PARAGRAPH"/>
      </w:pPr>
      <w:r>
        <w:t xml:space="preserve">Signature</w:t>
      </w:r>
    </w:p>
    <w:p w14:paraId="2ACC07AC">
      <w:pPr>
        <w:pStyle w:val="MethodSignature"/>
      </w:pPr>
      <w:r>
        <w:t xml:space="preserve">GetSchema (</w:t>
      </w:r>
    </w:p>
    <w:p w14:paraId="770DD24E">
      <w:pPr>
        <w:pStyle w:val="MethodSignature"/>
      </w:pPr>
      <w:r>
        <w:t xml:space="preserve">    [in]  0:ByteString   SchemaId,</w:t>
      </w:r>
    </w:p>
    <w:p w14:paraId="0721E1CE">
      <w:pPr>
        <w:pStyle w:val="MethodSignature"/>
      </w:pPr>
      <w:r>
        <w:t xml:space="preserve">    [out] 0:ByteString   Document,</w:t>
      </w:r>
    </w:p>
    <w:p w14:paraId="43A34474">
      <w:pPr>
        <w:pStyle w:val="MethodSignature"/>
      </w:pPr>
      <w:r>
        <w:t xml:space="preserve">    [out] 0:String       Format,</w:t>
      </w:r>
    </w:p>
    <w:p w14:paraId="391FB18A">
      <w:pPr>
        <w:pStyle w:val="MethodSignature"/>
      </w:pPr>
      <w:r>
        <w:t xml:space="preserve">    [out] 0:String       ContentType);</w:t>
      </w:r>
    </w:p>
    <w:p w14:paraId="190C73FD">
      <w:pPr>
        <w:pStyle w:val="TABLE-title"/>
        <w:keepNext/>
      </w:pPr>
      <w:bookmarkStart w:id="496" w:name="_Tab_c7_1_1_m_args"/>
      <w:r>
        <w:t xml:space="preserve">Table </w:t>
      </w:r>
      <w:r>
        <w:fldChar w:fldCharType="begin"/>
      </w:r>
      <w:r>
        <w:instrText xml:space="preserve"> SEQ Table \* ARABIC </w:instrText>
      </w:r>
      <w:r>
        <w:fldChar w:fldCharType="separate"/>
      </w:r>
      <w:r>
        <w:rPr>
          <w:noProof/>
        </w:rPr>
        <w:t xml:space="preserve">4</w:t>
      </w:r>
      <w:r>
        <w:fldChar w:fldCharType="end"/>
      </w:r>
      <w:r>
        <w:t xml:space="preserve"> – GetSchema Method Arguments</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E4CFF">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4310B32A">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DA765D">
            <w:pPr>
              <w:pStyle w:val="TableText"/>
            </w:pPr>
            <w:r>
              <w:t xml:space="preserve">SchemaId</w:t>
            </w:r>
          </w:p>
        </w:tc>
        <w:tc>
          <w:tcPr>
            <w:tcW w:w="6726" w:type="dxa"/>
            <w:tcBorders>
              <w:top w:val="single" w:sz="4" w:space="0" w:color="auto"/>
              <w:left w:val="single" w:sz="4" w:space="0" w:color="auto"/>
              <w:bottom w:val="single" w:sz="4" w:space="0" w:color="auto"/>
              <w:right w:val="single" w:sz="4" w:space="0" w:color="auto"/>
            </w:tcBorders>
          </w:tcPr>
          <w:p w14:paraId="458994ED">
            <w:pPr>
              <w:pStyle w:val="TableText"/>
            </w:pPr>
            <w:r>
              <w:t xml:space="preserve">Raw on-wire SchemaId fingerprint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E2A71B5">
            <w:pPr>
              <w:pStyle w:val="TableText"/>
            </w:pPr>
            <w:r>
              <w:t xml:space="preserve">Document</w:t>
            </w:r>
          </w:p>
        </w:tc>
        <w:tc>
          <w:tcPr>
            <w:tcW w:w="6726" w:type="dxa"/>
            <w:tcBorders>
              <w:top w:val="single" w:sz="4" w:space="0" w:color="auto"/>
              <w:left w:val="single" w:sz="4" w:space="0" w:color="auto"/>
              <w:bottom w:val="single" w:sz="4" w:space="0" w:color="auto"/>
              <w:right w:val="single" w:sz="4" w:space="0" w:color="auto"/>
            </w:tcBorders>
          </w:tcPr>
          <w:p w14:paraId="3F2C1E57">
            <w:pPr>
              <w:pStyle w:val="TableText"/>
            </w:pPr>
            <w:r>
              <w:t xml:space="preserve">Schema document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34B911">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14:paraId="6E0E5D7E">
            <w:pPr>
              <w:pStyle w:val="TableText"/>
            </w:pPr>
            <w:r>
              <w:t xml:space="preserve">xRegistry format string.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B99EF8">
            <w:pPr>
              <w:pStyle w:val="TableText"/>
            </w:pPr>
            <w:r>
              <w:t xml:space="preserve">ContentType</w:t>
            </w:r>
          </w:p>
        </w:tc>
        <w:tc>
          <w:tcPr>
            <w:tcW w:w="6726" w:type="dxa"/>
            <w:tcBorders>
              <w:top w:val="single" w:sz="4" w:space="0" w:color="auto"/>
              <w:left w:val="single" w:sz="4" w:space="0" w:color="auto"/>
              <w:bottom w:val="single" w:sz="4" w:space="0" w:color="auto"/>
              <w:right w:val="single" w:sz="4" w:space="0" w:color="auto"/>
            </w:tcBorders>
          </w:tcPr>
          <w:p w14:paraId="6BF4A086">
            <w:pPr>
              <w:pStyle w:val="TableText"/>
            </w:pPr>
            <w:r>
              <w:t xml:space="preserve">Schema document media type.</w:t>
            </w:r>
          </w:p>
        </w:tc>
      </w:tr>
    </w:tbl>
    <w:p w14:paraId="712E5459">
      <w:pPr>
        <w:pStyle w:val="spacer"/>
      </w:pPr>
    </w:p>
    <w:p w14:paraId="4056C3FD">
      <w:pPr>
        <w:pStyle w:val="TABLE-title"/>
        <w:keepNext/>
      </w:pPr>
      <w:bookmarkStart w:id="497" w:name="_Tab_c7_1_1_m_as"/>
      <w:r>
        <w:t xml:space="preserve">Table </w:t>
      </w:r>
      <w:r>
        <w:fldChar w:fldCharType="begin"/>
      </w:r>
      <w:r>
        <w:instrText xml:space="preserve"> SEQ Table \* ARABIC </w:instrText>
      </w:r>
      <w:r>
        <w:fldChar w:fldCharType="separate"/>
      </w:r>
      <w:r>
        <w:rPr>
          <w:noProof/>
        </w:rPr>
        <w:t xml:space="preserve">5</w:t>
      </w:r>
      <w:r>
        <w:fldChar w:fldCharType="end"/>
      </w:r>
      <w:r>
        <w:t xml:space="preserve"> – GetSchema Method AddressSpace definition</w:t>
      </w:r>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1B28E5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29B673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AF10A2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8EF2DD7">
            <w:pPr>
              <w:pStyle w:val="TableText"/>
            </w:pPr>
            <w:r>
              <w:t xml:space="preserve">GetSchema</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AAD1F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A97192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1BEEE2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CE2853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729BC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7ACE5C7">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E30E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7F7E3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87F7FA">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67D65A28">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1A6A38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711915">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EBDE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1D7958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4536081">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10A9C5CA">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F0A265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F52FC2">
            <w:pPr>
              <w:pStyle w:val="TableText"/>
            </w:pPr>
            <w:r>
              <w:t xml:space="preserve">0:Mandatory</w:t>
            </w:r>
          </w:p>
        </w:tc>
      </w:tr>
    </w:tbl>
    <w:p w14:paraId="5DF5EF37">
      <w:pPr>
        <w:pStyle w:val="spacer"/>
      </w:pPr>
    </w:p>
    <w:p w14:paraId="6BA0271B">
      <w:pPr>
        <w:pStyle w:val="Heading2"/>
      </w:pPr>
      <w:bookmarkStart w:id="498" w:name="_Clause_c7_2"/>
      <w:r>
        <w:t xml:space="preserve">SchemaGroupType</w:t>
      </w:r>
      <w:bookmarkEnd w:id="498"/>
    </w:p>
    <w:p w14:paraId="09B53FE6">
      <w:pPr>
        <w:pStyle w:val="PARAGRAPH"/>
      </w:pPr>
      <w:r>
        <w:t xml:space="preserve">An xRegistry GroupType keyed by an OPC UA namespace URI; a folder of schema files for the DataTypes and PublishedDataSets of that namespace.</w:t>
      </w:r>
    </w:p>
    <w:p w14:paraId="01B5A6A6">
      <w:pPr>
        <w:pStyle w:val="TABLE-title"/>
        <w:keepNext/>
      </w:pPr>
      <w:bookmarkStart w:id="499" w:name="_Tab_c7_2_def"/>
      <w:r>
        <w:t xml:space="preserve">Table </w:t>
      </w:r>
      <w:r>
        <w:fldChar w:fldCharType="begin"/>
      </w:r>
      <w:r>
        <w:instrText xml:space="preserve"> SEQ Table \* ARABIC </w:instrText>
      </w:r>
      <w:r>
        <w:fldChar w:fldCharType="separate"/>
      </w:r>
      <w:r>
        <w:rPr>
          <w:noProof/>
        </w:rPr>
        <w:t xml:space="preserve">6</w:t>
      </w:r>
      <w:r>
        <w:fldChar w:fldCharType="end"/>
      </w:r>
      <w:r>
        <w:t xml:space="preserve"> – SchemaGroupType definition</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D13C25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pPr>
              <w:pStyle w:val="TableText"/>
            </w:pPr>
            <w:r>
              <w:t xml:space="preserve">2:SchemaGroupType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C5062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A4339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E598F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023BE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F8EC4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D61022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95D344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C726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DFC57F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9F9836">
            <w:pPr>
              <w:pStyle w:val="TableTextWithTabs"/>
            </w:pPr>
            <w:r>
              <w:t xml:space="preserve">NamespaceUri</w:t>
            </w:r>
          </w:p>
        </w:tc>
        <w:tc>
          <w:tcPr>
            <w:tcW w:w="1275" w:type="dxa"/>
            <w:tcBorders>
              <w:top w:val="single" w:sz="4" w:space="0" w:color="auto"/>
              <w:left w:val="single" w:sz="4" w:space="0" w:color="auto"/>
              <w:bottom w:val="single" w:sz="4" w:space="0" w:color="auto"/>
              <w:right w:val="single" w:sz="4" w:space="0" w:color="auto"/>
            </w:tcBorders>
          </w:tcPr>
          <w:p w14:paraId="2F95C6A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7241A8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2D0DD5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8E21A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ED0513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D741545">
            <w:pPr>
              <w:pStyle w:val="TableTextWithTabs"/>
            </w:pPr>
            <w:r>
              <w:t xml:space="preserve">&lt;Schema&gt;</w:t>
            </w:r>
          </w:p>
        </w:tc>
        <w:tc>
          <w:tcPr>
            <w:tcW w:w="1275" w:type="dxa"/>
            <w:tcBorders>
              <w:top w:val="single" w:sz="4" w:space="0" w:color="auto"/>
              <w:left w:val="single" w:sz="4" w:space="0" w:color="auto"/>
              <w:bottom w:val="single" w:sz="4" w:space="0" w:color="auto"/>
              <w:right w:val="single" w:sz="4" w:space="0" w:color="auto"/>
            </w:tcBorders>
          </w:tcPr>
          <w:p w14:paraId="31025F9F">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6874C">
            <w:pPr>
              <w:pStyle w:val="TableText"/>
            </w:pPr>
            <w:r>
              <w:t xml:space="preserve">SchemaFileType</w:t>
            </w:r>
          </w:p>
        </w:tc>
        <w:tc>
          <w:tcPr>
            <w:tcW w:w="851" w:type="dxa"/>
            <w:tcBorders>
              <w:top w:val="single" w:sz="4" w:space="0" w:color="auto"/>
              <w:left w:val="single" w:sz="4" w:space="0" w:color="auto"/>
              <w:bottom w:val="single" w:sz="4" w:space="0" w:color="auto"/>
              <w:right w:val="single" w:sz="4" w:space="0" w:color="auto"/>
            </w:tcBorders>
          </w:tcPr>
          <w:p w14:paraId="0E2FE0BE">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7FA2E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B7AF15">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69FB72">
            <w:pPr>
              <w:pStyle w:val="TableText"/>
            </w:pPr>
            <w:r>
              <w:t xml:space="preserve">SREG-StructureMaterialization</w:t>
            </w:r>
          </w:p>
        </w:tc>
      </w:tr>
    </w:tbl>
    <w:p w14:paraId="529A6F38">
      <w:pPr>
        <w:pStyle w:val="spacer"/>
      </w:pPr>
    </w:p>
    <w:p w14:paraId="424A8CED">
      <w:pPr>
        <w:pStyle w:val="Heading2"/>
      </w:pPr>
      <w:bookmarkStart w:id="500" w:name="_Clause_c7_3"/>
      <w:r>
        <w:t xml:space="preserve">SchemaFileType</w:t>
      </w:r>
      <w:bookmarkEnd w:id="500"/>
    </w:p>
    <w:p w14:paraId="18B47AA1">
      <w:pPr>
        <w:pStyle w:val="PARAGRAPH"/>
      </w:pPr>
      <w:r>
        <w:t xml:space="preserve">An xRegistry ResourceType whose file content is one concrete schema document (Avro, Apache Arrow or JSON Schema). Adds the OPC UA schema-decoding metadata (SchemaId and per-encoding fields) used by a consumer that must resolve a schema from an on-wire fingerprint.</w:t>
      </w:r>
    </w:p>
    <w:p w14:paraId="7FAD8EDB">
      <w:pPr>
        <w:pStyle w:val="TABLE-title"/>
        <w:keepNext/>
      </w:pPr>
      <w:bookmarkStart w:id="501" w:name="_Tab_c7_3_def"/>
      <w:r>
        <w:t xml:space="preserve">Table </w:t>
      </w:r>
      <w:r>
        <w:fldChar w:fldCharType="begin"/>
      </w:r>
      <w:r>
        <w:instrText xml:space="preserve"> SEQ Table \* ARABIC </w:instrText>
      </w:r>
      <w:r>
        <w:fldChar w:fldCharType="separate"/>
      </w:r>
      <w:r>
        <w:rPr>
          <w:noProof/>
        </w:rPr>
        <w:t xml:space="preserve">7</w:t>
      </w:r>
      <w:r>
        <w:fldChar w:fldCharType="end"/>
      </w:r>
      <w:r>
        <w:t xml:space="preserve"> – SchemaFileType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FF01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pPr>
              <w:pStyle w:val="TableText"/>
            </w:pPr>
            <w:r>
              <w:t xml:space="preserve">2:SchemaFileType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E1449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C3DD49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DFEEF9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C73E53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66351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1EEFCD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CD39F7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pPr>
              <w:pStyle w:val="TableText"/>
            </w:pPr>
            <w:r>
              <w:t xml:space="preserve">Subtype of the 1:ResourceType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1E3EE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E08D0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37655E">
            <w:pPr>
              <w:pStyle w:val="TableTextWithTabs"/>
            </w:pPr>
            <w:r>
              <w:t xml:space="preserve">SchemaId</w:t>
            </w:r>
          </w:p>
        </w:tc>
        <w:tc>
          <w:tcPr>
            <w:tcW w:w="1275" w:type="dxa"/>
            <w:tcBorders>
              <w:top w:val="single" w:sz="4" w:space="0" w:color="auto"/>
              <w:left w:val="single" w:sz="4" w:space="0" w:color="auto"/>
              <w:bottom w:val="single" w:sz="4" w:space="0" w:color="auto"/>
              <w:right w:val="single" w:sz="4" w:space="0" w:color="auto"/>
            </w:tcBorders>
          </w:tcPr>
          <w:p w14:paraId="20DAD22C">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05FFD65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EA227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FE0E8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CD9E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44A410">
            <w:pPr>
              <w:pStyle w:val="TableTextWithTabs"/>
            </w:pPr>
            <w:r>
              <w:t xml:space="preserve">SchemaIdAlg</w:t>
            </w:r>
          </w:p>
        </w:tc>
        <w:tc>
          <w:tcPr>
            <w:tcW w:w="1275" w:type="dxa"/>
            <w:tcBorders>
              <w:top w:val="single" w:sz="4" w:space="0" w:color="auto"/>
              <w:left w:val="single" w:sz="4" w:space="0" w:color="auto"/>
              <w:bottom w:val="single" w:sz="4" w:space="0" w:color="auto"/>
              <w:right w:val="single" w:sz="4" w:space="0" w:color="auto"/>
            </w:tcBorders>
          </w:tcPr>
          <w:p w14:paraId="7F04C0D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C31210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FF3474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A81A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2F4A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21A042">
            <w:pPr>
              <w:pStyle w:val="TableTextWithTabs"/>
            </w:pPr>
            <w:r>
              <w:t xml:space="preserve">DataTypeEncoding</w:t>
            </w:r>
          </w:p>
        </w:tc>
        <w:tc>
          <w:tcPr>
            <w:tcW w:w="1275" w:type="dxa"/>
            <w:tcBorders>
              <w:top w:val="single" w:sz="4" w:space="0" w:color="auto"/>
              <w:left w:val="single" w:sz="4" w:space="0" w:color="auto"/>
              <w:bottom w:val="single" w:sz="4" w:space="0" w:color="auto"/>
              <w:right w:val="single" w:sz="4" w:space="0" w:color="auto"/>
            </w:tcBorders>
          </w:tcPr>
          <w:p w14:paraId="75D63B8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D8166B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F523E3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A8E27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69FEF8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835E654">
            <w:pPr>
              <w:pStyle w:val="TableTextWithTabs"/>
            </w:pPr>
            <w:r>
              <w:t xml:space="preserve">Compatibility</w:t>
            </w:r>
          </w:p>
        </w:tc>
        <w:tc>
          <w:tcPr>
            <w:tcW w:w="1275" w:type="dxa"/>
            <w:tcBorders>
              <w:top w:val="single" w:sz="4" w:space="0" w:color="auto"/>
              <w:left w:val="single" w:sz="4" w:space="0" w:color="auto"/>
              <w:bottom w:val="single" w:sz="4" w:space="0" w:color="auto"/>
              <w:right w:val="single" w:sz="4" w:space="0" w:color="auto"/>
            </w:tcBorders>
          </w:tcPr>
          <w:p w14:paraId="2F31DAE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4D86AC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A0F6B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32306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223EB6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425160">
            <w:pPr>
              <w:pStyle w:val="TableTextWithTabs"/>
            </w:pPr>
            <w:r>
              <w:t xml:space="preserve">IsDefault</w:t>
            </w:r>
          </w:p>
        </w:tc>
        <w:tc>
          <w:tcPr>
            <w:tcW w:w="1275" w:type="dxa"/>
            <w:tcBorders>
              <w:top w:val="single" w:sz="4" w:space="0" w:color="auto"/>
              <w:left w:val="single" w:sz="4" w:space="0" w:color="auto"/>
              <w:bottom w:val="single" w:sz="4" w:space="0" w:color="auto"/>
              <w:right w:val="single" w:sz="4" w:space="0" w:color="auto"/>
            </w:tcBorders>
          </w:tcPr>
          <w:p w14:paraId="6437E1A7">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9BA713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B0DC2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6BE9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30EFFF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907E72C">
            <w:pPr>
              <w:pStyle w:val="TableTextWithTabs"/>
            </w:pPr>
            <w:r>
              <w:t xml:space="preserve">Ancestor</w:t>
            </w:r>
          </w:p>
        </w:tc>
        <w:tc>
          <w:tcPr>
            <w:tcW w:w="1275" w:type="dxa"/>
            <w:tcBorders>
              <w:top w:val="single" w:sz="4" w:space="0" w:color="auto"/>
              <w:left w:val="single" w:sz="4" w:space="0" w:color="auto"/>
              <w:bottom w:val="single" w:sz="4" w:space="0" w:color="auto"/>
              <w:right w:val="single" w:sz="4" w:space="0" w:color="auto"/>
            </w:tcBorders>
          </w:tcPr>
          <w:p w14:paraId="10F3EA7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ABD70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7AC23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8CFAF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20F47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524B08A">
            <w:pPr>
              <w:pStyle w:val="TableTextWithTabs"/>
            </w:pPr>
            <w:r>
              <w:t xml:space="preserve">ModelVersion</w:t>
            </w:r>
          </w:p>
        </w:tc>
        <w:tc>
          <w:tcPr>
            <w:tcW w:w="1275" w:type="dxa"/>
            <w:tcBorders>
              <w:top w:val="single" w:sz="4" w:space="0" w:color="auto"/>
              <w:left w:val="single" w:sz="4" w:space="0" w:color="auto"/>
              <w:bottom w:val="single" w:sz="4" w:space="0" w:color="auto"/>
              <w:right w:val="single" w:sz="4" w:space="0" w:color="auto"/>
            </w:tcBorders>
          </w:tcPr>
          <w:p w14:paraId="26679E9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5F061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0BA4E0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F4424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F1CEC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3CE6A9">
            <w:pPr>
              <w:pStyle w:val="TableTextWithTabs"/>
            </w:pPr>
            <w:r>
              <w:t xml:space="preserve">ConfigurationVersion</w:t>
            </w:r>
          </w:p>
        </w:tc>
        <w:tc>
          <w:tcPr>
            <w:tcW w:w="1275" w:type="dxa"/>
            <w:tcBorders>
              <w:top w:val="single" w:sz="4" w:space="0" w:color="auto"/>
              <w:left w:val="single" w:sz="4" w:space="0" w:color="auto"/>
              <w:bottom w:val="single" w:sz="4" w:space="0" w:color="auto"/>
              <w:right w:val="single" w:sz="4" w:space="0" w:color="auto"/>
            </w:tcBorders>
          </w:tcPr>
          <w:p w14:paraId="4FBF41EC">
            <w:pPr>
              <w:pStyle w:val="TableText"/>
            </w:pPr>
            <w:r>
              <w:t xml:space="preserve">0:ConfigurationVersionDataType</w:t>
            </w:r>
          </w:p>
        </w:tc>
        <w:tc>
          <w:tcPr>
            <w:tcW w:w="1843" w:type="dxa"/>
            <w:tcBorders>
              <w:top w:val="single" w:sz="4" w:space="0" w:color="auto"/>
              <w:left w:val="single" w:sz="4" w:space="0" w:color="auto"/>
              <w:bottom w:val="single" w:sz="4" w:space="0" w:color="auto"/>
              <w:right w:val="single" w:sz="4" w:space="0" w:color="auto"/>
            </w:tcBorders>
          </w:tcPr>
          <w:p w14:paraId="3AE9F70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9ADF5C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627B5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A3A2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F2C2E4">
            <w:pPr>
              <w:pStyle w:val="TableTextWithTabs"/>
            </w:pPr>
            <w:r>
              <w:t xml:space="preserve">ExpiryTime</w:t>
            </w:r>
          </w:p>
        </w:tc>
        <w:tc>
          <w:tcPr>
            <w:tcW w:w="1275" w:type="dxa"/>
            <w:tcBorders>
              <w:top w:val="single" w:sz="4" w:space="0" w:color="auto"/>
              <w:left w:val="single" w:sz="4" w:space="0" w:color="auto"/>
              <w:bottom w:val="single" w:sz="4" w:space="0" w:color="auto"/>
              <w:right w:val="single" w:sz="4" w:space="0" w:color="auto"/>
            </w:tcBorders>
          </w:tcPr>
          <w:p w14:paraId="54710149">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4C5EA14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A90D0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0377F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7EDA8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4B3EB3">
            <w:pPr>
              <w:pStyle w:val="TableTextWithTabs"/>
            </w:pPr>
            <w:r>
              <w:t xml:space="preserve">Ttl</w:t>
            </w:r>
          </w:p>
        </w:tc>
        <w:tc>
          <w:tcPr>
            <w:tcW w:w="1275" w:type="dxa"/>
            <w:tcBorders>
              <w:top w:val="single" w:sz="4" w:space="0" w:color="auto"/>
              <w:left w:val="single" w:sz="4" w:space="0" w:color="auto"/>
              <w:bottom w:val="single" w:sz="4" w:space="0" w:color="auto"/>
              <w:right w:val="single" w:sz="4" w:space="0" w:color="auto"/>
            </w:tcBorders>
          </w:tcPr>
          <w:p w14:paraId="41723D40">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7DD850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1EA51D6">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29CB1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9A8010">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7E97B65">
            <w:pPr>
              <w:pStyle w:val="TableText"/>
            </w:pPr>
            <w:r>
              <w:t xml:space="preserve">SREG-SchemaVersioning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17B08A0">
            <w:pPr>
              <w:pStyle w:val="TableText"/>
            </w:pPr>
            <w:r>
              <w:t xml:space="preserve">SREG-TtlMirror</w:t>
            </w:r>
          </w:p>
        </w:tc>
      </w:tr>
    </w:tbl>
    <w:p w14:paraId="53664B0F">
      <w:pPr>
        <w:pStyle w:val="spacer"/>
      </w:pPr>
    </w:p>
    <w:p w14:paraId="514672E3">
      <w:pPr>
        <w:pStyle w:val="Heading1"/>
      </w:pPr>
      <w:bookmarkStart w:id="502" w:name="_Clause_c8"/>
      <w:r>
        <w:t xml:space="preserve">Instances</w:t>
      </w:r>
      <w:bookmarkEnd w:id="502"/>
    </w:p>
    <w:p w14:paraId="00AEED57">
      <w:pPr>
        <w:pStyle w:val="Heading2"/>
      </w:pPr>
      <w:bookmarkStart w:id="503" w:name="_Clause_c8_1"/>
      <w:r>
        <w:t xml:space="preserve">SchemaRegistry</w:t>
      </w:r>
      <w:bookmarkEnd w:id="503"/>
    </w:p>
    <w:p w14:paraId="0C70E716">
      <w:pPr>
        <w:pStyle w:val="PARAGRAPH"/>
      </w:pPr>
      <w:r>
        <w:t xml:space="preserve">Server-wide in-server Schema Registry, a well-known component of the Server object. A server that supports PubSub may additionally reference this object from PublishSubscribe.</w:t>
      </w:r>
    </w:p>
    <w:p w14:paraId="3A9480FF">
      <w:pPr>
        <w:pStyle w:val="TABLE-title"/>
        <w:keepNext/>
      </w:pPr>
      <w:bookmarkStart w:id="504" w:name="_Tab_c8_1_def"/>
      <w:r>
        <w:t xml:space="preserve">Table </w:t>
      </w:r>
      <w:r>
        <w:fldChar w:fldCharType="begin"/>
      </w:r>
      <w:r>
        <w:instrText xml:space="preserve"> SEQ Table \* ARABIC </w:instrText>
      </w:r>
      <w:r>
        <w:fldChar w:fldCharType="separate"/>
      </w:r>
      <w:r>
        <w:rPr>
          <w:noProof/>
        </w:rPr>
        <w:t xml:space="preserve">8</w:t>
      </w:r>
      <w:r>
        <w:fldChar w:fldCharType="end"/>
      </w:r>
      <w:r>
        <w:t xml:space="preserve"> – SchemaRegistry definition</w:t>
      </w:r>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71B7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pPr>
              <w:pStyle w:val="TableText"/>
            </w:pPr>
            <w:r>
              <w:t xml:space="preserve">2:SchemaRegistry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6E8298">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pPr>
              <w:pStyle w:val="TableText"/>
            </w:pPr>
            <w:r>
              <w:t xml:space="preserve">SchemaRegistryType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260DC8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2D578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70FB7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DC5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622F10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D3C2F6B">
            <w:pPr>
              <w:pStyle w:val="TableText"/>
            </w:pPr>
            <w:r>
              <w:rPr>
                <w:b/>
              </w:rPr>
              <w:t xml:space="preserve">Other</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8F899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536FE9E">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3F63640">
            <w:pPr>
              <w:pStyle w:val="TableTextWithTabs"/>
            </w:pPr>
            <w:r>
              <w:t xml:space="preserve">GetSchema</w:t>
            </w:r>
          </w:p>
        </w:tc>
        <w:tc>
          <w:tcPr>
            <w:tcW w:w="1275" w:type="dxa"/>
            <w:tcBorders>
              <w:top w:val="single" w:sz="4" w:space="0" w:color="auto"/>
              <w:left w:val="single" w:sz="4" w:space="0" w:color="auto"/>
              <w:bottom w:val="single" w:sz="4" w:space="0" w:color="auto"/>
              <w:right w:val="single" w:sz="4" w:space="0" w:color="auto"/>
            </w:tcBorders>
          </w:tcPr>
          <w:p w14:paraId="1C308C2E">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18F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BC4CC">
            <w:pPr>
              <w:pStyle w:val="TableText"/>
            </w:pPr>
            <w:r>
              <w:t xml:space="preserve">SREG-SchemaDownload</w:t>
            </w:r>
          </w:p>
        </w:tc>
      </w:tr>
    </w:tbl>
    <w:p w14:paraId="68688363">
      <w:pPr>
        <w:pStyle w:val="spacer"/>
      </w:pPr>
    </w:p>
    <w:p w14:paraId="18132084">
      <w:pPr>
        <w:pStyle w:val="Heading3"/>
      </w:pPr>
      <w:bookmarkStart w:id="505" w:name="_Clause_c8_1_1"/>
      <w:r>
        <w:t xml:space="preserve">GetSchema</w:t>
      </w:r>
      <w:bookmarkEnd w:id="505"/>
    </w:p>
    <w:p w14:paraId="15F059B4">
      <w:pPr>
        <w:pStyle w:val="PARAGRAPH"/>
      </w:pPr>
      <w:r>
        <w:t xml:space="preserve">Return the schema document and metadata for a raw on-wire SchemaId fingerprint. The functional method on the well-known SchemaRegistry object; an unresolved SchemaId returns the Method Call StatusCode Bad_NotFound.</w:t>
      </w:r>
    </w:p>
    <w:p w14:paraId="556CF606">
      <w:pPr>
        <w:pStyle w:val="PARAGRAPH"/>
      </w:pPr>
      <w:r>
        <w:t xml:space="preserve">Signature</w:t>
      </w:r>
    </w:p>
    <w:p w14:paraId="7306FEDC">
      <w:pPr>
        <w:pStyle w:val="MethodSignature"/>
      </w:pPr>
      <w:r>
        <w:t xml:space="preserve">GetSchema (</w:t>
      </w:r>
    </w:p>
    <w:p w14:paraId="15ADD1C2">
      <w:pPr>
        <w:pStyle w:val="MethodSignature"/>
      </w:pPr>
      <w:r>
        <w:t xml:space="preserve">    [in]  0:ByteString   SchemaId,</w:t>
      </w:r>
    </w:p>
    <w:p w14:paraId="06AFBCA5">
      <w:pPr>
        <w:pStyle w:val="MethodSignature"/>
      </w:pPr>
      <w:r>
        <w:t xml:space="preserve">    [out] 0:ByteString   Document,</w:t>
      </w:r>
    </w:p>
    <w:p w14:paraId="4472D628">
      <w:pPr>
        <w:pStyle w:val="MethodSignature"/>
      </w:pPr>
      <w:r>
        <w:t xml:space="preserve">    [out] 0:String       Format,</w:t>
      </w:r>
    </w:p>
    <w:p w14:paraId="789ECCA3">
      <w:pPr>
        <w:pStyle w:val="MethodSignature"/>
      </w:pPr>
      <w:r>
        <w:t xml:space="preserve">    [out] 0:String       ContentType);</w:t>
      </w:r>
    </w:p>
    <w:p w14:paraId="03FD31AD">
      <w:pPr>
        <w:pStyle w:val="TABLE-title"/>
        <w:keepNext/>
      </w:pPr>
      <w:bookmarkStart w:id="506" w:name="_Tab_c8_1_1_m_args"/>
      <w:r>
        <w:t xml:space="preserve">Table </w:t>
      </w:r>
      <w:r>
        <w:fldChar w:fldCharType="begin"/>
      </w:r>
      <w:r>
        <w:instrText xml:space="preserve"> SEQ Table \* ARABIC </w:instrText>
      </w:r>
      <w:r>
        <w:fldChar w:fldCharType="separate"/>
      </w:r>
      <w:r>
        <w:rPr>
          <w:noProof/>
        </w:rPr>
        <w:t xml:space="preserve">9</w:t>
      </w:r>
      <w:r>
        <w:fldChar w:fldCharType="end"/>
      </w:r>
      <w:r>
        <w:t xml:space="preserve"> – GetSchema Method Arguments</w:t>
      </w:r>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48D6F98">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422C56A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12F774">
            <w:pPr>
              <w:pStyle w:val="TableText"/>
            </w:pPr>
            <w:r>
              <w:t xml:space="preserve">SchemaId</w:t>
            </w:r>
          </w:p>
        </w:tc>
        <w:tc>
          <w:tcPr>
            <w:tcW w:w="6726" w:type="dxa"/>
            <w:tcBorders>
              <w:top w:val="single" w:sz="4" w:space="0" w:color="auto"/>
              <w:left w:val="single" w:sz="4" w:space="0" w:color="auto"/>
              <w:bottom w:val="single" w:sz="4" w:space="0" w:color="auto"/>
              <w:right w:val="single" w:sz="4" w:space="0" w:color="auto"/>
            </w:tcBorders>
          </w:tcPr>
          <w:p w14:paraId="425DB90B">
            <w:pPr>
              <w:pStyle w:val="TableText"/>
            </w:pPr>
            <w:r>
              <w:t xml:space="preserve">Raw on-wire SchemaId fingerprint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B39167">
            <w:pPr>
              <w:pStyle w:val="TableText"/>
            </w:pPr>
            <w:r>
              <w:t xml:space="preserve">Document</w:t>
            </w:r>
          </w:p>
        </w:tc>
        <w:tc>
          <w:tcPr>
            <w:tcW w:w="6726" w:type="dxa"/>
            <w:tcBorders>
              <w:top w:val="single" w:sz="4" w:space="0" w:color="auto"/>
              <w:left w:val="single" w:sz="4" w:space="0" w:color="auto"/>
              <w:bottom w:val="single" w:sz="4" w:space="0" w:color="auto"/>
              <w:right w:val="single" w:sz="4" w:space="0" w:color="auto"/>
            </w:tcBorders>
          </w:tcPr>
          <w:p w14:paraId="783CFDE2">
            <w:pPr>
              <w:pStyle w:val="TableText"/>
            </w:pPr>
            <w:r>
              <w:t xml:space="preserve">Schema document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86F7F18">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14:paraId="44D2520E">
            <w:pPr>
              <w:pStyle w:val="TableText"/>
            </w:pPr>
            <w:r>
              <w:t xml:space="preserve">xRegistry format string.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0E2B3B">
            <w:pPr>
              <w:pStyle w:val="TableText"/>
            </w:pPr>
            <w:r>
              <w:t xml:space="preserve">ContentType</w:t>
            </w:r>
          </w:p>
        </w:tc>
        <w:tc>
          <w:tcPr>
            <w:tcW w:w="6726" w:type="dxa"/>
            <w:tcBorders>
              <w:top w:val="single" w:sz="4" w:space="0" w:color="auto"/>
              <w:left w:val="single" w:sz="4" w:space="0" w:color="auto"/>
              <w:bottom w:val="single" w:sz="4" w:space="0" w:color="auto"/>
              <w:right w:val="single" w:sz="4" w:space="0" w:color="auto"/>
            </w:tcBorders>
          </w:tcPr>
          <w:p w14:paraId="52A58D10">
            <w:pPr>
              <w:pStyle w:val="TableText"/>
            </w:pPr>
            <w:r>
              <w:t xml:space="preserve">Schema document media type.</w:t>
            </w:r>
          </w:p>
        </w:tc>
      </w:tr>
    </w:tbl>
    <w:p w14:paraId="7801DF6D">
      <w:pPr>
        <w:pStyle w:val="spacer"/>
      </w:pPr>
    </w:p>
    <w:p w14:paraId="786C2F65">
      <w:pPr>
        <w:pStyle w:val="TABLE-title"/>
        <w:keepNext/>
      </w:pPr>
      <w:bookmarkStart w:id="507" w:name="_Tab_c8_1_1_m_as"/>
      <w:r>
        <w:t xml:space="preserve">Table </w:t>
      </w:r>
      <w:r>
        <w:fldChar w:fldCharType="begin"/>
      </w:r>
      <w:r>
        <w:instrText xml:space="preserve"> SEQ Table \* ARABIC </w:instrText>
      </w:r>
      <w:r>
        <w:fldChar w:fldCharType="separate"/>
      </w:r>
      <w:r>
        <w:rPr>
          <w:noProof/>
        </w:rPr>
        <w:t xml:space="preserve">10</w:t>
      </w:r>
      <w:r>
        <w:fldChar w:fldCharType="end"/>
      </w:r>
      <w:r>
        <w:t xml:space="preserve"> – GetSchema Method AddressSpace definition</w:t>
      </w:r>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83362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680CBB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B518B0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5C28E38">
            <w:pPr>
              <w:pStyle w:val="TableText"/>
            </w:pPr>
            <w:r>
              <w:t xml:space="preserve">GetSchema</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B182A9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7AC902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8FE098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623345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93A5C7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2F7D5DD">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4C067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3B53C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8B14697">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83D5FBE">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80B41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AEF1331">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722F6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C59B6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6CA61C">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7E47AA93">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087414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00D8BFD">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21CC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33646D">
            <w:pPr>
              <w:pStyle w:val="TableText"/>
            </w:pPr>
            <w:r>
              <w:t xml:space="preserve">SREG-SchemaDownload</w:t>
            </w:r>
          </w:p>
        </w:tc>
      </w:tr>
    </w:tbl>
    <w:p w14:paraId="7B565023">
      <w:pPr>
        <w:pStyle w:val="spacer"/>
      </w:pPr>
    </w:p>
    <w:p w14:paraId="3BC1B8B8" w14:textId="12BB010D" w:rsidR="005E69BD" w:rsidRPr="00EC120D" w:rsidRDefault="006235B1" w:rsidP="002E7A22">
      <w:pPr>
        <w:pStyle w:val="Heading1"/>
        <w:pageBreakBefore/>
      </w:pPr>
      <w:bookmarkStart w:id="508" w:name="_Clause_c9"/>
      <w:bookmarkStart w:id="527"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527"/>
      <w:bookmarkEnd w:id="508"/>
    </w:p>
    <w:p w14:paraId="507B84F1">
      <w:pPr>
        <w:pStyle w:val="PARAGRAPH"/>
      </w:pPr>
      <w:r>
        <w:t xml:space="preserve">An implementation conforms if it exposes the in-server Schema Registry as a subtype of the </w:t>
      </w:r>
      <w:r>
        <w:rPr>
          <w:i/>
        </w:rPr>
        <w:t xml:space="preserve">OPC UA — xRegistry</w:t>
      </w:r>
      <w:r>
        <w:t xml:space="preserve"> base model — a </w:t>
      </w:r>
      <w:r>
        <w:rPr>
          <w:rStyle w:val="VARIABLE"/>
        </w:rPr>
        <w:t xml:space="preserve">SchemaRegistryType</w:t>
      </w:r>
      <w:r>
        <w:t xml:space="preserve"> root as a well-known component of the </w:t>
      </w:r>
      <w:r>
        <w:rPr>
          <w:rStyle w:val="VARIABLE"/>
        </w:rPr>
        <w:t xml:space="preserve">Server</w:t>
      </w:r>
      <w:r>
        <w:t xml:space="preserve"> object (</w:t>
      </w:r>
      <w:r>
        <w:rPr>
          <w:rStyle w:val="VARIABLE"/>
        </w:rPr>
        <w:t xml:space="preserve">i=2253</w:t>
      </w:r>
      <w:r>
        <w:t xml:space="preserve">) with </w:t>
      </w:r>
      <w:r>
        <w:rPr>
          <w:rStyle w:val="VARIABLE"/>
        </w:rPr>
        <w:t xml:space="preserve">SchemaGroupType</w:t>
      </w:r>
      <w:r>
        <w:t xml:space="preserve"> groups and </w:t>
      </w:r>
      <w:r>
        <w:rPr>
          <w:rStyle w:val="VARIABLE"/>
        </w:rPr>
        <w:t xml:space="preserve">SchemaFileType</w:t>
      </w:r>
      <w:r>
        <w:t xml:space="preserve"> files — supports the </w:t>
      </w:r>
      <w:r>
        <w:rPr>
          <w:b/>
        </w:rPr>
        <w:t xml:space="preserve">mandatory</w:t>
      </w:r>
      <w:r>
        <w:t xml:space="preserve"> download of a schema (</w:t>
      </w:r>
      <w:r>
        <w:t xml:space="preserve">§5.1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 xml:space="preserve">not</w:t>
      </w:r>
      <w:r>
        <w:t xml:space="preserve"> require Part 14 PubSub; a Server without PubSub is a fully conformant schema registry.</w:t>
      </w:r>
    </w:p>
    <w:p w14:paraId="3227CBCA">
      <w:pPr>
        <w:pStyle w:val="PARAGRAPH"/>
      </w:pPr>
      <w:r>
        <w:t xml:space="preserve">Registration (</w:t>
      </w:r>
      <w:r>
        <w:fldChar w:fldCharType="begin"/>
      </w:r>
      <w:r>
        <w:instrText xml:space="preserve"> REF _Clause_c5_2 \r \h </w:instrText>
      </w:r>
      <w:r>
        <w:fldChar w:fldCharType="separate"/>
      </w:r>
      <w:r>
        <w:rPr>
          <w:noProof/>
        </w:rPr>
        <w:t xml:space="preserve">5.2</w:t>
      </w:r>
      <w:r>
        <w:fldChar w:fldCharType="end"/>
      </w:r>
      <w:r>
        <w:t xml:space="preserve">), structure materialization (</w:t>
      </w:r>
      <w:r>
        <w:fldChar w:fldCharType="begin"/>
      </w:r>
      <w:r>
        <w:instrText xml:space="preserve"> REF _Clause_c6_12_1 \r \h </w:instrText>
      </w:r>
      <w:r>
        <w:fldChar w:fldCharType="separate"/>
      </w:r>
      <w:r>
        <w:rPr>
          <w:noProof/>
        </w:rPr>
        <w:t xml:space="preserve">6.12.1</w:t>
      </w:r>
      <w:r>
        <w:fldChar w:fldCharType="end"/>
      </w:r>
      <w:r>
        <w:t xml:space="preserve">), the xRegistry API/JSON projection (</w:t>
      </w:r>
      <w:r>
        <w:t xml:space="preserve">§10.2</w:t>
      </w:r>
      <w:r>
        <w:t xml:space="preserve">), TTL/mirror (</w:t>
      </w:r>
      <w:r>
        <w:t xml:space="preserve">§9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Pr>
          <w:noProof/>
        </w:rPr>
        <w:t xml:space="preserve">6.2</w:t>
      </w:r>
      <w:r>
        <w:fldChar w:fldCharType="end"/>
      </w:r>
      <w:r>
        <w:t xml:space="preserve"> and Annex A, including a per-format </w:t>
      </w:r>
      <w:r>
        <w:rPr>
          <w:rStyle w:val="VARIABLE"/>
        </w:rPr>
        <w:t xml:space="preserve">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Pr>
          <w:noProof/>
        </w:rPr>
        <w:t xml:space="preserve">6.8</w:t>
      </w:r>
      <w:r>
        <w:fldChar w:fldCharType="end"/>
      </w:r>
      <w:r>
        <w:t xml:space="preserve">) and SchemaId-based resolution by Opaque NodeId; </w:t>
      </w:r>
      <w:r>
        <w:rPr>
          <w:rStyle w:val="VARIABLE"/>
        </w:rPr>
        <w:t xml:space="preserve">GetSchema</w:t>
      </w:r>
      <w:r>
        <w:t xml:space="preserve"> may additionally be exposed as the method form.</w:t>
      </w:r>
    </w:p>
    <w:p w14:paraId="01E3E390">
      <w:pPr>
        <w:pStyle w:val="PARAGRAPH"/>
      </w:pPr>
      <w:r>
        <w:t xml:space="preserve">Conformance is composed from independently implementable </w:t>
      </w:r>
      <w:r>
        <w:rPr>
          <w:b/>
        </w:rPr>
        <w:t xml:space="preserve">conformance units (CUs)</w:t>
      </w:r>
      <w:r>
        <w:t xml:space="preserve">. Only </w:t>
      </w:r>
      <w:r>
        <w:rPr>
          <w:rStyle w:val="VARIABLE"/>
        </w:rPr>
        <w:t xml:space="preserve">SREG-SchemaDownload</w:t>
      </w:r>
      <w:r>
        <w:t xml:space="preserve"> is mandatory; every other unit may be claimed on its own.</w:t>
      </w:r>
    </w:p>
    <w:p w14:paraId="2A3DCAF3">
      <w:pPr>
        <w:pStyle w:val="TABLE-title"/>
        <w:keepNext/>
      </w:pPr>
      <w:bookmarkStart w:id="509" w:name="_Tab_profiles_and_conformance_units_tab1"/>
      <w:r>
        <w:t xml:space="preserve">Table </w:t>
      </w:r>
      <w:r>
        <w:fldChar w:fldCharType="begin"/>
      </w:r>
      <w:r>
        <w:instrText xml:space="preserve"> SEQ Table \* ARABIC </w:instrText>
      </w:r>
      <w:r>
        <w:fldChar w:fldCharType="separate"/>
      </w:r>
      <w:r>
        <w:rPr>
          <w:noProof/>
        </w:rPr>
        <w:t xml:space="preserve">11</w:t>
      </w:r>
      <w:r>
        <w:fldChar w:fldCharType="end"/>
      </w:r>
      <w:r>
        <w:t xml:space="preserve"> – Profiles and conformance units</w:t>
      </w:r>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8DBD3AB">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14:paraId="164F462C">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68B111">
            <w:pPr>
              <w:pStyle w:val="TableText"/>
            </w:pPr>
            <w:r>
              <w:rPr>
                <w:rStyle w:val="VARIABLE"/>
              </w:rPr>
              <w:t xml:space="preserve">SREG-SchemaDownload</w:t>
            </w:r>
          </w:p>
        </w:tc>
        <w:tc>
          <w:tcPr>
            <w:tcW w:w="4463" w:type="dxa"/>
            <w:tcBorders>
              <w:top w:val="single" w:sz="4" w:space="0" w:color="auto"/>
              <w:left w:val="single" w:sz="4" w:space="0" w:color="auto"/>
              <w:bottom w:val="single" w:sz="4" w:space="0" w:color="auto"/>
              <w:right w:val="single" w:sz="4" w:space="0" w:color="auto"/>
            </w:tcBorders>
          </w:tcPr>
          <w:p w14:paraId="2BC499CC">
            <w:pPr>
              <w:pStyle w:val="TableText"/>
            </w:pPr>
            <w:r>
              <w:rPr>
                <w:b/>
              </w:rPr>
              <w:t xml:space="preserve">Mandatory.</w:t>
            </w:r>
            <w:r>
              <w:t xml:space="preserve"> The well-known </w:t>
            </w:r>
            <w:r>
              <w:rPr>
                <w:rStyle w:val="VARIABLE"/>
              </w:rPr>
              <w:t xml:space="preserve">SchemaRegistry</w:t>
            </w:r>
            <w:r>
              <w:t xml:space="preserve"> under the </w:t>
            </w:r>
            <w:r>
              <w:rPr>
                <w:rStyle w:val="VARIABLE"/>
              </w:rPr>
              <w:t xml:space="preserve">Server</w:t>
            </w:r>
            <w:r>
              <w:t xml:space="preserve"> Object, browsing groups and files, reading a schema through the inherited FileType </w:t>
            </w:r>
            <w:r>
              <w:rPr>
                <w:rStyle w:val="VARIABLE"/>
              </w:rPr>
              <w:t xml:space="preserve">Open</w:t>
            </w:r>
            <w:r>
              <w:t xml:space="preserve">/</w:t>
            </w:r>
            <w:r>
              <w:rPr>
                <w:rStyle w:val="VARIABLE"/>
              </w:rPr>
              <w:t xml:space="preserve">Read</w:t>
            </w:r>
            <w:r>
              <w:t xml:space="preserve">/</w:t>
            </w:r>
            <w:r>
              <w:rPr>
                <w:rStyle w:val="VARIABLE"/>
              </w:rPr>
              <w:t xml:space="preserve">Close</w:t>
            </w:r>
            <w:r>
              <w:t xml:space="preserve">, SchemaId-based resolution by Opaque NodeId, and </w:t>
            </w:r>
            <w:r>
              <w:rPr>
                <w:rStyle w:val="VARIABLE"/>
              </w:rPr>
              <w:t xml:space="preserve">GetSchema</w:t>
            </w:r>
            <w:r>
              <w:t xml:space="preserve"> (</w:t>
            </w:r>
            <w:r>
              <w:fldChar w:fldCharType="begin"/>
            </w:r>
            <w:r>
              <w:instrText xml:space="preserve"> REF _Clause_c5_1 \r \h </w:instrText>
            </w:r>
            <w:r>
              <w:fldChar w:fldCharType="separate"/>
            </w:r>
            <w:r>
              <w:rPr>
                <w:noProof/>
              </w:rPr>
              <w:t xml:space="preserve">5.1</w:t>
            </w:r>
            <w:r>
              <w:fldChar w:fldCharType="end"/>
            </w:r>
            <w:r>
              <w:t xml:space="preserve">, </w:t>
            </w:r>
            <w:r>
              <w:fldChar w:fldCharType="begin"/>
            </w:r>
            <w:r>
              <w:instrText xml:space="preserve"> REF _Clause_c6_6 \r \h </w:instrText>
            </w:r>
            <w:r>
              <w:fldChar w:fldCharType="separate"/>
            </w:r>
            <w:r>
              <w:rPr>
                <w:noProof/>
              </w:rPr>
              <w:t xml:space="preserve">6.6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6A07ED3">
            <w:pPr>
              <w:pStyle w:val="TableText"/>
            </w:pPr>
            <w:r>
              <w:rPr>
                <w:rStyle w:val="VARIABLE"/>
              </w:rPr>
              <w:t xml:space="preserve">SREG-SchemaRegistration</w:t>
            </w:r>
          </w:p>
        </w:tc>
        <w:tc>
          <w:tcPr>
            <w:tcW w:w="4463" w:type="dxa"/>
            <w:tcBorders>
              <w:top w:val="single" w:sz="4" w:space="0" w:color="auto"/>
              <w:left w:val="single" w:sz="4" w:space="0" w:color="auto"/>
              <w:bottom w:val="single" w:sz="4" w:space="0" w:color="auto"/>
              <w:right w:val="single" w:sz="4" w:space="0" w:color="auto"/>
            </w:tcBorders>
          </w:tcPr>
          <w:p w14:paraId="7D4834D8">
            <w:pPr>
              <w:pStyle w:val="TableText"/>
            </w:pPr>
            <w:r>
              <w:t xml:space="preserve">Creating and writing schema resources through the inherited xRegistry create/write surface (</w:t>
            </w:r>
            <w:r>
              <w:t xml:space="preserve">§5.2</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434C5B9">
            <w:pPr>
              <w:pStyle w:val="TableText"/>
            </w:pPr>
            <w:r>
              <w:rPr>
                <w:rStyle w:val="VARIABLE"/>
              </w:rPr>
              <w:t xml:space="preserve">SREG-SchemaVersioning</w:t>
            </w:r>
          </w:p>
        </w:tc>
        <w:tc>
          <w:tcPr>
            <w:tcW w:w="4463" w:type="dxa"/>
            <w:tcBorders>
              <w:top w:val="single" w:sz="4" w:space="0" w:color="auto"/>
              <w:left w:val="single" w:sz="4" w:space="0" w:color="auto"/>
              <w:bottom w:val="single" w:sz="4" w:space="0" w:color="auto"/>
              <w:right w:val="single" w:sz="4" w:space="0" w:color="auto"/>
            </w:tcBorders>
          </w:tcPr>
          <w:p w14:paraId="0732FD8E">
            <w:pPr>
              <w:pStyle w:val="TableText"/>
            </w:pPr>
            <w:r>
              <w:rPr>
                <w:rStyle w:val="VARIABLE"/>
              </w:rPr>
              <w:t xml:space="preserve">Compatibility</w:t>
            </w:r>
            <w:r>
              <w:t xml:space="preserve">, </w:t>
            </w:r>
            <w:r>
              <w:rPr>
                <w:rStyle w:val="VARIABLE"/>
              </w:rPr>
              <w:t xml:space="preserve">Ancestor</w:t>
            </w:r>
            <w:r>
              <w:t xml:space="preserve">, </w:t>
            </w:r>
            <w:r>
              <w:rPr>
                <w:rStyle w:val="VARIABLE"/>
              </w:rPr>
              <w:t xml:space="preserve">ModelVersion</w:t>
            </w:r>
            <w:r>
              <w:t xml:space="preserve">, </w:t>
            </w:r>
            <w:r>
              <w:rPr>
                <w:rStyle w:val="VARIABLE"/>
              </w:rPr>
              <w:t xml:space="preserve">ConfigurationVersion</w:t>
            </w:r>
            <w:r>
              <w:t xml:space="preserve"> and </w:t>
            </w:r>
            <w:r>
              <w:rPr>
                <w:rStyle w:val="VARIABLE"/>
              </w:rPr>
              <w:t xml:space="preserve">IsDefault</w:t>
            </w:r>
            <w:r>
              <w:t xml:space="preserve">, and the compatibility rules that govern them (</w:t>
            </w:r>
            <w:r>
              <w:fldChar w:fldCharType="begin"/>
            </w:r>
            <w:r>
              <w:instrText xml:space="preserve"> REF _Clause_c6_9 \r \h </w:instrText>
            </w:r>
            <w:r>
              <w:fldChar w:fldCharType="separate"/>
            </w:r>
            <w:r>
              <w:rPr>
                <w:noProof/>
              </w:rPr>
              <w:t xml:space="preserve">6.9</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D23172">
            <w:pPr>
              <w:pStyle w:val="TableText"/>
            </w:pPr>
            <w:r>
              <w:rPr>
                <w:rStyle w:val="VARIABLE"/>
              </w:rPr>
              <w:t xml:space="preserve">SREG-TtlMirror</w:t>
            </w:r>
          </w:p>
        </w:tc>
        <w:tc>
          <w:tcPr>
            <w:tcW w:w="4463" w:type="dxa"/>
            <w:tcBorders>
              <w:top w:val="single" w:sz="4" w:space="0" w:color="auto"/>
              <w:left w:val="single" w:sz="4" w:space="0" w:color="auto"/>
              <w:bottom w:val="single" w:sz="4" w:space="0" w:color="auto"/>
              <w:right w:val="single" w:sz="4" w:space="0" w:color="auto"/>
            </w:tcBorders>
          </w:tcPr>
          <w:p w14:paraId="3F1D527D">
            <w:pPr>
              <w:pStyle w:val="TableText"/>
            </w:pPr>
            <w:r>
              <w:rPr>
                <w:rStyle w:val="VARIABLE"/>
              </w:rPr>
              <w:t xml:space="preserve">Ttl</w:t>
            </w:r>
            <w:r>
              <w:t xml:space="preserve"> and </w:t>
            </w:r>
            <w:r>
              <w:rPr>
                <w:rStyle w:val="VARIABLE"/>
              </w:rPr>
              <w:t xml:space="preserve">ExpiryTime</w:t>
            </w:r>
            <w:r>
              <w:t xml:space="preserve">, and the mirror and refresh semantics that use them (</w:t>
            </w:r>
            <w:r>
              <w:fldChar w:fldCharType="begin"/>
            </w:r>
            <w:r>
              <w:instrText xml:space="preserve"> REF _Clause_c6_11 \r \h </w:instrText>
            </w:r>
            <w:r>
              <w:fldChar w:fldCharType="separate"/>
            </w:r>
            <w:r>
              <w:rPr>
                <w:noProof/>
              </w:rPr>
              <w:t xml:space="preserve">6.11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BCCE10">
            <w:pPr>
              <w:pStyle w:val="TableText"/>
            </w:pPr>
            <w:r>
              <w:rPr>
                <w:rStyle w:val="VARIABLE"/>
              </w:rPr>
              <w:t xml:space="preserve">SREG-StructureMaterialization</w:t>
            </w:r>
          </w:p>
        </w:tc>
        <w:tc>
          <w:tcPr>
            <w:tcW w:w="4463" w:type="dxa"/>
            <w:tcBorders>
              <w:top w:val="single" w:sz="4" w:space="0" w:color="auto"/>
              <w:left w:val="single" w:sz="4" w:space="0" w:color="auto"/>
              <w:bottom w:val="single" w:sz="4" w:space="0" w:color="auto"/>
              <w:right w:val="single" w:sz="4" w:space="0" w:color="auto"/>
            </w:tcBorders>
          </w:tcPr>
          <w:p w14:paraId="5EBEE837">
            <w:pPr>
              <w:pStyle w:val="TableText"/>
            </w:pPr>
            <w:r>
              <w:t xml:space="preserve">Auto-bootstrap of the group and file structure from the Server's own schemas (</w:t>
            </w:r>
            <w:r>
              <w:fldChar w:fldCharType="begin"/>
            </w:r>
            <w:r>
              <w:instrText xml:space="preserve"> REF _Clause_c6_12_1 \r \h </w:instrText>
            </w:r>
            <w:r>
              <w:fldChar w:fldCharType="separate"/>
            </w:r>
            <w:r>
              <w:rPr>
                <w:noProof/>
              </w:rPr>
              <w:t xml:space="preserve">6.12.1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9CD5890">
            <w:pPr>
              <w:pStyle w:val="TableText"/>
            </w:pPr>
            <w:r>
              <w:rPr>
                <w:rStyle w:val="VARIABLE"/>
              </w:rPr>
              <w:t xml:space="preserve">SREG-XRegistryApi</w:t>
            </w:r>
          </w:p>
        </w:tc>
        <w:tc>
          <w:tcPr>
            <w:tcW w:w="4463" w:type="dxa"/>
            <w:tcBorders>
              <w:top w:val="single" w:sz="4" w:space="0" w:color="auto"/>
              <w:left w:val="single" w:sz="4" w:space="0" w:color="auto"/>
              <w:bottom w:val="single" w:sz="4" w:space="0" w:color="auto"/>
              <w:right w:val="single" w:sz="4" w:space="0" w:color="auto"/>
            </w:tcBorders>
          </w:tcPr>
          <w:p w14:paraId="4D4A49DD">
            <w:pPr>
              <w:pStyle w:val="TableText"/>
            </w:pPr>
            <w:r>
              <w:t xml:space="preserve">Serving the xRegistry API and its JSON projection over the same registry (</w:t>
            </w:r>
            <w:r>
              <w:t xml:space="preserve">§10.2</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534DED">
            <w:pPr>
              <w:pStyle w:val="TableText"/>
            </w:pPr>
            <w:r>
              <w:rPr>
                <w:rStyle w:val="VARIABLE"/>
              </w:rPr>
              <w:t xml:space="preserve">SREG-Federation</w:t>
            </w:r>
          </w:p>
        </w:tc>
        <w:tc>
          <w:tcPr>
            <w:tcW w:w="4463" w:type="dxa"/>
            <w:tcBorders>
              <w:top w:val="single" w:sz="4" w:space="0" w:color="auto"/>
              <w:left w:val="single" w:sz="4" w:space="0" w:color="auto"/>
              <w:bottom w:val="single" w:sz="4" w:space="0" w:color="auto"/>
              <w:right w:val="single" w:sz="4" w:space="0" w:color="auto"/>
            </w:tcBorders>
          </w:tcPr>
          <w:p w14:paraId="6890E8C2">
            <w:pPr>
              <w:pStyle w:val="TableText"/>
            </w:pPr>
            <w:r>
              <w:t xml:space="preserve">Resolving a schema that another registry holds, with parity between the OPC UA and HTTP paths (Annex B).</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766206">
            <w:pPr>
              <w:pStyle w:val="TableText"/>
            </w:pPr>
            <w:r>
              <w:rPr>
                <w:rStyle w:val="VARIABLE"/>
              </w:rPr>
              <w:t xml:space="preserve">SREG-PubSubProfile</w:t>
            </w:r>
          </w:p>
        </w:tc>
        <w:tc>
          <w:tcPr>
            <w:tcW w:w="4463" w:type="dxa"/>
            <w:tcBorders>
              <w:top w:val="single" w:sz="4" w:space="0" w:color="auto"/>
              <w:left w:val="single" w:sz="4" w:space="0" w:color="auto"/>
              <w:bottom w:val="single" w:sz="4" w:space="0" w:color="auto"/>
              <w:right w:val="single" w:sz="4" w:space="0" w:color="auto"/>
            </w:tcBorders>
          </w:tcPr>
          <w:p w14:paraId="12D50CFB">
            <w:pPr>
              <w:pStyle w:val="TableText"/>
            </w:pPr>
            <w:r>
              <w:t xml:space="preserve">The PubSub DataSet schema profile: ConfigurationVersion-keyed evolution, open unions and the append-only rule (</w:t>
            </w:r>
            <w:r>
              <w:fldChar w:fldCharType="begin"/>
            </w:r>
            <w:r>
              <w:instrText xml:space="preserve"> REF _Clause_c6_13 \r \h </w:instrText>
            </w:r>
            <w:r>
              <w:fldChar w:fldCharType="separate"/>
            </w:r>
            <w:r>
              <w:rPr>
                <w:noProof/>
              </w:rPr>
              <w:t xml:space="preserve">6.13</w:t>
            </w:r>
            <w:r>
              <w:fldChar w:fldCharType="end"/>
            </w:r>
            <w:r>
              <w:t xml:space="preserve">, Annex C).</w:t>
            </w:r>
          </w:p>
        </w:tc>
      </w:tr>
    </w:tbl>
    <w:p w14:paraId="21BFF98F">
      <w:pPr>
        <w:pStyle w:val="spacer"/>
      </w:pPr>
    </w:p>
    <w:p w14:paraId="4FFE8E07">
      <w:pPr>
        <w:pStyle w:val="PARAGRAPH"/>
      </w:pPr>
      <w:r>
        <w:rPr>
          <w:b/>
        </w:rPr>
        <w:t xml:space="preserve">Profiles.</w:t>
      </w:r>
      <w:r>
        <w:t xml:space="preserve"> </w:t>
      </w:r>
      <w:r>
        <w:rPr>
          <w:i/>
        </w:rPr>
        <w:t xml:space="preserve">Schema Registry Reader</w:t>
      </w:r>
      <w:r>
        <w:t xml:space="preserve"> = </w:t>
      </w:r>
      <w:r>
        <w:rPr>
          <w:rStyle w:val="VARIABLE"/>
        </w:rPr>
        <w:t xml:space="preserve">SREG-SchemaDownload</w:t>
      </w:r>
      <w:r>
        <w:t xml:space="preserve">. </w:t>
      </w:r>
      <w:r>
        <w:rPr>
          <w:i/>
        </w:rPr>
        <w:t xml:space="preserve">Schema Registry Server</w:t>
      </w:r>
      <w:r>
        <w:t xml:space="preserve"> adds </w:t>
      </w:r>
      <w:r>
        <w:rPr>
          <w:rStyle w:val="VARIABLE"/>
        </w:rPr>
        <w:t xml:space="preserve">SREG-SchemaRegistration</w:t>
      </w:r>
      <w:r>
        <w:t xml:space="preserve">, </w:t>
      </w:r>
      <w:r>
        <w:rPr>
          <w:rStyle w:val="VARIABLE"/>
        </w:rPr>
        <w:t xml:space="preserve">SREG-SchemaVersioning</w:t>
      </w:r>
      <w:r>
        <w:t xml:space="preserve"> and </w:t>
      </w:r>
      <w:r>
        <w:rPr>
          <w:rStyle w:val="VARIABLE"/>
        </w:rPr>
        <w:t xml:space="preserve">SREG-StructureMaterialization</w:t>
      </w:r>
      <w:r>
        <w:t xml:space="preserve">. </w:t>
      </w:r>
      <w:r>
        <w:rPr>
          <w:i/>
        </w:rPr>
        <w:t xml:space="preserve">Schema Registry Full</w:t>
      </w:r>
      <w:r>
        <w:t xml:space="preserve"> adds </w:t>
      </w:r>
      <w:r>
        <w:rPr>
          <w:rStyle w:val="VARIABLE"/>
        </w:rPr>
        <w:t xml:space="preserve">SREG-TtlMirror</w:t>
      </w:r>
      <w:r>
        <w:t xml:space="preserve">, </w:t>
      </w:r>
      <w:r>
        <w:rPr>
          <w:rStyle w:val="VARIABLE"/>
        </w:rPr>
        <w:t xml:space="preserve">SREG-XRegistryApi</w:t>
      </w:r>
      <w:r>
        <w:t xml:space="preserve">, </w:t>
      </w:r>
      <w:r>
        <w:rPr>
          <w:rStyle w:val="VARIABLE"/>
        </w:rPr>
        <w:t xml:space="preserve">SREG-Federation</w:t>
      </w:r>
      <w:r>
        <w:t xml:space="preserve"> and </w:t>
      </w:r>
      <w:r>
        <w:rPr>
          <w:rStyle w:val="VARIABLE"/>
        </w:rPr>
        <w:t xml:space="preserve">SREG-PubSubProfile</w:t>
      </w:r>
      <w:r>
        <w:t xml:space="preserve">.</w:t>
      </w:r>
    </w:p>
    <w:p w14:paraId="6B4A45F1">
      <w:pPr>
        <w:pStyle w:val="Heading1"/>
      </w:pPr>
      <w:bookmarkStart w:id="510" w:name="_Clause_c10"/>
      <w:r>
        <w:t xml:space="preserve">Namespaces</w:t>
      </w:r>
      <w:bookmarkEnd w:id="510"/>
    </w:p>
    <w:p w14:paraId="49E581B0">
      <w:pPr>
        <w:pStyle w:val="Heading2"/>
      </w:pPr>
      <w:bookmarkStart w:id="528" w:name="_Ref127248897"/>
      <w:bookmarkStart w:id="511" w:name="_Clause_c10_1"/>
      <w:r>
        <w:t xml:space="preserve">Namespace metadata</w:t>
      </w:r>
      <w:bookmarkEnd w:id="511"/>
      <w:bookmarkEnd w:id="528"/>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531" w:name="_Ref16863029"/>
      <w:bookmarkStart w:id="512" w:name="_Tab_namespace_metadata_tab1"/>
      <w:r>
        <w:t xml:space="preserve">Table </w:t>
      </w:r>
      <w:r>
        <w:fldChar w:fldCharType="begin"/>
      </w:r>
      <w:r>
        <w:instrText xml:space="preserve"> SEQ Table \* ARABIC </w:instrText>
      </w:r>
      <w:r>
        <w:fldChar w:fldCharType="separate"/>
      </w:r>
      <w:r>
        <w:rPr>
          <w:noProof/>
        </w:rPr>
        <w:t xml:space="preserve">12</w:t>
      </w:r>
      <w:r>
        <w:fldChar w:fldCharType="end"/>
      </w:r>
      <w:r>
        <w:t xml:space="preserve"> – NamespaceMetadata Object for this document</w:t>
      </w:r>
      <w:bookmarkEnd w:id="512"/>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http://opcfoundation.org/UA/SchemaRegistry/</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0.2.0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2026-07-16</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62000:62518</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529" w:name="_Ref55114991"/>
      <w:bookmarkStart w:id="513" w:name="_Clause_c10_2"/>
      <w:r>
        <w:t xml:space="preserve">Handling of OPC UA namespaces</w:t>
      </w:r>
      <w:bookmarkEnd w:id="513"/>
      <w:bookmarkEnd w:id="529"/>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14" w:name="_Tab_handling_of_opc_ua_namespaces_tab1"/>
      <w:r>
        <w:t xml:space="preserve">Table </w:t>
      </w:r>
      <w:r>
        <w:fldChar w:fldCharType="begin"/>
      </w:r>
      <w:r>
        <w:instrText xml:space="preserve"> SEQ Table \* ARABIC </w:instrText>
      </w:r>
      <w:r>
        <w:fldChar w:fldCharType="separate"/>
      </w:r>
      <w:r>
        <w:rPr>
          <w:noProof/>
        </w:rPr>
        <w:t xml:space="preserve">13</w:t>
      </w:r>
      <w:r>
        <w:fldChar w:fldCharType="end"/>
      </w:r>
      <w:r>
        <w:t xml:space="preserve"> – Namespaces used in an OpenUSD Server</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530" w:name="_Ref16577438"/>
      <w:bookmarkStart w:id="515" w:name="_Tab_handling_of_opc_ua_namespaces_tab2"/>
      <w:r>
        <w:t xml:space="preserve">Table </w:t>
      </w:r>
      <w:r>
        <w:fldChar w:fldCharType="begin"/>
      </w:r>
      <w:r>
        <w:instrText xml:space="preserve"> SEQ Table \* ARABIC </w:instrText>
      </w:r>
      <w:r>
        <w:fldChar w:fldCharType="separate"/>
      </w:r>
      <w:r>
        <w:rPr>
          <w:noProof/>
        </w:rPr>
        <w:t xml:space="preserve">14</w:t>
      </w:r>
      <w:r>
        <w:fldChar w:fldCharType="end"/>
      </w:r>
      <w:r>
        <w:t xml:space="preserve"> – Namespaces used in this document</w:t>
      </w:r>
      <w:bookmarkEnd w:id="515"/>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Schema Registry</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Schema Registry</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SREG</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http://opcfoundation.org/UA/SchemaRegistry/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http://opcfoundation.org/UA/SchemaRegistry/</w:t>
      </w:r>
      <w:r w:rsidRPr="007E383D">
        <w:t>&amp;v=</w:t>
      </w:r>
      <w:r w:rsidRPr="00621FAB">
        <w:rPr>
          <w:color w:val="FF0000"/>
        </w:rPr>
        <w:t xml:space="preserve">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http://opcfoundation.org/UA/SchemaRegistry/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http://opcfoundation.org/UA/SchemaRegistry/</w:t>
      </w:r>
      <w:r w:rsidRPr="007E383D">
        <w:t>&amp;v=</w:t>
      </w:r>
      <w:r w:rsidRPr="00621FAB">
        <w:rPr>
          <w:color w:val="FF0000"/>
        </w:rPr>
        <w:t xml:space="preserve">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Opc.ua.SREG.</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SREG</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526" w:name="_Tab_annex_a_nodes"/>
      <w:r>
        <w:t xml:space="preserve">Table </w:t>
      </w:r>
      <w:r>
        <w:fldChar w:fldCharType="begin"/>
      </w:r>
      <w:r>
        <w:instrText xml:space="preserve"> SEQ Table \* ARABIC </w:instrText>
      </w:r>
      <w:r>
        <w:fldChar w:fldCharType="separate"/>
      </w:r>
      <w:r>
        <w:rPr>
          <w:noProof/>
        </w:rPr>
        <w:t xml:space="preserve">16</w:t>
      </w:r>
      <w:r>
        <w:fldChar w:fldCharType="end"/>
      </w:r>
      <w:r>
        <w:t xml:space="preserve"> – Nodes defined by this document</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ns=2;i=62000</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SchemaRegistryType</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ns=2;i=62001</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SchemaGroupType</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r>
              <w:t xml:space="preserve">An xRegistry GroupType keyed by an OPC UA namespace URI; a folder of schema files for the DataTypes and PublishedDataSets of that namespace.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ns=2;i=62002</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SchemaFileType</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An xRegistry ResourceType whose file content is one concrete schema document (Avro, Apache Arrow or JSON Schema). Adds the OPC UA schema-decoding metadata (SchemaId and per-encoding fields) used by a consumer that must resolve a schema from an on-wire fingerprint.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ns=2;i=62500</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&lt;SchemaGroup&gt;</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r>
              <w:t xml:space="preserve">A schema group folder (per OPC UA namespace) held by the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ns=2;i=62501</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GetSchema</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Return the schema document and metadata for a raw on-wire SchemaId fingerprint (the method form of the Opaque SchemaId NodeId fast path). An unresolved SchemaId returns the Method Call StatusCode Bad_NotFound rather than an empty result.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ns=2;i=62502</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ns=2;i=62503</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ns=2;i=62504</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NamespaceUri</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r>
              <w:t xml:space="preserve">The OPC UA namespace URI represented by this schema group (the xRegistry group key).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ns=2;i=62505</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&lt;Schema&gt;</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A schema file (one DataType/DataSet in one format) held by this group.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ns=2;i=62506</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SchemaId</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r>
              <w:t xml:space="preserve">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ns=2;i=62507</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SchemaIdAlg</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SchemaId algorithm name identifying the (canonicalization, hash) used, such as CRC-64-AVRO (Avro), SHA-256/ApacheArrow (Arrow) or SHA-256/JCS (JSON Schema).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ns=2;i=62508</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DataTypeEncoding</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r>
              <w:t xml:space="preserve">The OPC UA DataTypeEncoding name, for example Default Avro or Default Arrow.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ns=2;i=62509</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Compatibility</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xRegistry compatibility mode the schema's versions adhere to, such as NONE, BACKWARD, FORWARD or FULL. This is Resource-level metadata: it is identical across all versions of one schema, and a change that would break it starts a new schema rather than a new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ns=2;i=62510</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IsDefault</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r>
              <w:t xml:space="preserve">xRegistry isdefault: true for the schema's default version - the one served when no explicit version is selected. The default is usually the latest version but MAY be pinned to an earlier one (sticky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ns=2;i=62511</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Ancestor</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xRegistry ancestor: the versionid of the version this one derives from, establishing the version lineage. The root version's ancestor is its own VersionId.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ns=2;i=62512</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ModelVersion</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r>
              <w:t xml:space="preserve">OPC UA NodeSet model version label (opcua.modelversion).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ns=2;i=62513</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PubSub DataSet schema profile only: the Part 14 ConfigurationVersion (opcua.configurationversion) when the schema describes a DataSet. Omitted for a non-PubSub schema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ns=2;i=62514</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ExpiryTime</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r>
              <w:t xml:space="preserve">Optional UTC expiry time for mirror/cache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ns=2;i=62515</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Ttl</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Optional time-to-live for mirror/cache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ns=2;i=62100</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SchemaRegistry</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Server-wide in-server Schema Registry, a well-known component of the Server object. A server that supports PubSub may additionally reference this object from PublishSubscribe.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ns=2;i=62516</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GetSchema</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Return the schema document and metadata for a raw on-wire SchemaId fingerprint. The functional method on the well-known SchemaRegistry object; an unresolved SchemaId returns the Method Call StatusCode Bad_NotFound.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ns=2;i=62517</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ns=2;i=62518</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p>
        </w:tc>
      </w:tr>
    </w:tbl>
    <w:p w14:paraId="69D94436">
      <w:pPr>
        <w:pStyle w:val="spacer"/>
      </w:pPr>
    </w:p>
    <w:p w14:paraId="6885D573">
      <w:pPr>
        <w:pStyle w:val="ANNEXtitle"/>
        <w:pageBreakBefore/>
      </w:pPr>
      <w:bookmarkStart w:id="517" w:name="_Annex_cB"/>
      <w:r>
        <w:t xml:space="preserve">(informative)</w:t>
      </w:r>
      <w:r>
        <w:br/>
      </w:r>
      <w:r>
        <w:br/>
      </w:r>
      <w:r>
        <w:t xml:space="preserve">Federation and OPC UA to HTTP resolution parity</w:t>
      </w:r>
      <w:bookmarkEnd w:id="517"/>
    </w:p>
    <w:p w14:paraId="75BAF418">
      <w:pPr>
        <w:pStyle w:val="PARAGRAPH"/>
      </w:pPr>
      <w:r>
        <w:t xml:space="preserve">A Schema Registry inherits the base model's federation (base </w:t>
      </w:r>
      <w:r>
        <w:t xml:space="preserve">§8</w:t>
      </w:r>
      <w:r>
        <w:t xml:space="preserve">). A schema hosted by another registry is represented locally by a proxy </w:t>
      </w:r>
      <w:r>
        <w:rPr>
          <w:rStyle w:val="VARIABLE"/>
        </w:rPr>
        <w:t xml:space="preserve">SchemaFileType</w:t>
      </w:r>
      <w:r>
        <w:t xml:space="preserve"> whose </w:t>
      </w:r>
      <w:r>
        <w:rPr>
          <w:rStyle w:val="VARIABLE"/>
        </w:rPr>
        <w:t xml:space="preserve">ExternalReference</w:t>
      </w:r>
      <w:r>
        <w:t xml:space="preserve"> Property (an </w:t>
      </w:r>
      <w:r>
        <w:rPr>
          <w:rStyle w:val="VARIABLE"/>
        </w:rPr>
        <w:t xml:space="preserve">ExpandedNodeId</w:t>
      </w:r>
      <w:r>
        <w:t xml:space="preserve">) points to the remote schema file — its </w:t>
      </w:r>
      <w:r>
        <w:rPr>
          <w:rStyle w:val="VARIABLE"/>
        </w:rPr>
        <w:t xml:space="preserve">ServerUri</w:t>
      </w:r>
      <w:r>
        <w:t xml:space="preserve"> names the remote OPC UA server (an application URI, resolved to a concrete endpoint through the local server's </w:t>
      </w:r>
      <w:r>
        <w:rPr>
          <w:rStyle w:val="VARIABLE"/>
        </w:rPr>
        <w:t xml:space="preserve">ServerArray</w:t>
      </w:r>
      <w:r>
        <w:t xml:space="preserve">/discovery or a GDS), and its </w:t>
      </w:r>
      <w:r>
        <w:rPr>
          <w:rStyle w:val="VARIABLE"/>
        </w:rPr>
        <w:t xml:space="preserve">NamespaceUri</w:t>
      </w:r>
      <w:r>
        <w:t xml:space="preserve"> + </w:t>
      </w:r>
      <w:r>
        <w:rPr>
          <w:rStyle w:val="VARIABLE"/>
        </w:rPr>
        <w:t xml:space="preserve">Identifier</w:t>
      </w:r>
      <w:r>
        <w:t xml:space="preserve"> are the remote schema node's identity — and/or whose </w:t>
      </w:r>
      <w:r>
        <w:rPr>
          <w:rStyle w:val="VARIABLE"/>
        </w:rPr>
        <w:t xml:space="preserve">ResourceUrl</w:t>
      </w:r>
      <w:r>
        <w:t xml:space="preserve"> carries the same link in string form (an </w:t>
      </w:r>
      <w:r>
        <w:rPr>
          <w:rStyle w:val="VARIABLE"/>
        </w:rPr>
        <w:t xml:space="preserve">opc.tcp</w:t>
      </w:r>
      <w:r>
        <w:t xml:space="preserve"> endpoint plus the remote node, or an HTTP URL for a non-OPC-UA registry). A consumer resolves such a proxy by resolving the </w:t>
      </w:r>
      <w:r>
        <w:rPr>
          <w:rStyle w:val="VARIABLE"/>
        </w:rPr>
        <w:t xml:space="preserve">ServerUri</w:t>
      </w:r>
      <w:r>
        <w:t xml:space="preserve"> to an endpoint, mapping the </w:t>
      </w:r>
      <w:r>
        <w:rPr>
          <w:rStyle w:val="VARIABLE"/>
        </w:rPr>
        <w:t xml:space="preserve">NamespaceUri</w:t>
      </w:r>
      <w:r>
        <w:t xml:space="preserve"> to the remote server's </w:t>
      </w:r>
      <w:r>
        <w:rPr>
          <w:rStyle w:val="VARIABLE"/>
        </w:rPr>
        <w:t xml:space="preserve">NamespaceArray</w:t>
      </w:r>
      <w:r>
        <w:t xml:space="preserve"> index to form the remote NodeId, and reading that schema file with the FileType Methods (or calling the remote </w:t>
      </w:r>
      <w:r>
        <w:rPr>
          <w:rStyle w:val="VARIABLE"/>
        </w:rPr>
        <w:t xml:space="preserve">GetSchema</w:t>
      </w:r>
      <w:r>
        <w:t xml:space="preserve">). Because a schema's identity (its </w:t>
      </w:r>
      <w:r>
        <w:rPr>
          <w:rStyle w:val="VARIABLE"/>
        </w:rPr>
        <w:t xml:space="preserve">SchemaId</w:t>
      </w:r>
      <w:r>
        <w:t xml:space="preserve"> and </w:t>
      </w:r>
      <w:r>
        <w:rPr>
          <w:rStyle w:val="VARIABLE"/>
        </w:rPr>
        <w:t xml:space="preserve">xid</w:t>
      </w:r>
      <w:r>
        <w:t xml:space="preserve">) is stable across registries while the endpoint authority is not, the same schema federated from several registries keeps one identity and can be de-duplicated by </w:t>
      </w:r>
      <w:r>
        <w:rPr>
          <w:rStyle w:val="VARIABLE"/>
        </w:rPr>
        <w:t xml:space="preserve">SchemaId</w:t>
      </w:r>
      <w:r>
        <w:t xml:space="preserve">.</w:t>
      </w:r>
    </w:p>
    <w:p w14:paraId="3820E987">
      <w:pPr>
        <w:pStyle w:val="PARAGRAPH"/>
      </w:pPr>
      <w:r>
        <w:t xml:space="preserve">Resolving an on-wire SchemaId that is </w:t>
      </w:r>
      <w:r>
        <w:rPr>
          <w:b/>
        </w:rPr>
        <w:t xml:space="preserve">not registered locally</w:t>
      </w:r>
      <w:r>
        <w:t xml:space="preserve"> (</w:t>
      </w:r>
      <w:r>
        <w:fldChar w:fldCharType="begin"/>
      </w:r>
      <w:r>
        <w:instrText xml:space="preserve"> REF _Clause_c6_10 \r \h </w:instrText>
      </w:r>
      <w:r>
        <w:fldChar w:fldCharType="separate"/>
      </w:r>
      <w:r>
        <w:rPr>
          <w:noProof/>
        </w:rPr>
        <w:t xml:space="preserve">6.10</w:t>
      </w:r>
      <w:r>
        <w:fldChar w:fldCharType="end"/>
      </w:r>
      <w:r>
        <w:t xml:space="preserve"> step 0c) requires a </w:t>
      </w:r>
      <w:r>
        <w:rPr>
          <w:b/>
        </w:rPr>
        <w:t xml:space="preserve">registry-level peer</w:t>
      </w:r>
      <w:r>
        <w:t xml:space="preserve">, not just a per-schema proxy: the local registry is configured with one or more peer registry endpoints (OPC UA </w:t>
      </w:r>
      <w:r>
        <w:rPr>
          <w:rStyle w:val="VARIABLE"/>
        </w:rPr>
        <w:t xml:space="preserve">SchemaRegistry</w:t>
      </w:r>
      <w:r>
        <w:t xml:space="preserve"> objects or HTTP xRegistry endpoints), and the consumer queries a peer by SchemaId — calling the peer's </w:t>
      </w:r>
      <w:r>
        <w:rPr>
          <w:rStyle w:val="VARIABLE"/>
        </w:rPr>
        <w:t xml:space="preserve">GetSchema</w:t>
      </w:r>
      <w:r>
        <w:t xml:space="preserve"> / Opaque-NodeId Read over OPC UA, or the equivalent HTTP lookup — then optionally caches the result as a local proxy. Federation is </w:t>
      </w:r>
      <w:r>
        <w:rPr>
          <w:b/>
        </w:rPr>
        <w:t xml:space="preserve">protocol-uniform</w:t>
      </w:r>
      <w:r>
        <w:t xml:space="preserve">: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Pr>
          <w:noProof/>
        </w:rPr>
        <w:t xml:space="preserve">6.1</w:t>
      </w:r>
      <w:r>
        <w:fldChar w:fldCharType="end"/>
      </w:r>
      <w:r>
        <w:t xml:space="preserve">). The resolution algorithm is:</w:t>
      </w:r>
    </w:p>
    <w:p w14:paraId="674D3EE9">
      <w:pPr>
        <w:pStyle w:val="ListNumber"/>
        <w:numPr>
          <w:ilvl w:val="0"/>
          <w:numId w:val="21"/>
        </w:numPr>
      </w:pPr>
      <w:r>
        <w:t xml:space="preserve">If a local proxy </w:t>
      </w:r>
      <w:r>
        <w:rPr>
          <w:rStyle w:val="VARIABLE"/>
        </w:rPr>
        <w:t xml:space="preserve">SchemaFileType</w:t>
      </w:r>
      <w:r>
        <w:t xml:space="preserve"> for the target exists, read its </w:t>
      </w:r>
      <w:r>
        <w:rPr>
          <w:rStyle w:val="VARIABLE"/>
        </w:rPr>
        <w:t xml:space="preserve">ExternalReference</w:t>
      </w:r>
      <w:r>
        <w:t xml:space="preserve"> and/or </w:t>
      </w:r>
      <w:r>
        <w:rPr>
          <w:rStyle w:val="VARIABLE"/>
        </w:rPr>
        <w:t xml:space="preserve">ResourceUrl</w:t>
      </w:r>
      <w:r>
        <w:t xml:space="preserve">; otherwise select a configured peer registry endpoint.</w:t>
      </w:r>
    </w:p>
    <w:p w14:paraId="0731E997">
      <w:pPr>
        <w:pStyle w:val="ListNumber"/>
        <w:numPr>
          <w:ilvl w:val="0"/>
          <w:numId w:val="21"/>
        </w:numPr>
      </w:pPr>
      <w:r>
        <w:t xml:space="preserve">For an OPC UA target (</w:t>
      </w:r>
      <w:r>
        <w:rPr>
          <w:rStyle w:val="VARIABLE"/>
        </w:rPr>
        <w:t xml:space="preserve">ExpandedNodeId</w:t>
      </w:r>
      <w:r>
        <w:t xml:space="preserve"> or </w:t>
      </w:r>
      <w:r>
        <w:rPr>
          <w:rStyle w:val="VARIABLE"/>
        </w:rPr>
        <w:t xml:space="preserve">opc.tcp</w:t>
      </w:r>
      <w:r>
        <w:t xml:space="preserve"> </w:t>
      </w:r>
      <w:r>
        <w:rPr>
          <w:rStyle w:val="VARIABLE"/>
        </w:rPr>
        <w:t xml:space="preserve">ResourceUrl</w:t>
      </w:r>
      <w:r>
        <w:t xml:space="preserve">, or an OPC UA peer): resolve the </w:t>
      </w:r>
      <w:r>
        <w:rPr>
          <w:rStyle w:val="VARIABLE"/>
        </w:rPr>
        <w:t xml:space="preserve">ServerUri</w:t>
      </w:r>
      <w:r>
        <w:t xml:space="preserve">/endpoint through discovery, map the </w:t>
      </w:r>
      <w:r>
        <w:rPr>
          <w:rStyle w:val="VARIABLE"/>
        </w:rPr>
        <w:t xml:space="preserve">NamespaceUri</w:t>
      </w:r>
      <w:r>
        <w:t xml:space="preserve"> to the remote </w:t>
      </w:r>
      <w:r>
        <w:rPr>
          <w:rStyle w:val="VARIABLE"/>
        </w:rPr>
        <w:t xml:space="preserve">NamespaceArray</w:t>
      </w:r>
      <w:r>
        <w:t xml:space="preserve"> index to construct the remote NodeId directly, and </w:t>
      </w:r>
      <w:r>
        <w:rPr>
          <w:rStyle w:val="VARIABLE"/>
        </w:rPr>
        <w:t xml:space="preserve">Open</w:t>
      </w:r>
      <w:r>
        <w:t xml:space="preserve">/</w:t>
      </w:r>
      <w:r>
        <w:rPr>
          <w:rStyle w:val="VARIABLE"/>
        </w:rPr>
        <w:t xml:space="preserve">Read</w:t>
      </w:r>
      <w:r>
        <w:t xml:space="preserve">/</w:t>
      </w:r>
      <w:r>
        <w:rPr>
          <w:rStyle w:val="VARIABLE"/>
        </w:rPr>
        <w:t xml:space="preserve">Close</w:t>
      </w:r>
      <w:r>
        <w:t xml:space="preserve"> the remote schema file — or call the remote </w:t>
      </w:r>
      <w:r>
        <w:rPr>
          <w:rStyle w:val="VARIABLE"/>
        </w:rPr>
        <w:t xml:space="preserve">GetSchema(SchemaId)</w:t>
      </w:r>
      <w:r>
        <w:t xml:space="preserve">.</w:t>
      </w:r>
    </w:p>
    <w:p w14:paraId="270FEEB1">
      <w:pPr>
        <w:pStyle w:val="ListNumber"/>
        <w:numPr>
          <w:ilvl w:val="0"/>
          <w:numId w:val="21"/>
        </w:numPr>
      </w:pPr>
      <w:r>
        <w:t xml:space="preserve">For a non-OPC-UA target (an </w:t>
      </w:r>
      <w:r>
        <w:rPr>
          <w:rStyle w:val="VARIABLE"/>
        </w:rPr>
        <w:t xml:space="preserve">http(s)</w:t>
      </w:r>
      <w:r>
        <w:t xml:space="preserve"> </w:t>
      </w:r>
      <w:r>
        <w:rPr>
          <w:rStyle w:val="VARIABLE"/>
        </w:rPr>
        <w:t xml:space="preserve">ResourceUrl</w:t>
      </w:r>
      <w:r>
        <w:t xml:space="preserve"> or HTTP peer): dereference it over that protocol to obtain the schema document and its metadata (Annex D).</w:t>
      </w:r>
    </w:p>
    <w:p w14:paraId="33462F6D">
      <w:pPr>
        <w:pStyle w:val="ListNumber"/>
        <w:numPr>
          <w:ilvl w:val="0"/>
          <w:numId w:val="21"/>
        </w:numPr>
      </w:pPr>
      <w:r>
        <w:t xml:space="preserve">De-duplicate by </w:t>
      </w:r>
      <w:r>
        <w:rPr>
          <w:rStyle w:val="VARIABLE"/>
        </w:rPr>
        <w:t xml:space="preserve">SchemaId</w:t>
      </w:r>
      <w:r>
        <w:t xml:space="preserve">: if the resolved document's </w:t>
      </w:r>
      <w:r>
        <w:rPr>
          <w:rStyle w:val="VARIABLE"/>
        </w:rPr>
        <w:t xml:space="preserve">SchemaId</w:t>
      </w:r>
      <w:r>
        <w:t xml:space="preserve"> matches one already held, reuse the cached document.</w:t>
      </w:r>
    </w:p>
    <w:p w14:paraId="70515431">
      <w:pPr>
        <w:pStyle w:val="ANNEXtitle"/>
        <w:pageBreakBefore/>
      </w:pPr>
      <w:bookmarkStart w:id="518" w:name="_Annex_cC"/>
      <w:r>
        <w:t xml:space="preserve">(normative)</w:t>
      </w:r>
      <w:r>
        <w:br/>
      </w:r>
      <w:r>
        <w:br/>
      </w:r>
      <w:r>
        <w:t xml:space="preserve">PubSub DataSet schema profile</w:t>
      </w:r>
      <w:bookmarkEnd w:id="518"/>
    </w:p>
    <w:p w14:paraId="3287CEB4">
      <w:pPr>
        <w:pStyle w:val="PARAGRAPH"/>
      </w:pPr>
      <w:r>
        <w:t xml:space="preserve">This annex defines the OPTIONAL behaviours a Server that also implements Part 14 PubSub applies when it serves </w:t>
      </w:r>
      <w:r>
        <w:rPr>
          <w:b/>
        </w:rPr>
        <w:t xml:space="preserve">DataSet</w:t>
      </w:r>
      <w:r>
        <w:t xml:space="preserve"> schemas. A schema registry that does not serve PubSub DataSets need not implement any of it, and omits the </w:t>
      </w:r>
      <w:r>
        <w:rPr>
          <w:rStyle w:val="VARIABLE"/>
        </w:rPr>
        <w:t xml:space="preserve">ConfigurationVersion</w:t>
      </w:r>
      <w:r>
        <w:t xml:space="preserve"> Property. Where implemented, this profile refines the core versioning of </w:t>
      </w:r>
      <w:r>
        <w:fldChar w:fldCharType="begin"/>
      </w:r>
      <w:r>
        <w:instrText xml:space="preserve"> REF _Clause_c6_9 \r \h </w:instrText>
      </w:r>
      <w:r>
        <w:fldChar w:fldCharType="separate"/>
      </w:r>
      <w:r>
        <w:rPr>
          <w:noProof/>
        </w:rPr>
        <w:t xml:space="preserve">6.9</w:t>
      </w:r>
      <w:r>
        <w:fldChar w:fldCharType="end"/>
      </w:r>
      <w:r>
        <w:t xml:space="preserve"> with a </w:t>
      </w:r>
      <w:r>
        <w:rPr>
          <w:rStyle w:val="VARIABLE"/>
        </w:rPr>
        <w:t xml:space="preserve">ConfigurationVersion</w:t>
      </w:r>
      <w:r>
        <w:t xml:space="preserve">-keyed lineage and an append-only evolution rule that realises a </w:t>
      </w:r>
      <w:r>
        <w:rPr>
          <w:rStyle w:val="VARIABLE"/>
        </w:rPr>
        <w:t xml:space="preserve">BACKWARD</w:t>
      </w:r>
      <w:r>
        <w:t xml:space="preserve">-style </w:t>
      </w:r>
      <w:r>
        <w:rPr>
          <w:rStyle w:val="VARIABLE"/>
        </w:rPr>
        <w:t xml:space="preserve">Compatibility</w:t>
      </w:r>
      <w:r>
        <w:t xml:space="preserve"> mode for the Avro and Arrow encodings.</w:t>
      </w:r>
    </w:p>
    <w:p w14:paraId="4F145E96">
      <w:pPr>
        <w:pStyle w:val="ANNEX-heading1"/>
      </w:pPr>
      <w:bookmarkStart w:id="519" w:name="_Clause_cC_1"/>
      <w:r>
        <w:t xml:space="preserve">ConfigurationVersion-keyed evolution</w:t>
      </w:r>
      <w:bookmarkEnd w:id="519"/>
    </w:p>
    <w:p w14:paraId="53084737">
      <w:pPr>
        <w:pStyle w:val="PARAGRAPH"/>
      </w:pPr>
      <w:r>
        <w:t xml:space="preserve">A DataSet schema evolves along a </w:t>
      </w:r>
      <w:r>
        <w:rPr>
          <w:b/>
        </w:rPr>
        <w:t xml:space="preserve">major.minor</w:t>
      </w:r>
      <w:r>
        <w:t xml:space="preserve"> lineage that corresponds to the PubSub </w:t>
      </w:r>
      <w:r>
        <w:rPr>
          <w:rStyle w:val="VARIABLE"/>
        </w:rPr>
        <w:t xml:space="preserve">ConfigurationVersion</w:t>
      </w:r>
      <w:r>
        <w:t xml:space="preserve"> </w:t>
      </w:r>
      <w:r>
        <w:rPr>
          <w:rStyle w:val="VARIABLE"/>
        </w:rPr>
        <w:t xml:space="preserve">{MajorVersion, MinorVersion}</w:t>
      </w:r>
      <w:r>
        <w:t xml:space="preserve"> of the DataSet it describes. The two components carry a compatibility contract a consumer can rely on without inspecting the schema bytes:</w:t>
      </w:r>
    </w:p>
    <w:p w14:paraId="6BA3E330">
      <w:pPr>
        <w:pStyle w:val="NOTE"/>
      </w:pPr>
      <w:r>
        <w:t xml:space="preserve">NOTE   </w:t>
      </w:r>
      <w:r>
        <w:rPr>
          <w:b/>
        </w:rPr>
        <w:t xml:space="preserve">Note on terminology.</w:t>
      </w:r>
      <w:r>
        <w:t xml:space="preserve"> In OPC 10000-14, </w:t>
      </w:r>
      <w:r>
        <w:rPr>
          <w:rStyle w:val="VARIABLE"/>
        </w:rPr>
        <w:t xml:space="preserve">ConfigurationVersion.MajorVersion</w:t>
      </w:r>
      <w:r>
        <w:t xml:space="preserve"> and </w:t>
      </w:r>
      <w:r>
        <w:rPr>
          <w:rStyle w:val="VARIABLE"/>
        </w:rPr>
        <w:t xml:space="preserve">MinorVersion</w:t>
      </w:r>
      <w:r>
        <w:t xml:space="preserve"> are </w:t>
      </w:r>
      <w:r>
        <w:rPr>
          <w:rStyle w:val="VARIABLE"/>
        </w:rPr>
        <w:t xml:space="preserve">VersionTime</w:t>
      </w:r>
      <w:r>
        <w:t xml:space="preserve"> values (change timestamps), not sequential counters; an incompatible change advances </w:t>
      </w:r>
      <w:r>
        <w:rPr>
          <w:rStyle w:val="VARIABLE"/>
        </w:rPr>
        <w:t xml:space="preserve">MajorVersion</w:t>
      </w:r>
      <w:r>
        <w:t xml:space="preserve"> (and </w:t>
      </w:r>
      <w:r>
        <w:rPr>
          <w:rStyle w:val="VARIABLE"/>
        </w:rPr>
        <w:t xml:space="preserve">MinorVersion</w:t>
      </w:r>
      <w:r>
        <w:t xml:space="preserve">), a compatible additive change advances only </w:t>
      </w:r>
      <w:r>
        <w:rPr>
          <w:rStyle w:val="VARIABLE"/>
        </w:rPr>
        <w:t xml:space="preserve">MinorVersion</w:t>
      </w:r>
      <w:r>
        <w:t xml:space="preserve">. The "major.minor" and "3.0 → 3.1" notation in this annex is an </w:t>
      </w:r>
      <w:r>
        <w:rPr>
          <w:b/>
        </w:rPr>
        <w:t xml:space="preserve">illustrative lineage label</w:t>
      </w:r>
      <w:r>
        <w:t xml:space="preserve"> for those two change classes, not a claim that the fields increment by one. The authoritative schema-lineage key is the </w:t>
      </w:r>
      <w:r>
        <w:rPr>
          <w:rStyle w:val="VARIABLE"/>
        </w:rPr>
        <w:t xml:space="preserve">SchemaId</w:t>
      </w:r>
      <w:r>
        <w:t xml:space="preserve"> (each distinct schema document has a distinct </w:t>
      </w:r>
      <w:r>
        <w:rPr>
          <w:rStyle w:val="VARIABLE"/>
        </w:rPr>
        <w:t xml:space="preserve">SchemaId</w:t>
      </w:r>
      <w:r>
        <w:t xml:space="preserve">); </w:t>
      </w:r>
      <w:r>
        <w:rPr>
          <w:rStyle w:val="VARIABLE"/>
        </w:rPr>
        <w:t xml:space="preserve">ConfigurationVersion</w:t>
      </w:r>
      <w:r>
        <w:t xml:space="preserve"> is carried as the opaque Part 14 correlation value that signals </w:t>
      </w:r>
      <w:r>
        <w:rPr>
          <w:i/>
        </w:rPr>
        <w:t xml:space="preserve">whether</w:t>
      </w:r>
      <w:r>
        <w:t xml:space="preserve"> the layout changed, and its </w:t>
      </w:r>
      <w:r>
        <w:rPr>
          <w:rStyle w:val="VARIABLE"/>
        </w:rPr>
        <w:t xml:space="preserve">{Major, Minor}</w:t>
      </w:r>
      <w:r>
        <w:t xml:space="preserve"> pair classifies the change as a reset or an append.</w:t>
      </w:r>
    </w:p>
    <w:p w14:paraId="5B1FCB95">
      <w:pPr>
        <w:pStyle w:val="ListBullet"/>
        <w:numPr>
          <w:ilvl w:val="0"/>
          <w:numId w:val="21"/>
        </w:numPr>
      </w:pPr>
      <w:r>
        <w:t xml:space="preserve">A </w:t>
      </w:r>
      <w:r>
        <w:rPr>
          <w:b/>
        </w:rPr>
        <w:t xml:space="preserve">MajorVersion</w:t>
      </w:r>
      <w:r>
        <w:t xml:space="preserve"> change is a </w:t>
      </w:r>
      <w:r>
        <w:rPr>
          <w:b/>
        </w:rPr>
        <w:t xml:space="preserve">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 xml:space="preserve">new schema</w:t>
      </w:r>
      <w:r>
        <w:t xml:space="preserve"> in the sense of </w:t>
      </w:r>
      <w:r>
        <w:t xml:space="preserve">§7</w:t>
      </w:r>
      <w:r>
        <w:t xml:space="preserve">.</w:t>
      </w:r>
    </w:p>
    <w:p w14:paraId="2AA9CBBA">
      <w:pPr>
        <w:pStyle w:val="ListBullet"/>
        <w:numPr>
          <w:ilvl w:val="0"/>
          <w:numId w:val="21"/>
        </w:numPr>
      </w:pPr>
      <w:r>
        <w:t xml:space="preserve">A </w:t>
      </w:r>
      <w:r>
        <w:rPr>
          <w:b/>
        </w:rPr>
        <w:t xml:space="preserve">MinorVersion</w:t>
      </w:r>
      <w:r>
        <w:t xml:space="preserve"> change is an </w:t>
      </w:r>
      <w:r>
        <w:rPr>
          <w:b/>
        </w:rPr>
        <w:t xml:space="preserve">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 xml:space="preserve">version</w:t>
      </w:r>
      <w:r>
        <w:t xml:space="preserve"> of the same schema in the sense of </w:t>
      </w:r>
      <w:r>
        <w:t xml:space="preserve">§7</w:t>
      </w:r>
      <w:r>
        <w:t xml:space="preserve">.</w:t>
      </w:r>
    </w:p>
    <w:p w14:paraId="074D7630">
      <w:pPr>
        <w:pStyle w:val="ANNEX-heading1"/>
      </w:pPr>
      <w:bookmarkStart w:id="520" w:name="_Clause_cC_2"/>
      <w:r>
        <w:t xml:space="preserve">Open unions subject to aggregation</w:t>
      </w:r>
      <w:bookmarkEnd w:id="520"/>
    </w:p>
    <w:p w14:paraId="3E2AA701">
      <w:pPr>
        <w:pStyle w:val="PARAGRAPH"/>
      </w:pPr>
      <w:r>
        <w:t xml:space="preserve">Only two schema constructs are open and therefore aggregated across minors: (1) the </w:t>
      </w:r>
      <w:r>
        <w:rPr>
          <w:b/>
        </w:rPr>
        <w:t xml:space="preserve">Variant body-type union</w:t>
      </w:r>
      <w:r>
        <w:t xml:space="preserve"> — the built-in body types (and, where a Variant body is an ExtensionObject, the concrete struct type identities) that a given Variant field may carry; and (2) the </w:t>
      </w:r>
      <w:r>
        <w:rPr>
          <w:b/>
        </w:rPr>
        <w:t xml:space="preserve">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 xml:space="preserve">(BuiltInType, form)</w:t>
      </w:r>
      <w:r>
        <w:t xml:space="preserve"> pair where form is scalar, one-dimensional array or matrix, and append-only applies to each pair independently. All other constructs are closed and are produced complete in every minor: </w:t>
      </w:r>
      <w:r>
        <w:rPr>
          <w:b/>
        </w:rPr>
        <w:t xml:space="preserve">Union DataTypes</w:t>
      </w:r>
      <w:r>
        <w:t xml:space="preserve"> have a finite field set from their DataTypeDefinition, and </w:t>
      </w:r>
      <w:r>
        <w:rPr>
          <w:b/>
        </w:rPr>
        <w:t xml:space="preserve">Enumerations</w:t>
      </w:r>
      <w:r>
        <w:t xml:space="preserve"> and </w:t>
      </w:r>
      <w:r>
        <w:rPr>
          <w:b/>
        </w:rPr>
        <w:t xml:space="preserve">OptionSets</w:t>
      </w:r>
      <w:r>
        <w:t xml:space="preserve"> already carry unknown numeric values and bit combinations without a schema change. These are never aggregated.</w:t>
      </w:r>
    </w:p>
    <w:p w14:paraId="6FCC202C">
      <w:pPr>
        <w:pStyle w:val="PARAGRAPH"/>
      </w:pPr>
      <w:r>
        <w:rPr>
          <w:b/>
        </w:rPr>
        <w:t xml:space="preserve">Per-field or shared unions.</w:t>
      </w:r>
      <w:r>
        <w:t xml:space="preserve"> These open unions are preferably </w:t>
      </w:r>
      <w:r>
        <w:rPr>
          <w:b/>
        </w:rPr>
        <w:t xml:space="preserve">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 xml:space="preserve">share</w:t>
      </w:r>
      <w:r>
        <w:t xml:space="preserve"> a single named </w:t>
      </w:r>
      <w:r>
        <w:rPr>
          <w:rStyle w:val="VARIABLE"/>
        </w:rPr>
        <w:t xml:space="preserve">Variant</w:t>
      </w:r>
      <w:r>
        <w:t xml:space="preserve">/</w:t>
      </w:r>
      <w:r>
        <w:rPr>
          <w:rStyle w:val="VARIABLE"/>
        </w:rPr>
        <w:t xml:space="preserve">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Avro DataEncoding</w:t>
      </w:r>
      <w:r>
        <w:t xml:space="preserve"> </w:t>
      </w:r>
      <w:r>
        <w:t xml:space="preserve">§6.6</w:t>
      </w:r>
      <w:r>
        <w:t xml:space="preserve"> and </w:t>
      </w:r>
      <w:r>
        <w:rPr>
          <w:i/>
        </w:rPr>
        <w:t xml:space="preserve">OPC UA — Apache Arrow DataEncoding</w:t>
      </w:r>
      <w:r>
        <w:t xml:space="preserve"> </w:t>
      </w:r>
      <w:r>
        <w:t xml:space="preserve">§5.6.9</w:t>
      </w:r>
      <w:r>
        <w:t xml:space="preserve">; the choice is fixed in the schema and is part of the SchemaId.</w:t>
      </w:r>
    </w:p>
    <w:p w14:paraId="4EC62F42">
      <w:pPr>
        <w:pStyle w:val="PARAGRAPH"/>
      </w:pPr>
      <w:r>
        <w:rPr>
          <w:b/>
        </w:rPr>
        <w:t xml:space="preserve">Initial version and basis (data-driven preferred).</w:t>
      </w:r>
      <w:r>
        <w:t xml:space="preserve"> The </w:t>
      </w:r>
      <w:r>
        <w:rPr>
          <w:rStyle w:val="VARIABLE"/>
        </w:rPr>
        <w:t xml:space="preserve">MAJOR.0</w:t>
      </w:r>
      <w:r>
        <w:t xml:space="preserve"> schema is the initial announced schema. The preferred basis is </w:t>
      </w:r>
      <w:r>
        <w:rPr>
          <w:b/>
        </w:rPr>
        <w:t xml:space="preserve">data-driven</w:t>
      </w:r>
      <w:r>
        <w:t xml:space="preserve">: an open field's union is narrowed to the concrete type of the </w:t>
      </w:r>
      <w:r>
        <w:rPr>
          <w:b/>
        </w:rPr>
        <w:t xml:space="preserve">first value the field actually encodes</w:t>
      </w:r>
      <w:r>
        <w:t xml:space="preserve"> — the concrete Variant body type, or the concrete ExtensionObject/subtype struct, standing in place of the abstract Variant/ExtensionObject and unioned with </w:t>
      </w:r>
      <w:r>
        <w:rPr>
          <w:rStyle w:val="VARIABLE"/>
        </w:rPr>
        <w:t xml:space="preserve">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 xml:space="preserve">publisher-local</w:t>
      </w:r>
      <w:r>
        <w:t xml:space="preserve">: two publishers may append members in different orders and so reach different schemas at the same </w:t>
      </w:r>
      <w:r>
        <w:rPr>
          <w:rStyle w:val="VARIABLE"/>
        </w:rPr>
        <w:t xml:space="preserve">major.minor</w:t>
      </w:r>
      <w:r>
        <w:t xml:space="preserve">, so the exact schema is identified by </w:t>
      </w:r>
      <w:r>
        <w:rPr>
          <w:b/>
        </w:rPr>
        <w:t xml:space="preserve">SchemaId</w:t>
      </w:r>
      <w:r>
        <w:t xml:space="preserve">, not by </w:t>
      </w:r>
      <w:r>
        <w:rPr>
          <w:rStyle w:val="VARIABLE"/>
        </w:rPr>
        <w:t xml:space="preserve">major.minor</w:t>
      </w:r>
      <w:r>
        <w:t xml:space="preserve"> alone. Where a schema must be formed </w:t>
      </w:r>
      <w:r>
        <w:rPr>
          <w:b/>
        </w:rPr>
        <w:t xml:space="preserve">before the first message</w:t>
      </w:r>
      <w:r>
        <w:t xml:space="preserve">, or where </w:t>
      </w:r>
      <w:r>
        <w:rPr>
          <w:b/>
        </w:rPr>
        <w:t xml:space="preserve">cross-publisher determinism</w:t>
      </w:r>
      <w:r>
        <w:t xml:space="preserve"> is required, the encoder MAY instead seed </w:t>
      </w:r>
      <w:r>
        <w:rPr>
          <w:rStyle w:val="VARIABLE"/>
        </w:rPr>
        <w:t xml:space="preserve">MAJOR.0</w:t>
      </w:r>
      <w:r>
        <w:t xml:space="preserve"> </w:t>
      </w:r>
      <w:r>
        <w:rPr>
          <w:b/>
        </w:rPr>
        <w:t xml:space="preserve">schema-driven</w:t>
      </w:r>
      <w:r>
        <w:t xml:space="preserve"> from the field's declared bound — for a field declared as an abstract base, the concrete subtypes known in the AddressSpace or schema registry — placed in a </w:t>
      </w:r>
      <w:r>
        <w:rPr>
          <w:b/>
        </w:rPr>
        <w:t xml:space="preserve">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data-driven where they are not — a </w:t>
      </w:r>
      <w:r>
        <w:rPr>
          <w:rStyle w:val="VARIABLE"/>
        </w:rPr>
        <w:t xml:space="preserve">BaseDataType</w:t>
      </w:r>
      <w:r>
        <w:t xml:space="preserve"> Variant, or a body whose concrete type is defined in a namespace the encoder does not know in advance.</w:t>
      </w:r>
    </w:p>
    <w:p w14:paraId="28CA0C45">
      <w:pPr>
        <w:pStyle w:val="ANNEX-heading1"/>
      </w:pPr>
      <w:bookmarkStart w:id="521" w:name="_Clause_cC_3"/>
      <w:r>
        <w:t xml:space="preserve">Append-only rule</w:t>
      </w:r>
      <w:bookmarkEnd w:id="521"/>
    </w:p>
    <w:p w14:paraId="61050711">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 xml:space="preserve">opaque-body fallback branches</w:t>
      </w:r>
      <w:r>
        <w:t xml:space="preserve"> — for Avro the </w:t>
      </w:r>
      <w:r>
        <w:rPr>
          <w:rStyle w:val="VARIABLE"/>
        </w:rPr>
        <w:t xml:space="preserve">bytes</w:t>
      </w:r>
      <w:r>
        <w:t xml:space="preserve"> branch (a Binary body) and the </w:t>
      </w:r>
      <w:r>
        <w:rPr>
          <w:rStyle w:val="VARIABLE"/>
        </w:rPr>
        <w:t xml:space="preserve">string</w:t>
      </w:r>
      <w:r>
        <w:t xml:space="preserve"> branch (an XML or textual body), and for Arrow the </w:t>
      </w:r>
      <w:r>
        <w:rPr>
          <w:rStyle w:val="VARIABLE"/>
        </w:rPr>
        <w:t xml:space="preserve">binary</w:t>
      </w:r>
      <w:r>
        <w:t xml:space="preserve"> child and the </w:t>
      </w:r>
      <w:r>
        <w:rPr>
          <w:rStyle w:val="VARIABLE"/>
        </w:rPr>
        <w:t xml:space="preserve">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 xml:space="preserve">["null", &lt;Struct&gt;]</w:t>
      </w:r>
      <w:r>
        <w:t xml:space="preserve"> → </w:t>
      </w:r>
      <w:r>
        <w:rPr>
          <w:rStyle w:val="VARIABLE"/>
        </w:rPr>
        <w:t xml:space="preserve">["null", &lt;Struct&gt;, "bytes"]</w:t>
      </w:r>
      <w:r>
        <w:t xml:space="preserve"> → </w:t>
      </w:r>
      <w:r>
        <w:rPr>
          <w:rStyle w:val="VARIABLE"/>
        </w:rPr>
        <w:t xml:space="preserve">["null", &lt;Struct&gt;, "bytes", &lt;Struct'&gt;]</w:t>
      </w:r>
      <w:r>
        <w:t xml:space="preserve">, and likewise </w:t>
      </w:r>
      <w:r>
        <w:rPr>
          <w:rStyle w:val="VARIABLE"/>
        </w:rPr>
        <w:t xml:space="preserve">dense_union&lt;null, Struct&gt;</w:t>
      </w:r>
      <w:r>
        <w:t xml:space="preserve"> → </w:t>
      </w:r>
      <w:r>
        <w:rPr>
          <w:rStyle w:val="VARIABLE"/>
        </w:rPr>
        <w:t xml:space="preserve">dense_union&lt;null, Struct, binary&gt;</w:t>
      </w:r>
      <w:r>
        <w:t xml:space="preserve"> → </w:t>
      </w:r>
      <w:r>
        <w:rPr>
          <w:rStyle w:val="VARIABLE"/>
        </w:rPr>
        <w:t xml:space="preserve">dense_union&lt;null, Struct, binary, Struct'&gt;</w:t>
      </w:r>
      <w:r>
        <w:t xml:space="preserve">).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4FBFBA46">
      <w:pPr>
        <w:pStyle w:val="PARAGRAPH"/>
      </w:pPr>
      <w:r>
        <w:rPr>
          <w:b/>
        </w:rPr>
        <w:t xml:space="preserve">Compatibility contract.</w:t>
      </w:r>
      <w:r>
        <w:t xml:space="preserve"> Append-only growth lets a consumer, where the encoding permits, decode a message written under an earlier minor using a later minor of the same lineage. </w:t>
      </w:r>
      <w:r>
        <w:rPr>
          <w:b/>
        </w:rPr>
        <w:t xml:space="preserve">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 xml:space="preserve">Arrow</w:t>
      </w:r>
      <w:r>
        <w:t xml:space="preserve"> is only self-describing through the </w:t>
      </w:r>
      <w:r>
        <w:rPr>
          <w:b/>
        </w:rPr>
        <w:t xml:space="preserve">embedded Schema message</w:t>
      </w:r>
      <w:r>
        <w:t xml:space="preserve"> of an IPC </w:t>
      </w:r>
      <w:r>
        <w:rPr>
          <w:rStyle w:val="VARIABLE"/>
        </w:rPr>
        <w:t xml:space="preserve">stream</w:t>
      </w:r>
      <w:r>
        <w:t xml:space="preserve">; a bare </w:t>
      </w:r>
      <w:r>
        <w:rPr>
          <w:rStyle w:val="VARIABLE"/>
        </w:rPr>
        <w:t xml:space="preserve">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 xml:space="preserve">stream</w:t>
      </w:r>
      <w:r>
        <w:t xml:space="preserve">, but not to Arrow </w:t>
      </w:r>
      <w:r>
        <w:rPr>
          <w:rStyle w:val="VARIABLE"/>
        </w:rPr>
        <w:t xml:space="preserve">batch</w:t>
      </w:r>
      <w:r>
        <w:t xml:space="preserve">. In all cases, until a consumer has a schema that covers a body type, the ExtensionObject opaque-body fallback still lets it decode structurally and preserve an unknown body with its TypeId.</w:t>
      </w:r>
    </w:p>
    <w:p w14:paraId="71D5D2DF">
      <w:pPr>
        <w:pStyle w:val="PARAGRAPH"/>
      </w:pPr>
      <w:r>
        <w:t xml:space="preserve">Because </w:t>
      </w:r>
      <w:r>
        <w:rPr>
          <w:rStyle w:val="VARIABLE"/>
        </w:rPr>
        <w:t xml:space="preserve">ConfigurationVersion</w:t>
      </w:r>
      <w:r>
        <w:t xml:space="preserve"> is the logical, DataSet-wide version, a MinorVersion increment need not change every encoding's schema: appending a built-in Variant body type changes the Avro and Arrow SchemaIds, while appending a concrete ExtensionObject struct type changes both schema closures. A consumer compares the </w:t>
      </w:r>
      <w:r>
        <w:rPr>
          <w:b/>
        </w:rPr>
        <w:t xml:space="preserve">SchemaId</w:t>
      </w:r>
      <w:r>
        <w:t xml:space="preserve">, not the ConfigurationVersion, to decide whether it already holds the exact schema.</w:t>
      </w:r>
    </w:p>
    <w:p w14:paraId="17598360">
      <w:pPr>
        <w:pStyle w:val="PARAGRAPH"/>
      </w:pPr>
      <w:r>
        <w:t xml:space="preserve">DataSet </w:t>
      </w:r>
      <w:r>
        <w:rPr>
          <w:b/>
        </w:rPr>
        <w:t xml:space="preserve">sparsity</w:t>
      </w:r>
      <w:r>
        <w:t xml:space="preserve"> does not change the SchemaId. A DataSet may be sparse — a message need not carry a value for every field key — and the message mappings represent every field slot as </w:t>
      </w:r>
      <w:r>
        <w:rPr>
          <w:b/>
        </w:rPr>
        <w:t xml:space="preserve">nullable</w:t>
      </w:r>
      <w:r>
        <w:t xml:space="preserve">, so a key with no value is encoded as its null branch (Avro) or a null column cell (Arrow), a </w:t>
      </w:r>
      <w:r>
        <w:rPr>
          <w:rStyle w:val="VARIABLE"/>
        </w:rPr>
        <w:t xml:space="preserve">null:null</w:t>
      </w:r>
      <w:r>
        <w:t xml:space="preserve"> value that a decoder treats as </w:t>
      </w:r>
      <w:r>
        <w:rPr>
          <w:i/>
        </w:rPr>
        <w:t xml:space="preserve">missing</w:t>
      </w:r>
      <w:r>
        <w:t xml:space="preserve">. A sparse message therefore uses the identical canonical schema as a full key frame; the schema, and thus the SchemaId, is stable across every subset of keys actually carried, and no per-subset schema is registered.</w:t>
      </w:r>
    </w:p>
    <w:p w14:paraId="316A90DC">
      <w:pPr>
        <w:pStyle w:val="PARAGRAPH"/>
      </w:pPr>
      <w:r>
        <w:rPr>
          <w:b/>
        </w:rPr>
        <w:t xml:space="preserve">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 xml:space="preserve">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 xml:space="preserve">stream</w:t>
      </w:r>
      <w:r>
        <w:t xml:space="preserve">),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2FC79531">
      <w:pPr>
        <w:pStyle w:val="ANNEX-heading1"/>
      </w:pPr>
      <w:bookmarkStart w:id="522" w:name="_Clause_cC_4"/>
      <w:r>
        <w:t xml:space="preserve">PubSub integration touch-points</w:t>
      </w:r>
      <w:bookmarkEnd w:id="522"/>
    </w:p>
    <w:p w14:paraId="3D911307">
      <w:pPr>
        <w:pStyle w:val="PARAGRAPH"/>
      </w:pPr>
      <w:r>
        <w:t xml:space="preserve">A Server that applies this profile MAY add a reference from its </w:t>
      </w:r>
      <w:r>
        <w:rPr>
          <w:rStyle w:val="VARIABLE"/>
        </w:rPr>
        <w:t xml:space="preserve">PublishSubscribe</w:t>
      </w:r>
      <w:r>
        <w:t xml:space="preserve"> Object (</w:t>
      </w:r>
      <w:r>
        <w:rPr>
          <w:rStyle w:val="VARIABLE"/>
        </w:rPr>
        <w:t xml:space="preserve">i=14443</w:t>
      </w:r>
      <w:r>
        <w:t xml:space="preserve">) to the well-known </w:t>
      </w:r>
      <w:r>
        <w:rPr>
          <w:rStyle w:val="VARIABLE"/>
        </w:rPr>
        <w:t xml:space="preserve">SchemaRegistry</w:t>
      </w:r>
      <w:r>
        <w:t xml:space="preserve"> Object so subscribers discover it during setup or recovery, co-located with the Security Key Service (</w:t>
      </w:r>
      <w:r>
        <w:fldChar w:fldCharType="begin"/>
      </w:r>
      <w:r>
        <w:instrText xml:space="preserve"> REF _Clause_c6_13 \r \h </w:instrText>
      </w:r>
      <w:r>
        <w:fldChar w:fldCharType="separate"/>
      </w:r>
      <w:r>
        <w:rPr>
          <w:noProof/>
        </w:rPr>
        <w:t xml:space="preserve">6.13</w:t>
      </w:r>
      <w:r>
        <w:fldChar w:fldCharType="end"/>
      </w:r>
      <w:r>
        <w:t xml:space="preserve">). The Part 14 message-mapping additions define an OPTIONAL header field or transport header that carries a schema file's </w:t>
      </w:r>
      <w:r>
        <w:rPr>
          <w:rStyle w:val="VARIABLE"/>
        </w:rPr>
        <w:t xml:space="preserve">self</w:t>
      </w:r>
      <w:r>
        <w:t xml:space="preserve">/URL (modelled on CloudEvents </w:t>
      </w:r>
      <w:r>
        <w:rPr>
          <w:rStyle w:val="VARIABLE"/>
        </w:rPr>
        <w:t xml:space="preserve">dataschema</w:t>
      </w:r>
      <w:r>
        <w:t xml:space="preserve">); when present it is used by </w:t>
      </w:r>
      <w:r>
        <w:t xml:space="preserve">§8</w:t>
      </w:r>
      <w:r>
        <w:t xml:space="preserve"> step 2, and when absent resolution falls back to the SchemaId or </w:t>
      </w:r>
      <w:r>
        <w:rPr>
          <w:rStyle w:val="VARIABLE"/>
        </w:rPr>
        <w:t xml:space="preserve">namespace + name + ConfigurationVersion</w:t>
      </w:r>
      <w:r>
        <w:t xml:space="preserve"> lookup of </w:t>
      </w:r>
      <w:r>
        <w:fldChar w:fldCharType="begin"/>
      </w:r>
      <w:r>
        <w:instrText xml:space="preserve"> REF _Clause_c6_10 \r \h </w:instrText>
      </w:r>
      <w:r>
        <w:fldChar w:fldCharType="separate"/>
      </w:r>
      <w:r>
        <w:rPr>
          <w:noProof/>
        </w:rPr>
        <w:t xml:space="preserve">6.10</w:t>
      </w:r>
      <w:r>
        <w:fldChar w:fldCharType="end"/>
      </w:r>
      <w:r>
        <w:t xml:space="preserve">.</w:t>
      </w:r>
    </w:p>
    <w:p w14:paraId="739E7BB2">
      <w:pPr>
        <w:pStyle w:val="ANNEX-heading1"/>
      </w:pPr>
      <w:bookmarkStart w:id="523" w:name="_Clause_cC_5"/>
      <w:r>
        <w:t xml:space="preserve">Example</w:t>
      </w:r>
      <w:bookmarkEnd w:id="523"/>
    </w:p>
    <w:p w14:paraId="2A0214A3">
      <w:pPr>
        <w:pStyle w:val="PARAGRAPH"/>
      </w:pPr>
      <w:r>
        <w:t xml:space="preserve">A DataSet has one Variant field. At </w:t>
      </w:r>
      <w:r>
        <w:rPr>
          <w:rStyle w:val="VARIABLE"/>
        </w:rPr>
        <w:t xml:space="preserve">ConfigurationVersion 3.0</w:t>
      </w:r>
      <w:r>
        <w:t xml:space="preserve"> the field has only ever carried </w:t>
      </w:r>
      <w:r>
        <w:rPr>
          <w:rStyle w:val="VARIABLE"/>
        </w:rPr>
        <w:t xml:space="preserve">Int32</w:t>
      </w:r>
      <w:r>
        <w:t xml:space="preserve"> values, so its Avro </w:t>
      </w:r>
      <w:r>
        <w:rPr>
          <w:rStyle w:val="VARIABLE"/>
        </w:rPr>
        <w:t xml:space="preserve">body</w:t>
      </w:r>
      <w:r>
        <w:t xml:space="preserve"> union is </w:t>
      </w:r>
      <w:r>
        <w:rPr>
          <w:rStyle w:val="VARIABLE"/>
        </w:rPr>
        <w:t xml:space="preserve">["null", VariantInt32Scalar]</w:t>
      </w:r>
      <w:r>
        <w:t xml:space="preserve"> (SchemaId </w:t>
      </w:r>
      <w:r>
        <w:rPr>
          <w:i/>
        </w:rPr>
        <w:t xml:space="preserve">A</w:t>
      </w:r>
      <w:r>
        <w:t xml:space="preserve">). When the publisher first encodes a </w:t>
      </w:r>
      <w:r>
        <w:rPr>
          <w:rStyle w:val="VARIABLE"/>
        </w:rPr>
        <w:t xml:space="preserve">Double</w:t>
      </w:r>
      <w:r>
        <w:t xml:space="preserve">, it appends </w:t>
      </w:r>
      <w:r>
        <w:rPr>
          <w:rStyle w:val="VARIABLE"/>
        </w:rPr>
        <w:t xml:space="preserve">VariantDoubleScalar</w:t>
      </w:r>
      <w:r>
        <w:t xml:space="preserve"> as branch index 2 and advances to </w:t>
      </w:r>
      <w:r>
        <w:rPr>
          <w:rStyle w:val="VARIABLE"/>
        </w:rPr>
        <w:t xml:space="preserve">3.1</w:t>
      </w:r>
      <w:r>
        <w:t xml:space="preserve">, giving </w:t>
      </w:r>
      <w:r>
        <w:rPr>
          <w:rStyle w:val="VARIABLE"/>
        </w:rPr>
        <w:t xml:space="preserve">["null", VariantInt32Scalar, VariantDoubleScalar]</w:t>
      </w:r>
      <w:r>
        <w:t xml:space="preserve"> (SchemaId </w:t>
      </w:r>
      <w:r>
        <w:rPr>
          <w:i/>
        </w:rPr>
        <w:t xml:space="preserve">B</w:t>
      </w:r>
      <w:r>
        <w:t xml:space="preserve">), and re-announces </w:t>
      </w:r>
      <w:r>
        <w:rPr>
          <w:i/>
        </w:rPr>
        <w:t xml:space="preserve">B</w:t>
      </w:r>
      <w:r>
        <w:t xml:space="preserve">. A message written at 3.0 selected branch 1 and still decodes correctly against </w:t>
      </w:r>
      <w:r>
        <w:rPr>
          <w:i/>
        </w:rPr>
        <w:t xml:space="preserve">B</w:t>
      </w:r>
      <w:r>
        <w:t xml:space="preserve"> because branch 1 is unchanged, so a subscriber holding only </w:t>
      </w:r>
      <w:r>
        <w:rPr>
          <w:i/>
        </w:rPr>
        <w:t xml:space="preserve">B</w:t>
      </w:r>
      <w:r>
        <w:t xml:space="preserve"> decodes both 3.0 and 3.1 messages. The 3.0 message still carries SchemaId </w:t>
      </w:r>
      <w:r>
        <w:rPr>
          <w:i/>
        </w:rPr>
        <w:t xml:space="preserve">A</w:t>
      </w:r>
      <w:r>
        <w:t xml:space="preserve">; the subscriber decodes it with </w:t>
      </w:r>
      <w:r>
        <w:rPr>
          <w:i/>
        </w:rPr>
        <w:t xml:space="preserve">B</w:t>
      </w:r>
      <w:r>
        <w:t xml:space="preserve"> only after confirming </w:t>
      </w:r>
      <w:r>
        <w:rPr>
          <w:i/>
        </w:rPr>
        <w:t xml:space="preserve">A</w:t>
      </w:r>
      <w:r>
        <w:t xml:space="preserve"> is an earlier minor of </w:t>
      </w:r>
      <w:r>
        <w:rPr>
          <w:i/>
        </w:rPr>
        <w:t xml:space="preserve">B</w:t>
      </w:r>
      <w:r>
        <w:t xml:space="preserve">'s lineage, and it does not compare </w:t>
      </w:r>
      <w:r>
        <w:rPr>
          <w:i/>
        </w:rPr>
        <w:t xml:space="preserve">A</w:t>
      </w:r>
      <w:r>
        <w:t xml:space="preserve"> against </w:t>
      </w:r>
      <w:r>
        <w:rPr>
          <w:i/>
        </w:rPr>
        <w:t xml:space="preserve">B</w:t>
      </w:r>
      <w:r>
        <w:t xml:space="preserve">'s canonical form. Removing the field, or retyping it from Variant to a fixed </w:t>
      </w:r>
      <w:r>
        <w:rPr>
          <w:rStyle w:val="VARIABLE"/>
        </w:rPr>
        <w:t xml:space="preserve">Double</w:t>
      </w:r>
      <w:r>
        <w:t xml:space="preserve">, would instead reset the DataSet to </w:t>
      </w:r>
      <w:r>
        <w:rPr>
          <w:rStyle w:val="VARIABLE"/>
        </w:rPr>
        <w:t xml:space="preserve">4.0</w:t>
      </w:r>
      <w:r>
        <w:t xml:space="preserve"> with an unrelated lineage. The same pattern applies to appending an ExtensionObject concrete-type branch; until the subscriber holds the newer minor, that body is still recoverable through the opaque-body fallback. A worked incremental-schema walkthrough with concrete Avro schemas — including an ExtensionObject whose struct contains a nested Variant — is in the Avro Part 6 DataEncoding Annex C.</w:t>
      </w:r>
    </w:p>
    <w:p w14:paraId="24C98CDA">
      <w:pPr>
        <w:pStyle w:val="ANNEXtitle"/>
        <w:pageBreakBefore/>
      </w:pPr>
      <w:bookmarkStart w:id="524" w:name="_Annex_cD"/>
      <w:r>
        <w:t xml:space="preserve">(informative)</w:t>
      </w:r>
      <w:r>
        <w:br/>
      </w:r>
      <w:r>
        <w:br/>
      </w:r>
      <w:r>
        <w:t xml:space="preserve">HTTP binding correspondence</w:t>
      </w:r>
      <w:bookmarkEnd w:id="524"/>
    </w:p>
    <w:p w14:paraId="6A1DC5ED">
      <w:pPr>
        <w:pStyle w:val="PARAGRAPH"/>
      </w:pPr>
      <w:r>
        <w:t xml:space="preserve">This annex maps the OPC UA schema-registry operations to the equivalent requests of the </w:t>
      </w:r>
      <w:r>
        <w:t xml:space="preserve">xRegistry HTTP binding</w:t>
      </w:r>
      <w:r>
        <w:t xml:space="preserve">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Pr>
          <w:noProof/>
        </w:rPr>
        <w:t xml:space="preserve">1</w:t>
      </w:r>
      <w:r>
        <w:fldChar w:fldCharType="end"/>
      </w:r>
      <w:r>
        <w:t xml:space="preserve">–</w:t>
      </w:r>
      <w:r>
        <w:fldChar w:fldCharType="begin"/>
      </w:r>
      <w:r>
        <w:instrText xml:space="preserve"> REF _Clause_c9 \r \h </w:instrText>
      </w:r>
      <w:r>
        <w:fldChar w:fldCharType="separate"/>
      </w:r>
      <w:r>
        <w:rPr>
          <w:noProof/>
        </w:rPr>
        <w:t xml:space="preserve">9</w:t>
      </w:r>
      <w:r>
        <w:fldChar w:fldCharType="end"/>
      </w:r>
      <w:r>
        <w:t xml:space="preserve">); no HTTP is required to use an OPC UA Schema Registry. Paths are relative to the registry root; </w:t>
      </w:r>
      <w:r>
        <w:rPr>
          <w:rStyle w:val="VARIABLE"/>
        </w:rPr>
        <w:t xml:space="preserve">&lt;SG&gt;</w:t>
      </w:r>
      <w:r>
        <w:t xml:space="preserve"> is a </w:t>
      </w:r>
      <w:r>
        <w:rPr>
          <w:rStyle w:val="VARIABLE"/>
        </w:rPr>
        <w:t xml:space="preserve">schemagroupid</w:t>
      </w:r>
      <w:r>
        <w:t xml:space="preserve">, </w:t>
      </w:r>
      <w:r>
        <w:rPr>
          <w:rStyle w:val="VARIABLE"/>
        </w:rPr>
        <w:t xml:space="preserve">&lt;S&gt;</w:t>
      </w:r>
      <w:r>
        <w:t xml:space="preserve"> a </w:t>
      </w:r>
      <w:r>
        <w:rPr>
          <w:rStyle w:val="VARIABLE"/>
        </w:rPr>
        <w:t xml:space="preserve">schemaid</w:t>
      </w:r>
      <w:r>
        <w:t xml:space="preserve">, </w:t>
      </w:r>
      <w:r>
        <w:rPr>
          <w:rStyle w:val="VARIABLE"/>
        </w:rPr>
        <w:t xml:space="preserve">&lt;V&gt;</w:t>
      </w:r>
      <w:r>
        <w:t xml:space="preserve"> a </w:t>
      </w:r>
      <w:r>
        <w:rPr>
          <w:rStyle w:val="VARIABLE"/>
        </w:rPr>
        <w:t xml:space="preserve">versionid</w:t>
      </w:r>
      <w:r>
        <w:t xml:space="preserve">.</w:t>
      </w:r>
    </w:p>
    <w:p w14:paraId="63D2E587">
      <w:pPr>
        <w:pStyle w:val="TABLE-title"/>
        <w:keepNext/>
      </w:pPr>
      <w:bookmarkStart w:id="525" w:name="_Tab_http_binding_correspondence_tab1"/>
      <w:r>
        <w:t xml:space="preserve">Table </w:t>
      </w:r>
      <w:r>
        <w:fldChar w:fldCharType="begin"/>
      </w:r>
      <w:r>
        <w:instrText xml:space="preserve"> SEQ Table \* ARABIC </w:instrText>
      </w:r>
      <w:r>
        <w:fldChar w:fldCharType="separate"/>
      </w:r>
      <w:r>
        <w:rPr>
          <w:noProof/>
        </w:rPr>
        <w:t xml:space="preserve">15</w:t>
      </w:r>
      <w:r>
        <w:fldChar w:fldCharType="end"/>
      </w:r>
      <w:r>
        <w:t xml:space="preserve"> – HTTP binding correspondence</w:t>
      </w:r>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58CB772">
            <w:pPr>
              <w:pStyle w:val="TableText"/>
            </w:pPr>
            <w:r>
              <w:t xml:space="preserve">Schema-registry operation</w:t>
            </w:r>
          </w:p>
        </w:tc>
        <w:tc>
          <w:tcPr>
            <w:tcW w:w="2975" w:type="dxa"/>
            <w:tcBorders>
              <w:top w:val="single" w:sz="4" w:space="0" w:color="auto"/>
              <w:left w:val="single" w:sz="4" w:space="0" w:color="auto"/>
              <w:bottom w:val="double" w:sz="4" w:space="0" w:color="auto"/>
              <w:right w:val="single" w:sz="4" w:space="0" w:color="auto"/>
            </w:tcBorders>
          </w:tcPr>
          <w:p w14:paraId="31F9FDED">
            <w:pPr>
              <w:pStyle w:val="TableText"/>
            </w:pPr>
            <w:r>
              <w:t xml:space="preserve">OPC UA (this spec)</w:t>
            </w:r>
          </w:p>
        </w:tc>
        <w:tc>
          <w:tcPr>
            <w:tcW w:w="2976" w:type="dxa"/>
            <w:tcBorders>
              <w:top w:val="single" w:sz="4" w:space="0" w:color="auto"/>
              <w:left w:val="single" w:sz="4" w:space="0" w:color="auto"/>
              <w:bottom w:val="double" w:sz="4" w:space="0" w:color="auto"/>
              <w:right w:val="single" w:sz="4" w:space="0" w:color="auto"/>
            </w:tcBorders>
          </w:tcPr>
          <w:p w14:paraId="1F000E50">
            <w:pPr>
              <w:pStyle w:val="TableText"/>
            </w:pPr>
            <w:r>
              <w:t xml:space="preserve">xRegistry HTTP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BF89283">
            <w:pPr>
              <w:pStyle w:val="TableText"/>
            </w:pPr>
            <w:r>
              <w:t xml:space="preserve">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11C93348">
            <w:pPr>
              <w:pStyle w:val="TableText"/>
            </w:pPr>
            <w:r>
              <w:t xml:space="preserve">SchemaId fast path (</w:t>
            </w:r>
            <w:r>
              <w:fldChar w:fldCharType="begin"/>
            </w:r>
            <w:r>
              <w:instrText xml:space="preserve"> REF _Clause_c5_1 \r \h </w:instrText>
            </w:r>
            <w:r>
              <w:fldChar w:fldCharType="separate"/>
            </w:r>
            <w:r>
              <w:rPr>
                <w:noProof/>
              </w:rPr>
              <w:t xml:space="preserve">5.1</w:t>
            </w:r>
            <w:r>
              <w:fldChar w:fldCharType="end"/>
            </w:r>
            <w:r>
              <w:t xml:space="preserve">) or </w:t>
            </w:r>
            <w:r>
              <w:rPr>
                <w:rStyle w:val="VARIABLE"/>
              </w:rPr>
              <w:t xml:space="preserve">Open</w:t>
            </w:r>
            <w:r>
              <w:t xml:space="preserve">/</w:t>
            </w:r>
            <w:r>
              <w:rPr>
                <w:rStyle w:val="VARIABLE"/>
              </w:rPr>
              <w:t xml:space="preserve">Read</w:t>
            </w:r>
            <w:r>
              <w:t xml:space="preserve">/</w:t>
            </w:r>
            <w:r>
              <w:rPr>
                <w:rStyle w:val="VARIABLE"/>
              </w:rPr>
              <w:t xml:space="preserve">Close</w:t>
            </w:r>
            <w:r>
              <w:t xml:space="preserve"> the </w:t>
            </w:r>
            <w:r>
              <w:rPr>
                <w:rStyle w:val="VARIABLE"/>
              </w:rPr>
              <w:t xml:space="preserve">SchemaFileType</w:t>
            </w:r>
          </w:p>
        </w:tc>
        <w:tc>
          <w:tcPr>
            <w:tcW w:w="2976" w:type="dxa"/>
            <w:tcBorders>
              <w:top w:val="single" w:sz="4" w:space="0" w:color="auto"/>
              <w:left w:val="single" w:sz="4" w:space="0" w:color="auto"/>
              <w:bottom w:val="single" w:sz="4" w:space="0" w:color="auto"/>
              <w:right w:val="single" w:sz="4" w:space="0" w:color="auto"/>
            </w:tcBorders>
          </w:tcPr>
          <w:p w14:paraId="1C38D3AB">
            <w:pPr>
              <w:pStyle w:val="TableText"/>
            </w:pPr>
            <w:r>
              <w:rPr>
                <w:rStyle w:val="VARIABLE"/>
              </w:rPr>
              <w:t xml:space="preserve">GET /schemagroups/&lt;SG&gt;/schemas/&lt;S&gt;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1081859">
            <w:pPr>
              <w:pStyle w:val="TableText"/>
            </w:pPr>
            <w:r>
              <w:t xml:space="preserve">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087BB548">
            <w:pPr>
              <w:pStyle w:val="TableText"/>
            </w:pPr>
            <w:r>
              <w:rPr>
                <w:rStyle w:val="VARIABLE"/>
              </w:rPr>
              <w:t xml:space="preserve">Open</w:t>
            </w:r>
            <w:r>
              <w:t xml:space="preserve">/</w:t>
            </w:r>
            <w:r>
              <w:rPr>
                <w:rStyle w:val="VARIABLE"/>
              </w:rPr>
              <w:t xml:space="preserve">Read</w:t>
            </w:r>
            <w:r>
              <w:t xml:space="preserve">/</w:t>
            </w:r>
            <w:r>
              <w:rPr>
                <w:rStyle w:val="VARIABLE"/>
              </w:rPr>
              <w:t xml:space="preserve">Close</w:t>
            </w:r>
            <w:r>
              <w:t xml:space="preserve"> the version's </w:t>
            </w:r>
            <w:r>
              <w:rPr>
                <w:rStyle w:val="VARIABLE"/>
              </w:rPr>
              <w:t xml:space="preserve">SchemaFileType</w:t>
            </w:r>
          </w:p>
        </w:tc>
        <w:tc>
          <w:tcPr>
            <w:tcW w:w="2976" w:type="dxa"/>
            <w:tcBorders>
              <w:top w:val="single" w:sz="4" w:space="0" w:color="auto"/>
              <w:left w:val="single" w:sz="4" w:space="0" w:color="auto"/>
              <w:bottom w:val="single" w:sz="4" w:space="0" w:color="auto"/>
              <w:right w:val="single" w:sz="4" w:space="0" w:color="auto"/>
            </w:tcBorders>
          </w:tcPr>
          <w:p w14:paraId="3410BE46">
            <w:pPr>
              <w:pStyle w:val="TableText"/>
            </w:pPr>
            <w:r>
              <w:rPr>
                <w:rStyle w:val="VARIABLE"/>
              </w:rPr>
              <w:t xml:space="preserve">GET /schemagroups/&lt;SG&gt;/schemas/&lt;S&gt;/versions/&lt;V&gt;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0F6C2B">
            <w:pPr>
              <w:pStyle w:val="TableText"/>
            </w:pPr>
            <w:r>
              <w:t xml:space="preserve">Read schema metadata</w:t>
            </w:r>
          </w:p>
        </w:tc>
        <w:tc>
          <w:tcPr>
            <w:tcW w:w="2975" w:type="dxa"/>
            <w:tcBorders>
              <w:top w:val="single" w:sz="4" w:space="0" w:color="auto"/>
              <w:left w:val="single" w:sz="4" w:space="0" w:color="auto"/>
              <w:bottom w:val="single" w:sz="4" w:space="0" w:color="auto"/>
              <w:right w:val="single" w:sz="4" w:space="0" w:color="auto"/>
            </w:tcBorders>
          </w:tcPr>
          <w:p w14:paraId="05A54A67">
            <w:pPr>
              <w:pStyle w:val="TableText"/>
            </w:pPr>
            <w:r>
              <w:t xml:space="preserve">Read the </w:t>
            </w:r>
            <w:r>
              <w:rPr>
                <w:rStyle w:val="VARIABLE"/>
              </w:rPr>
              <w:t xml:space="preserve">SchemaFileType</w:t>
            </w:r>
            <w:r>
              <w:t xml:space="preserve"> Properties (and </w:t>
            </w:r>
            <w:r>
              <w:rPr>
                <w:rStyle w:val="VARIABLE"/>
              </w:rPr>
              <w:t xml:space="preserve">Labels</w:t>
            </w:r>
            <w:r>
              <w:t xml:space="preserve">)</w:t>
            </w:r>
          </w:p>
        </w:tc>
        <w:tc>
          <w:tcPr>
            <w:tcW w:w="2976" w:type="dxa"/>
            <w:tcBorders>
              <w:top w:val="single" w:sz="4" w:space="0" w:color="auto"/>
              <w:left w:val="single" w:sz="4" w:space="0" w:color="auto"/>
              <w:bottom w:val="single" w:sz="4" w:space="0" w:color="auto"/>
              <w:right w:val="single" w:sz="4" w:space="0" w:color="auto"/>
            </w:tcBorders>
          </w:tcPr>
          <w:p w14:paraId="02EDC8E9">
            <w:pPr>
              <w:pStyle w:val="TableText"/>
            </w:pPr>
            <w:r>
              <w:rPr>
                <w:rStyle w:val="VARIABLE"/>
              </w:rPr>
              <w:t xml:space="preserve">GET …/schemas/&lt;S&gt;$details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4C5E930">
            <w:pPr>
              <w:pStyle w:val="TableText"/>
            </w:pPr>
            <w:r>
              <w:t xml:space="preserve">List schema groups</w:t>
            </w:r>
          </w:p>
        </w:tc>
        <w:tc>
          <w:tcPr>
            <w:tcW w:w="2975" w:type="dxa"/>
            <w:tcBorders>
              <w:top w:val="single" w:sz="4" w:space="0" w:color="auto"/>
              <w:left w:val="single" w:sz="4" w:space="0" w:color="auto"/>
              <w:bottom w:val="single" w:sz="4" w:space="0" w:color="auto"/>
              <w:right w:val="single" w:sz="4" w:space="0" w:color="auto"/>
            </w:tcBorders>
          </w:tcPr>
          <w:p w14:paraId="099BD7D3">
            <w:pPr>
              <w:pStyle w:val="TableText"/>
            </w:pPr>
            <w:r>
              <w:t xml:space="preserve">Browse the </w:t>
            </w:r>
            <w:r>
              <w:rPr>
                <w:rStyle w:val="VARIABLE"/>
              </w:rPr>
              <w:t xml:space="preserve">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2877E7DF">
            <w:pPr>
              <w:pStyle w:val="TableText"/>
            </w:pPr>
            <w:r>
              <w:rPr>
                <w:rStyle w:val="VARIABLE"/>
              </w:rPr>
              <w:t xml:space="preserve">GET /schemagroups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3D8F396">
            <w:pPr>
              <w:pStyle w:val="TableText"/>
            </w:pPr>
            <w:r>
              <w:t xml:space="preserve">List schemas in a group</w:t>
            </w:r>
          </w:p>
        </w:tc>
        <w:tc>
          <w:tcPr>
            <w:tcW w:w="2975" w:type="dxa"/>
            <w:tcBorders>
              <w:top w:val="single" w:sz="4" w:space="0" w:color="auto"/>
              <w:left w:val="single" w:sz="4" w:space="0" w:color="auto"/>
              <w:bottom w:val="single" w:sz="4" w:space="0" w:color="auto"/>
              <w:right w:val="single" w:sz="4" w:space="0" w:color="auto"/>
            </w:tcBorders>
          </w:tcPr>
          <w:p w14:paraId="15B75FB2">
            <w:pPr>
              <w:pStyle w:val="TableText"/>
            </w:pPr>
            <w:r>
              <w:t xml:space="preserve">Browse the </w:t>
            </w:r>
            <w:r>
              <w:rPr>
                <w:rStyle w:val="VARIABLE"/>
              </w:rPr>
              <w:t xml:space="preserve">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122E856F">
            <w:pPr>
              <w:pStyle w:val="TableText"/>
            </w:pPr>
            <w:r>
              <w:rPr>
                <w:rStyle w:val="VARIABLE"/>
              </w:rPr>
              <w:t xml:space="preserve">GET /schemagroups/&lt;SG&gt;/schemas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07C9C5">
            <w:pPr>
              <w:pStyle w:val="TableText"/>
            </w:pPr>
            <w:r>
              <w:t xml:space="preserve">List versions of a schema</w:t>
            </w:r>
          </w:p>
        </w:tc>
        <w:tc>
          <w:tcPr>
            <w:tcW w:w="2975" w:type="dxa"/>
            <w:tcBorders>
              <w:top w:val="single" w:sz="4" w:space="0" w:color="auto"/>
              <w:left w:val="single" w:sz="4" w:space="0" w:color="auto"/>
              <w:bottom w:val="single" w:sz="4" w:space="0" w:color="auto"/>
              <w:right w:val="single" w:sz="4" w:space="0" w:color="auto"/>
            </w:tcBorders>
          </w:tcPr>
          <w:p w14:paraId="00571DF6">
            <w:pPr>
              <w:pStyle w:val="TableText"/>
            </w:pPr>
            <w:r>
              <w:t xml:space="preserve">Browse the sibling version files (base </w:t>
            </w:r>
            <w:r>
              <w:fldChar w:fldCharType="begin"/>
            </w:r>
            <w:r>
              <w:instrText xml:space="preserve"> REF _Clause_c6_2 \r \h </w:instrText>
            </w:r>
            <w:r>
              <w:fldChar w:fldCharType="separate"/>
            </w:r>
            <w:r>
              <w:rPr>
                <w:noProof/>
              </w:rPr>
              <w:t xml:space="preserve">6.2</w:t>
            </w:r>
            <w:r>
              <w:fldChar w:fldCharType="end"/>
            </w:r>
            <w:r>
              <w:t xml:space="preserve">, </w:t>
            </w:r>
            <w:r>
              <w:rPr>
                <w:rStyle w:val="VARIABLE"/>
              </w:rPr>
              <w:t xml:space="preserve">Ancestor</w:t>
            </w:r>
            <w:r>
              <w:t xml:space="preserve">/</w:t>
            </w:r>
            <w:r>
              <w:rPr>
                <w:rStyle w:val="VARIABLE"/>
              </w:rPr>
              <w:t xml:space="preserve">IsDefault</w:t>
            </w:r>
            <w:r>
              <w:t xml:space="preserve">)</w:t>
            </w:r>
          </w:p>
        </w:tc>
        <w:tc>
          <w:tcPr>
            <w:tcW w:w="2976" w:type="dxa"/>
            <w:tcBorders>
              <w:top w:val="single" w:sz="4" w:space="0" w:color="auto"/>
              <w:left w:val="single" w:sz="4" w:space="0" w:color="auto"/>
              <w:bottom w:val="single" w:sz="4" w:space="0" w:color="auto"/>
              <w:right w:val="single" w:sz="4" w:space="0" w:color="auto"/>
            </w:tcBorders>
          </w:tcPr>
          <w:p w14:paraId="4820D9E5">
            <w:pPr>
              <w:pStyle w:val="TableText"/>
            </w:pPr>
            <w:r>
              <w:rPr>
                <w:rStyle w:val="VARIABLE"/>
              </w:rPr>
              <w:t xml:space="preserve">GET …/schemas/&lt;S&gt;/versions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BBB184C">
            <w:pPr>
              <w:pStyle w:val="TableText"/>
            </w:pPr>
            <w:r>
              <w:t xml:space="preserve">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7F58EEBA">
            <w:pPr>
              <w:pStyle w:val="TableText"/>
            </w:pPr>
            <w:r>
              <w:rPr>
                <w:rStyle w:val="VARIABLE"/>
              </w:rPr>
              <w:t xml:space="preserve">CreateResource</w:t>
            </w:r>
            <w:r>
              <w:t xml:space="preserve">/</w:t>
            </w:r>
            <w:r>
              <w:rPr>
                <w:rStyle w:val="VARIABLE"/>
              </w:rPr>
              <w:t xml:space="preserve">GetOrCreateResource</w:t>
            </w:r>
            <w:r>
              <w:t xml:space="preserve"> + </w:t>
            </w:r>
            <w:r>
              <w:rPr>
                <w:rStyle w:val="VARIABLE"/>
              </w:rPr>
              <w:t xml:space="preserve">Write</w:t>
            </w:r>
            <w:r>
              <w:t xml:space="preserve"> (</w:t>
            </w:r>
            <w:r>
              <w:fldChar w:fldCharType="begin"/>
            </w:r>
            <w:r>
              <w:instrText xml:space="preserve"> REF _Clause_c5_2 \r \h </w:instrText>
            </w:r>
            <w:r>
              <w:fldChar w:fldCharType="separate"/>
            </w:r>
            <w:r>
              <w:rPr>
                <w:noProof/>
              </w:rPr>
              <w:t xml:space="preserve">5.2</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078F2EB1">
            <w:pPr>
              <w:pStyle w:val="TableText"/>
            </w:pPr>
            <w:r>
              <w:rPr>
                <w:rStyle w:val="VARIABLE"/>
              </w:rPr>
              <w:t xml:space="preserve">POST /schemagroups/&lt;SG&gt;/schemas</w:t>
            </w:r>
            <w:r>
              <w:t xml:space="preserve"> or </w:t>
            </w:r>
            <w:r>
              <w:rPr>
                <w:rStyle w:val="VARIABLE"/>
              </w:rPr>
              <w:t xml:space="preserve">PUT …/schemas/&lt;S&gt;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A9E08AC">
            <w:pPr>
              <w:pStyle w:val="TableText"/>
            </w:pPr>
            <w:r>
              <w:t xml:space="preserve">Update labels/metadata</w:t>
            </w:r>
          </w:p>
        </w:tc>
        <w:tc>
          <w:tcPr>
            <w:tcW w:w="2975" w:type="dxa"/>
            <w:tcBorders>
              <w:top w:val="single" w:sz="4" w:space="0" w:color="auto"/>
              <w:left w:val="single" w:sz="4" w:space="0" w:color="auto"/>
              <w:bottom w:val="single" w:sz="4" w:space="0" w:color="auto"/>
              <w:right w:val="single" w:sz="4" w:space="0" w:color="auto"/>
            </w:tcBorders>
          </w:tcPr>
          <w:p w14:paraId="5BE07BFF">
            <w:pPr>
              <w:pStyle w:val="TableText"/>
            </w:pPr>
            <w:r>
              <w:rPr>
                <w:rStyle w:val="VARIABLE"/>
              </w:rPr>
              <w:t xml:space="preserve">Labels.AddAttribute</w:t>
            </w:r>
            <w:r>
              <w:t xml:space="preserve">/</w:t>
            </w:r>
            <w:r>
              <w:rPr>
                <w:rStyle w:val="VARIABLE"/>
              </w:rPr>
              <w:t xml:space="preserve">RemoveAttribute</w:t>
            </w:r>
            <w:r>
              <w:t xml:space="preserve">, Write Properties</w:t>
            </w:r>
          </w:p>
        </w:tc>
        <w:tc>
          <w:tcPr>
            <w:tcW w:w="2976" w:type="dxa"/>
            <w:tcBorders>
              <w:top w:val="single" w:sz="4" w:space="0" w:color="auto"/>
              <w:left w:val="single" w:sz="4" w:space="0" w:color="auto"/>
              <w:bottom w:val="single" w:sz="4" w:space="0" w:color="auto"/>
              <w:right w:val="single" w:sz="4" w:space="0" w:color="auto"/>
            </w:tcBorders>
          </w:tcPr>
          <w:p w14:paraId="77529765">
            <w:pPr>
              <w:pStyle w:val="TableText"/>
            </w:pPr>
            <w:r>
              <w:rPr>
                <w:rStyle w:val="VARIABLE"/>
              </w:rPr>
              <w:t xml:space="preserve">PATCH …/schemas/&lt;S&gt;$details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8796B8B">
            <w:pPr>
              <w:pStyle w:val="TableText"/>
            </w:pPr>
            <w:r>
              <w:t xml:space="preserve">Delete a schema or version</w:t>
            </w:r>
          </w:p>
        </w:tc>
        <w:tc>
          <w:tcPr>
            <w:tcW w:w="2975" w:type="dxa"/>
            <w:tcBorders>
              <w:top w:val="single" w:sz="4" w:space="0" w:color="auto"/>
              <w:left w:val="single" w:sz="4" w:space="0" w:color="auto"/>
              <w:bottom w:val="single" w:sz="4" w:space="0" w:color="auto"/>
              <w:right w:val="single" w:sz="4" w:space="0" w:color="auto"/>
            </w:tcBorders>
          </w:tcPr>
          <w:p w14:paraId="43726C8B">
            <w:pPr>
              <w:pStyle w:val="TableText"/>
            </w:pPr>
            <w:r>
              <w:t xml:space="preserve">the entity's </w:t>
            </w:r>
            <w:r>
              <w:rPr>
                <w:rStyle w:val="VARIABLE"/>
              </w:rPr>
              <w:t xml:space="preserve">Delete(ExpectedEpoch)</w:t>
            </w:r>
            <w:r>
              <w:t xml:space="preserve"> Method (base </w:t>
            </w:r>
            <w:r>
              <w:fldChar w:fldCharType="begin"/>
            </w:r>
            <w:r>
              <w:instrText xml:space="preserve"> REF _Clause_c6_2 \r \h </w:instrText>
            </w:r>
            <w:r>
              <w:fldChar w:fldCharType="separate"/>
            </w:r>
            <w:r>
              <w:rPr>
                <w:noProof/>
              </w:rPr>
              <w:t xml:space="preserve">6.2</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78BFF77A">
            <w:pPr>
              <w:pStyle w:val="TableText"/>
            </w:pPr>
            <w:r>
              <w:rPr>
                <w:rStyle w:val="VARIABLE"/>
              </w:rPr>
              <w:t xml:space="preserve">DELETE …/schemas/&lt;S&gt;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88ED62B">
            <w:pPr>
              <w:pStyle w:val="TableText"/>
            </w:pPr>
            <w:r>
              <w:t xml:space="preserve">Export the registry document</w:t>
            </w:r>
          </w:p>
        </w:tc>
        <w:tc>
          <w:tcPr>
            <w:tcW w:w="2975" w:type="dxa"/>
            <w:tcBorders>
              <w:top w:val="single" w:sz="4" w:space="0" w:color="auto"/>
              <w:left w:val="single" w:sz="4" w:space="0" w:color="auto"/>
              <w:bottom w:val="single" w:sz="4" w:space="0" w:color="auto"/>
              <w:right w:val="single" w:sz="4" w:space="0" w:color="auto"/>
            </w:tcBorders>
          </w:tcPr>
          <w:p w14:paraId="1BFF41F5">
            <w:pPr>
              <w:pStyle w:val="TableText"/>
            </w:pPr>
            <w:r>
              <w:t xml:space="preserve">Browse/Read the subtree and serialize (</w:t>
            </w:r>
            <w:r>
              <w:fldChar w:fldCharType="begin"/>
            </w:r>
            <w:r>
              <w:instrText xml:space="preserve"> REF _Clause_c6_12_2 \r \h </w:instrText>
            </w:r>
            <w:r>
              <w:fldChar w:fldCharType="separate"/>
            </w:r>
            <w:r>
              <w:rPr>
                <w:noProof/>
              </w:rPr>
              <w:t xml:space="preserve">6.12.2</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7BD6BC10">
            <w:pPr>
              <w:pStyle w:val="TableText"/>
            </w:pPr>
            <w:r>
              <w:rPr>
                <w:rStyle w:val="VARIABLE"/>
              </w:rPr>
              <w:t xml:space="preserve">GET /export</w:t>
            </w:r>
            <w:r>
              <w:t xml:space="preserve"> or </w:t>
            </w:r>
            <w:r>
              <w:rPr>
                <w:rStyle w:val="VARIABLE"/>
              </w:rPr>
              <w:t xml:space="preserve">GET /?export</w:t>
            </w:r>
          </w:p>
        </w:tc>
      </w:tr>
    </w:tbl>
    <w:p w14:paraId="4C02E74A">
      <w:pPr>
        <w:pStyle w:val="spacer"/>
      </w:pPr>
    </w:p>
    <w:p w14:paraId="4BDECAF7">
      <w:pPr>
        <w:pStyle w:val="PARAGRAPH"/>
      </w:pPr>
      <w:r>
        <w:t xml:space="preserve">An external, non-xRegistry consumer may be handed a plain URL to a schema (the version's </w:t>
      </w:r>
      <w:r>
        <w:rPr>
          <w:rStyle w:val="VARIABLE"/>
        </w:rPr>
        <w:t xml:space="preserve">self</w:t>
      </w:r>
      <w:r>
        <w:t xml:space="preserve"> URL, as used in a CloudEvents </w:t>
      </w:r>
      <w:r>
        <w:rPr>
          <w:rStyle w:val="VARIABLE"/>
        </w:rPr>
        <w:t xml:space="preserve">dataschema</w:t>
      </w:r>
      <w:r>
        <w:t xml:space="preserve"> attribute); the xRegistry </w:t>
      </w:r>
      <w:r>
        <w:rPr>
          <w:rStyle w:val="VARIABLE"/>
        </w:rPr>
        <w:t xml:space="preserve">shortself</w:t>
      </w:r>
      <w:r>
        <w:t xml:space="preserve"> convention provides a shorter alias for the same version. Over OPC UA the equivalent stable handle is the schema's Opaque </w:t>
      </w:r>
      <w:r>
        <w:rPr>
          <w:rStyle w:val="VARIABLE"/>
        </w:rPr>
        <w:t xml:space="preserve">SchemaId</w:t>
      </w:r>
      <w:r>
        <w:t xml:space="preserve"> NodeId (</w:t>
      </w:r>
      <w:r>
        <w:fldChar w:fldCharType="begin"/>
      </w:r>
      <w:r>
        <w:instrText xml:space="preserve"> REF _Clause_c6_6 \r \h </w:instrText>
      </w:r>
      <w:r>
        <w:fldChar w:fldCharType="separate"/>
      </w:r>
      <w:r>
        <w:rPr>
          <w:noProof/>
        </w:rPr>
        <w:t xml:space="preserve">6.6</w:t>
      </w:r>
      <w:r>
        <w:fldChar w:fldCharType="end"/>
      </w:r>
      <w:r>
        <w:t xml:space="preserve">) or its </w:t>
      </w:r>
      <w:r>
        <w:rPr>
          <w:rStyle w:val="VARIABLE"/>
        </w:rPr>
        <w:t xml:space="preserve">xid</w:t>
      </w:r>
      <w:r>
        <w:t xml:space="preserve">; a federated </w:t>
      </w:r>
      <w:r>
        <w:rPr>
          <w:rStyle w:val="VARIABLE"/>
        </w:rPr>
        <w:t xml:space="preserve">ResourceUrl</w:t>
      </w:r>
      <w:r>
        <w:t xml:space="preserve"> (Annex B) may carry either an </w:t>
      </w:r>
      <w:r>
        <w:rPr>
          <w:rStyle w:val="VARIABLE"/>
        </w:rPr>
        <w:t xml:space="preserve">opc.tcp</w:t>
      </w:r>
      <w:r>
        <w:t xml:space="preserve"> link or such an HTTP </w:t>
      </w:r>
      <w:r>
        <w:rPr>
          <w:rStyle w:val="VARIABLE"/>
        </w:rPr>
        <w:t xml:space="preserve">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schema-registry</vt:lpwstr>
  </property>
  <property fmtid="{D5CDD505-2E9C-101B-9397-08002B2CF9AE}" pid="14" name="SourceCommit">
    <vt:lpwstr>711ab328705b248308f60bfc0def036324917c7b</vt:lpwstr>
  </property>
  <property fmtid="{D5CDD505-2E9C-101B-9397-08002B2CF9AE}" pid="15" name="SourceDigest">
    <vt:lpwstr>faf385bdcaede8e3</vt:lpwstr>
  </property>
  <property fmtid="{D5CDD505-2E9C-101B-9397-08002B2CF9AE}" pid="16" name="PipelineVersion">
    <vt:lpwstr>2</vt:lpwstr>
  </property>
</Properties>
</file>