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sldx" ContentType="application/vnd.openxmlformats-officedocument.presentationml.slide"/>
  <Default Extension="vsd" ContentType="application/vnd.visio"/>
  <Default Extension="vsdx" ContentType="application/vnd.ms-visio.drawing"/>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embeddings/openusd_figure1.pptx" ContentType="application/vnd.openxmlformats-officedocument.presentationml.presentation"/>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shd w:val="clear" w:color="auto" w:fill="auto"/>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02B9F2B7"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79147C">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proofErr w:type="spellStart"/>
            <w:r w:rsidR="0079147C" w:rsidRPr="0079147C">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w:t>
            </w:r>
            <w:proofErr w:type="spellEnd"/>
            <w:r w:rsidR="0079147C" w:rsidRPr="0079147C">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shd w:val="clear" w:color="auto" w:fill="auto"/>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64D7548C"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79147C">
              <w:rPr>
                <w:rFonts w:asciiTheme="minorHAnsi" w:hAnsiTheme="minorHAnsi" w:cstheme="minorHAnsi"/>
                <w:lang w:val="en-GB"/>
              </w:rPr>
              <w:t xml:space="preserve">OPC UA for </w:t>
            </w:r>
            <w:r w:rsidR="0079147C" w:rsidRPr="0079147C">
              <w:rPr>
                <w:rFonts w:asciiTheme="minorHAnsi" w:hAnsiTheme="minorHAnsi" w:cstheme="minorHAnsi"/>
                <w:color w:val="FF0000"/>
                <w:lang w:val="en-GB"/>
              </w:rPr>
              <w:t xml:space="preserve">WoT Binding</w:t>
            </w:r>
            <w:r w:rsidRPr="00EC120D">
              <w:rPr>
                <w:rFonts w:asciiTheme="minorHAnsi" w:hAnsiTheme="minorHAnsi" w:cstheme="minorHAnsi"/>
                <w:lang w:val="en-GB"/>
              </w:rPr>
              <w:fldChar w:fldCharType="end"/>
            </w:r>
          </w:p>
          <w:p w14:paraId="06B274D7" w14:textId="2A916104"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79147C">
              <w:rPr>
                <w:rFonts w:asciiTheme="minorHAnsi" w:hAnsiTheme="minorHAnsi" w:cstheme="minorHAnsi"/>
                <w:lang w:val="en-GB"/>
              </w:rPr>
              <w:t xml:space="preserve">Part </w:t>
            </w:r>
            <w:r w:rsidR="0079147C" w:rsidRPr="0079147C">
              <w:rPr>
                <w:rFonts w:asciiTheme="minorHAnsi" w:hAnsiTheme="minorHAnsi" w:cstheme="minorHAnsi"/>
                <w:color w:val="FF0000"/>
                <w:lang w:val="en-GB"/>
              </w:rPr>
              <w:t xml:space="preserve">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79147C">
              <w:rPr>
                <w:rFonts w:asciiTheme="minorHAnsi" w:hAnsiTheme="minorHAnsi" w:cstheme="minorHAnsi"/>
                <w:color w:val="FF0000"/>
                <w:lang w:val="en-GB"/>
              </w:rPr>
              <w:t xml:space="preserve">WoT Binding</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4BE29606"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79147C">
              <w:rPr>
                <w:rFonts w:asciiTheme="minorHAnsi" w:hAnsiTheme="minorHAnsi" w:cstheme="minorHAnsi"/>
                <w:sz w:val="40"/>
                <w:lang w:val="en-GB"/>
              </w:rPr>
              <w:t xml:space="preserve">Draft 1.10.0</w:t>
            </w:r>
            <w:r w:rsidRPr="00EC120D">
              <w:rPr>
                <w:rFonts w:asciiTheme="minorHAnsi" w:hAnsiTheme="minorHAnsi" w:cstheme="minorHAnsi"/>
                <w:sz w:val="40"/>
                <w:lang w:val="en-GB"/>
              </w:rPr>
              <w:fldChar w:fldCharType="end"/>
            </w:r>
            <w:r w:rsidRPr="004C388A">
              <w:rPr>
                <w:rFonts w:asciiTheme="minorHAnsi" w:hAnsiTheme="minorHAnsi" w:cstheme="minorHAnsi"/>
                <w:sz w:val="36"/>
                <w:szCs w:val="56"/>
                <w:lang w:val="en-GB"/>
              </w:rPr>
              <w:t xml:space="preserve"/>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79147C">
              <w:rPr>
                <w:rFonts w:asciiTheme="minorHAnsi" w:hAnsiTheme="minorHAnsi" w:cstheme="minorHAnsi"/>
                <w:sz w:val="40"/>
                <w:lang w:val="en-GB"/>
              </w:rPr>
              <w:t/>
            </w:r>
            <w:r w:rsidRPr="00EC120D">
              <w:rPr>
                <w:rFonts w:asciiTheme="minorHAnsi" w:hAnsiTheme="minorHAnsi" w:cstheme="minorHAnsi"/>
                <w:sz w:val="40"/>
                <w:lang w:val="en-GB"/>
              </w:rPr>
              <w:fldChar w:fldCharType="end"/>
            </w:r>
          </w:p>
          <w:p w14:paraId="70176A3A" w14:textId="40CA9C25"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79147C">
              <w:rPr>
                <w:rFonts w:asciiTheme="minorHAnsi" w:hAnsiTheme="minorHAnsi" w:cstheme="minorHAnsi"/>
                <w:sz w:val="40"/>
                <w:lang w:val="en-GB"/>
              </w:rPr>
              <w:t>YYYY-MM-DD</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shd w:val="clear" w:color="auto" w:fill="auto"/>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663EAA7E"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79147C">
              <w:rPr>
                <w:rFonts w:ascii="Arial" w:hAnsi="Arial"/>
                <w:sz w:val="20"/>
                <w:lang w:val="en-GB"/>
              </w:rPr>
              <w:t xml:space="preserve">OPC </w:t>
            </w:r>
            <w:proofErr w:type="spellStart"/>
            <w:r w:rsidR="0079147C">
              <w:rPr>
                <w:rFonts w:ascii="Arial" w:hAnsi="Arial"/>
                <w:sz w:val="20"/>
                <w:lang w:val="en-GB"/>
              </w:rPr>
              <w:t>nnnnn</w:t>
            </w:r>
            <w:proofErr w:type="spellEnd"/>
            <w:r w:rsidR="0079147C">
              <w:rPr>
                <w:rFonts w:ascii="Arial" w:hAnsi="Arial"/>
                <w:sz w:val="20"/>
                <w:lang w:val="en-GB"/>
              </w:rPr>
              <w:t>-m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73AF3BF2" w:rsidR="00310476" w:rsidRPr="00EC120D" w:rsidRDefault="0079147C" w:rsidP="00067BE3">
            <w:fldSimple w:instr=" DOCPROPERTY  Title  \* MERGEFORMAT ">
              <w:r>
                <w:t xml:space="preserve">OPC UA for WoT BindingPart 1 :WoT Binding</w:t>
              </w:r>
            </w:fldSimple>
            <w:r w:rsidR="00310476" w:rsidRPr="00EC120D">
              <w:br/>
            </w:r>
            <w:fldSimple w:instr=" DOCPROPERTY  &quot;Part Number&quot;  \* MERGEFORMAT ">
              <w:r>
                <w:t xml:space="preserve"/>
              </w:r>
            </w:fldSimple>
            <w:r w:rsidR="00310476" w:rsidRPr="00EC120D">
              <w:t xml:space="preserve"/>
            </w:r>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Pr>
                <w:bCs/>
              </w:rPr>
              <w:t/>
            </w:r>
            <w:r w:rsidRPr="0079147C">
              <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02396E69" w:rsidR="00310476" w:rsidRPr="00EC120D" w:rsidRDefault="0079147C" w:rsidP="00067BE3">
            <w:fldSimple w:instr=" DOCPROPERTY &quot;Date Completed&quot; \* MERGEFORMAT ">
              <w:r>
                <w:t>YYYY-MM-DD</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39341FE9" w:rsidR="00310476" w:rsidRPr="00EC120D" w:rsidRDefault="0079147C" w:rsidP="00067BE3">
            <w:fldSimple w:instr=" DOCPROPERTY  OPCReleaseType  \* MERGEFORMAT ">
              <w:r>
                <w:t xml:space="preserve">Draft 1.10.0</w:t>
              </w:r>
            </w:fldSimple>
            <w:r w:rsidR="00310476" w:rsidRPr="00EC120D">
              <w:t xml:space="preserve"/>
            </w:r>
            <w:fldSimple w:instr=" DOCPROPERTY &quot;OPCVersion&quot;  \* MERGEFORMAT ">
              <w:r>
                <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18CE2CCF"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79147C">
              <w:rPr>
                <w:noProof/>
                <w:sz w:val="18"/>
              </w:rPr>
              <w:t>OPC 20020 - UA Companion Specification Template v1.01.18.docx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7B2B28B9" w:rsidR="00310476" w:rsidRPr="00EC120D" w:rsidRDefault="0079147C" w:rsidP="00067BE3">
            <w:fldSimple w:instr=" DOCPROPERTY  Company  \* MERGEFORMAT ">
              <w:r>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6E9CE152"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79147C">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3A07238C"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w:t>
            </w:r>
            <w:proofErr w:type="spellStart"/>
            <w:r w:rsidR="00676C94" w:rsidRPr="00AE2F66">
              <w:rPr>
                <w:rFonts w:asciiTheme="minorHAnsi" w:hAnsiTheme="minorHAnsi" w:cstheme="minorHAnsi"/>
                <w:sz w:val="14"/>
                <w:szCs w:val="14"/>
                <w:lang w:val="en-GB"/>
              </w:rPr>
              <w:t>NodeSet</w:t>
            </w:r>
            <w:proofErr w:type="spellEnd"/>
            <w:r w:rsidR="00676C94" w:rsidRPr="00AE2F66">
              <w:rPr>
                <w:rFonts w:asciiTheme="minorHAnsi" w:hAnsiTheme="minorHAnsi" w:cstheme="minorHAnsi"/>
                <w:sz w:val="14"/>
                <w:szCs w:val="14"/>
                <w:lang w:val="en-GB"/>
              </w:rPr>
              <w:t xml:space="preserve">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6C7DCDA8"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777A6AC6"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xml:space="preserve">: Added better wording and recommendations for </w:t>
            </w:r>
            <w:proofErr w:type="spellStart"/>
            <w:r w:rsidRPr="00AE2F66">
              <w:rPr>
                <w:rFonts w:asciiTheme="minorHAnsi" w:hAnsiTheme="minorHAnsi" w:cstheme="minorHAnsi"/>
                <w:sz w:val="14"/>
                <w:szCs w:val="14"/>
                <w:lang w:val="en-GB"/>
              </w:rPr>
              <w:t>NamespaceMetadata</w:t>
            </w:r>
            <w:proofErr w:type="spellEnd"/>
            <w:r w:rsidRPr="00AE2F66">
              <w:rPr>
                <w:rFonts w:asciiTheme="minorHAnsi" w:hAnsiTheme="minorHAnsi" w:cstheme="minorHAnsi"/>
                <w:sz w:val="14"/>
                <w:szCs w:val="14"/>
                <w:lang w:val="en-GB"/>
              </w:rPr>
              <w:t xml:space="preserve">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xml:space="preserve">: Added </w:t>
            </w:r>
            <w:proofErr w:type="spellStart"/>
            <w:r w:rsidR="00537E60" w:rsidRPr="00AE2F66">
              <w:rPr>
                <w:rFonts w:asciiTheme="minorHAnsi" w:hAnsiTheme="minorHAnsi" w:cstheme="minorHAnsi"/>
                <w:sz w:val="14"/>
                <w:szCs w:val="14"/>
                <w:lang w:val="en-GB"/>
              </w:rPr>
              <w:t>HasInterface</w:t>
            </w:r>
            <w:proofErr w:type="spellEnd"/>
            <w:r w:rsidR="00537E60" w:rsidRPr="00AE2F66">
              <w:rPr>
                <w:rFonts w:asciiTheme="minorHAnsi" w:hAnsiTheme="minorHAnsi" w:cstheme="minorHAnsi"/>
                <w:sz w:val="14"/>
                <w:szCs w:val="14"/>
                <w:lang w:val="en-GB"/>
              </w:rPr>
              <w:t xml:space="preserv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w:t>
            </w:r>
            <w:proofErr w:type="spellStart"/>
            <w:r w:rsidR="00CE06B6" w:rsidRPr="00AE2F66">
              <w:rPr>
                <w:rFonts w:asciiTheme="minorHAnsi" w:hAnsiTheme="minorHAnsi" w:cstheme="minorHAnsi"/>
                <w:sz w:val="14"/>
                <w:szCs w:val="14"/>
                <w:lang w:val="en-GB"/>
              </w:rPr>
              <w:t>NamespaceIndex</w:t>
            </w:r>
            <w:proofErr w:type="spellEnd"/>
            <w:r w:rsidR="00CE06B6"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 xml:space="preserve">for Profiles or </w:t>
            </w:r>
            <w:proofErr w:type="spellStart"/>
            <w:r w:rsidR="0041665C" w:rsidRPr="00AE2F66">
              <w:rPr>
                <w:rFonts w:asciiTheme="minorHAnsi" w:hAnsiTheme="minorHAnsi" w:cstheme="minorHAnsi"/>
                <w:sz w:val="14"/>
                <w:szCs w:val="14"/>
                <w:lang w:val="en-GB"/>
              </w:rPr>
              <w:t>ConformanceUnits</w:t>
            </w:r>
            <w:proofErr w:type="spellEnd"/>
            <w:r w:rsidR="0041665C" w:rsidRPr="00AE2F66">
              <w:rPr>
                <w:rFonts w:asciiTheme="minorHAnsi" w:hAnsiTheme="minorHAnsi" w:cstheme="minorHAnsi"/>
                <w:sz w:val="14"/>
                <w:szCs w:val="14"/>
                <w:lang w:val="en-GB"/>
              </w:rPr>
              <w:t xml:space="preserve">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1B0D4662"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w:t>
            </w:r>
            <w:proofErr w:type="spellStart"/>
            <w:r w:rsidRPr="00AE2F66">
              <w:rPr>
                <w:rFonts w:asciiTheme="minorHAnsi" w:hAnsiTheme="minorHAnsi" w:cstheme="minorHAnsi"/>
                <w:sz w:val="14"/>
                <w:szCs w:val="14"/>
                <w:lang w:val="en-GB"/>
              </w:rPr>
              <w:t>BrowseName</w:t>
            </w:r>
            <w:proofErr w:type="spellEnd"/>
            <w:r w:rsidRPr="00AE2F66">
              <w:rPr>
                <w:rFonts w:asciiTheme="minorHAnsi" w:hAnsiTheme="minorHAnsi" w:cstheme="minorHAnsi"/>
                <w:sz w:val="14"/>
                <w:szCs w:val="14"/>
                <w:lang w:val="en-GB"/>
              </w:rPr>
              <w:t xml:space="preserv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6EE0FE0A"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w:t>
            </w:r>
            <w:proofErr w:type="spellStart"/>
            <w:r w:rsidRPr="00E74E60">
              <w:rPr>
                <w:rFonts w:asciiTheme="minorHAnsi" w:hAnsiTheme="minorHAnsi" w:cstheme="minorHAnsi"/>
                <w:sz w:val="14"/>
                <w:szCs w:val="14"/>
                <w:lang w:val="en-GB"/>
              </w:rPr>
              <w:t>NamespaceMetadata</w:t>
            </w:r>
            <w:proofErr w:type="spellEnd"/>
            <w:r w:rsidRPr="00E74E60">
              <w:rPr>
                <w:rFonts w:asciiTheme="minorHAnsi" w:hAnsiTheme="minorHAnsi" w:cstheme="minorHAnsi"/>
                <w:sz w:val="14"/>
                <w:szCs w:val="14"/>
                <w:lang w:val="en-GB"/>
              </w:rPr>
              <w:t xml:space="preserve"> table to make it </w:t>
            </w:r>
            <w:proofErr w:type="spellStart"/>
            <w:r w:rsidRPr="00E74E60">
              <w:rPr>
                <w:rFonts w:asciiTheme="minorHAnsi" w:hAnsiTheme="minorHAnsi" w:cstheme="minorHAnsi"/>
                <w:sz w:val="14"/>
                <w:szCs w:val="14"/>
                <w:lang w:val="en-GB"/>
              </w:rPr>
              <w:t>validatable</w:t>
            </w:r>
            <w:proofErr w:type="spellEnd"/>
            <w:r w:rsidRPr="00E74E60">
              <w:rPr>
                <w:rFonts w:asciiTheme="minorHAnsi" w:hAnsiTheme="minorHAnsi" w:cstheme="minorHAnsi"/>
                <w:sz w:val="14"/>
                <w:szCs w:val="14"/>
                <w:lang w:val="en-GB"/>
              </w:rPr>
              <w:t xml:space="preserv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4C654A99"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w:t>
            </w:r>
            <w:proofErr w:type="spellStart"/>
            <w:r w:rsidRPr="00E74E60">
              <w:rPr>
                <w:rFonts w:asciiTheme="minorHAnsi" w:hAnsiTheme="minorHAnsi" w:cstheme="minorHAnsi"/>
                <w:sz w:val="14"/>
                <w:szCs w:val="14"/>
                <w:lang w:val="en-GB"/>
              </w:rPr>
              <w:t>GeneratesEvent</w:t>
            </w:r>
            <w:proofErr w:type="spellEnd"/>
            <w:r w:rsidRPr="00E74E60">
              <w:rPr>
                <w:rFonts w:asciiTheme="minorHAnsi" w:hAnsiTheme="minorHAnsi" w:cstheme="minorHAnsi"/>
                <w:sz w:val="14"/>
                <w:szCs w:val="14"/>
                <w:lang w:val="en-GB"/>
              </w:rPr>
              <w:t xml:space="preserve">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 xml:space="preserve">No </w:t>
            </w:r>
            <w:proofErr w:type="spellStart"/>
            <w:r w:rsidR="00095589" w:rsidRPr="00E74E60">
              <w:rPr>
                <w:rFonts w:asciiTheme="minorHAnsi" w:hAnsiTheme="minorHAnsi" w:cstheme="minorHAnsi"/>
                <w:sz w:val="14"/>
                <w:szCs w:val="14"/>
                <w:lang w:val="en-GB"/>
              </w:rPr>
              <w:t>HasSubtype</w:t>
            </w:r>
            <w:proofErr w:type="spellEnd"/>
            <w:r w:rsidR="00095589" w:rsidRPr="00E74E60">
              <w:rPr>
                <w:rFonts w:asciiTheme="minorHAnsi" w:hAnsiTheme="minorHAnsi" w:cstheme="minorHAnsi"/>
                <w:sz w:val="14"/>
                <w:szCs w:val="14"/>
                <w:lang w:val="en-GB"/>
              </w:rPr>
              <w:t xml:space="preserv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 xml:space="preserve">Added max size for </w:t>
            </w:r>
            <w:proofErr w:type="spellStart"/>
            <w:r w:rsidR="00095589" w:rsidRPr="00E74E60">
              <w:rPr>
                <w:rFonts w:asciiTheme="minorHAnsi" w:hAnsiTheme="minorHAnsi" w:cstheme="minorHAnsi"/>
                <w:sz w:val="14"/>
                <w:szCs w:val="14"/>
                <w:lang w:val="en-GB"/>
              </w:rPr>
              <w:t>ConformanceUnit</w:t>
            </w:r>
            <w:proofErr w:type="spellEnd"/>
            <w:r w:rsidR="00095589" w:rsidRPr="00E74E60">
              <w:rPr>
                <w:rFonts w:asciiTheme="minorHAnsi" w:hAnsiTheme="minorHAnsi" w:cstheme="minorHAnsi"/>
                <w:sz w:val="14"/>
                <w:szCs w:val="14"/>
                <w:lang w:val="en-GB"/>
              </w:rPr>
              <w:t xml:space="preserve">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6F69411D"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proofErr w:type="spellStart"/>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rowsePath</w:t>
            </w:r>
            <w:proofErr w:type="spellEnd"/>
            <w:r w:rsidR="00A628F1">
              <w:rPr>
                <w:rFonts w:asciiTheme="minorHAnsi" w:hAnsiTheme="minorHAnsi" w:cstheme="minorHAnsi"/>
                <w:sz w:val="16"/>
                <w:szCs w:val="16"/>
                <w:lang w:val="en-GB"/>
              </w:rPr>
              <w:t xml:space="preserve">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30B9EA53"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1DC115B2"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w:t>
            </w:r>
            <w:proofErr w:type="spellStart"/>
            <w:r w:rsidR="00FA0FA0" w:rsidRPr="00E74E60">
              <w:rPr>
                <w:rFonts w:asciiTheme="minorHAnsi" w:hAnsiTheme="minorHAnsi" w:cstheme="minorHAnsi"/>
                <w:sz w:val="16"/>
                <w:szCs w:val="16"/>
                <w:lang w:val="en-GB"/>
              </w:rPr>
              <w:t>UANodeSet</w:t>
            </w:r>
            <w:proofErr w:type="spellEnd"/>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1A50715E"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w:t>
            </w:r>
            <w:proofErr w:type="spellStart"/>
            <w:r w:rsidR="00E03475" w:rsidRPr="003C540A">
              <w:rPr>
                <w:rFonts w:asciiTheme="minorHAnsi" w:hAnsiTheme="minorHAnsi" w:cstheme="minorHAnsi"/>
                <w:sz w:val="16"/>
                <w:szCs w:val="16"/>
                <w:lang w:val="en-GB"/>
              </w:rPr>
              <w:t>BrowseNames</w:t>
            </w:r>
            <w:proofErr w:type="spellEnd"/>
            <w:r w:rsidR="00E03475" w:rsidRPr="003C540A">
              <w:rPr>
                <w:rFonts w:asciiTheme="minorHAnsi" w:hAnsiTheme="minorHAnsi" w:cstheme="minorHAnsi"/>
                <w:sz w:val="16"/>
                <w:szCs w:val="16"/>
                <w:lang w:val="en-GB"/>
              </w:rPr>
              <w:t>.</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w:t>
            </w:r>
            <w:r>
              <w:rPr>
                <w:rFonts w:asciiTheme="minorHAnsi" w:hAnsiTheme="minorHAnsi" w:cstheme="minorHAnsi"/>
                <w:sz w:val="20"/>
                <w:szCs w:val="20"/>
                <w:lang w:val="en-GB"/>
              </w:rPr>
              <w:t>, 202</w:t>
            </w:r>
            <w:r>
              <w:rPr>
                <w:rFonts w:asciiTheme="minorHAnsi" w:hAnsiTheme="minorHAnsi" w:cstheme="minorHAnsi"/>
                <w:sz w:val="20"/>
                <w:szCs w:val="20"/>
                <w:lang w:val="en-GB"/>
              </w:rPr>
              <w:t>5</w:t>
            </w:r>
          </w:p>
        </w:tc>
        <w:tc>
          <w:tcPr>
            <w:tcW w:w="7416" w:type="dxa"/>
          </w:tcPr>
          <w:p w14:paraId="79A3F12E" w14:textId="78219655"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49F66916">
      <w:pPr>
        <w:pStyle w:val="TOC1"/>
      </w:pPr>
      <w:r>
        <w:fldChar w:fldCharType="begin" w:dirty="true"/>
      </w:r>
      <w:r>
        <w:instrText xml:space="preserve"> TOC \o "1-3" \h \z \u </w:instrText>
      </w:r>
      <w:r>
        <w:fldChar w:fldCharType="separate"/>
      </w:r>
      <w:r>
        <w:rPr>
          <w:noProof/>
        </w:rPr>
        <w:t xml:space="preserve">Right-click and choose Update Field.</w:t>
      </w: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lastRenderedPageBreak/>
        <w:t>Figures</w:t>
      </w:r>
    </w:p>
    <w:p w14:paraId="718DA69E">
      <w:pPr>
        <w:pStyle w:val="TableofFigures"/>
      </w:pPr>
      <w:r>
        <w:fldChar w:fldCharType="begin" w:dirty="true"/>
      </w:r>
      <w:r>
        <w:instrText xml:space="preserve"> TOC \t "FIGURE-title" \c \h </w:instrText>
      </w:r>
      <w:r>
        <w:fldChar w:fldCharType="separate"/>
      </w:r>
      <w:r>
        <w:rPr>
          <w:noProof/>
        </w:rPr>
        <w:t xml:space="preserve">Right-click and choose Update Field.</w:t>
      </w:r>
      <w:r>
        <w:fldChar w:fldCharType="end"/>
      </w:r>
    </w:p>
    <w:p w14:paraId="27F5E138" w14:textId="7EE419D7" w:rsidR="003F7D84" w:rsidRPr="00EC120D" w:rsidRDefault="006D04BE" w:rsidP="003F7D84">
      <w:pPr>
        <w:pStyle w:val="HEADINGNonumber"/>
        <w:spacing w:after="0"/>
        <w:outlineLvl w:val="9"/>
        <w:rPr>
          <w:b/>
          <w:caps/>
          <w:smallCaps/>
          <w:sz w:val="20"/>
        </w:rPr>
      </w:pPr>
      <w:r w:rsidRPr="004C388A">
        <w:fldChar w:fldCharType="end"/>
      </w:r>
      <w:r w:rsidR="003F7D84" w:rsidRPr="00EC120D">
        <w:t xml:space="preserve"> </w:t>
      </w:r>
      <w:r w:rsidR="003F7D84" w:rsidRPr="00EC120D">
        <w:rPr>
          <w:rStyle w:val="PARAGRAPHChar"/>
        </w:rPr>
        <w:br w:type="page"/>
      </w:r>
      <w:r w:rsidR="003F7D84" w:rsidRPr="00EC120D">
        <w:rPr>
          <w:b/>
          <w:caps/>
          <w:smallCaps/>
          <w:sz w:val="20"/>
        </w:rPr>
        <w:lastRenderedPageBreak/>
        <w:t>Tables</w:t>
      </w:r>
    </w:p>
    <w:p w14:paraId="5E6394B4">
      <w:pPr>
        <w:pStyle w:val="TableofFigures"/>
      </w:pPr>
      <w:r>
        <w:fldChar w:fldCharType="begin" w:dirty="true"/>
      </w:r>
      <w:r>
        <w:instrText xml:space="preserve"> TOC \t "TABLE-title" \c \h </w:instrText>
      </w:r>
      <w:r>
        <w:fldChar w:fldCharType="separate"/>
      </w:r>
      <w:r>
        <w:rPr>
          <w:noProof/>
        </w:rPr>
        <w:t xml:space="preserve">Right-click and choose Update Field.</w:t>
      </w: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 xml:space="preserve">OPC FOUNDATION</w:t>
      </w:r>
      <w:r w:rsidRPr="00EC120D">
        <w:rPr>
          <w:rFonts w:ascii="Helvetica" w:hAnsi="Helvetica"/>
          <w:caps/>
        </w:rPr>
        <w:t xml:space="preserve">, </w:t>
      </w:r>
      <w:r w:rsidRPr="00EC120D">
        <w:rPr>
          <w:rFonts w:ascii="Helvetica" w:hAnsi="Helvetica"/>
          <w:caps/>
          <w:color w:val="FF0000"/>
        </w:rPr>
        <w:t xml:space="preserve">W3C Web of Things Working Group</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1DD12AC9"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04D3273D"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2" w:name="_Toc138504167"/>
      <w:bookmarkStart w:id="13" w:name="_Toc139710827"/>
      <w:r w:rsidRPr="004C388A">
        <w:rPr>
          <w:u w:val="single"/>
          <w:lang w:val="en-GB"/>
        </w:rPr>
        <w:t>AGREEMENT OF USE</w:t>
      </w:r>
      <w:bookmarkEnd w:id="12"/>
      <w:bookmarkEnd w:id="13"/>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 xml:space="preserve">OPC Foundation</w:t>
      </w:r>
      <w:r w:rsidRPr="004C388A">
        <w:rPr>
          <w:sz w:val="16"/>
          <w:szCs w:val="16"/>
        </w:rPr>
        <w:t xml:space="preserve"> and the </w:t>
      </w:r>
      <w:r w:rsidRPr="004C388A">
        <w:rPr>
          <w:color w:val="FF0000"/>
          <w:sz w:val="16"/>
          <w:szCs w:val="16"/>
        </w:rPr>
        <w:t xml:space="preserve">W3C Web of Things Working Group</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proofErr w:type="gramStart"/>
      <w:r w:rsidRPr="004C388A">
        <w:rPr>
          <w:color w:val="252424"/>
          <w:sz w:val="16"/>
          <w:szCs w:val="16"/>
        </w:rPr>
        <w:t>printed</w:t>
      </w:r>
      <w:proofErr w:type="gramEnd"/>
      <w:r w:rsidRPr="004C388A">
        <w:rPr>
          <w:color w:val="252424"/>
          <w:sz w:val="16"/>
          <w:szCs w:val="16"/>
        </w:rPr>
        <w:t xml:space="preserve">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 xml:space="preserve">OPC Foundation and W3C Web of Things Working Group</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 xml:space="preserve">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 xml:space="preserve">W3C Web of Things Working Group</w:t>
      </w:r>
      <w:r w:rsidRPr="004C388A">
        <w:rPr>
          <w:color w:val="343333"/>
          <w:sz w:val="16"/>
          <w:szCs w:val="16"/>
        </w:rPr>
        <w:t xml:space="preserve"> and their officers, </w:t>
      </w:r>
      <w:proofErr w:type="gramStart"/>
      <w:r w:rsidRPr="004C388A">
        <w:rPr>
          <w:color w:val="252424"/>
          <w:sz w:val="16"/>
          <w:szCs w:val="16"/>
        </w:rPr>
        <w:t>directors</w:t>
      </w:r>
      <w:proofErr w:type="gramEnd"/>
      <w:r w:rsidRPr="004C388A">
        <w:rPr>
          <w:color w:val="252424"/>
          <w:sz w:val="16"/>
          <w:szCs w:val="16"/>
        </w:rPr>
        <w:t xml:space="preserve">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w:t>
      </w:r>
      <w:proofErr w:type="gramStart"/>
      <w:r w:rsidRPr="004C388A">
        <w:rPr>
          <w:color w:val="252424"/>
          <w:sz w:val="16"/>
          <w:szCs w:val="16"/>
        </w:rPr>
        <w:t>is</w:t>
      </w:r>
      <w:proofErr w:type="gramEnd"/>
      <w:r w:rsidRPr="004C388A">
        <w:rPr>
          <w:color w:val="252424"/>
          <w:sz w:val="16"/>
          <w:szCs w:val="16"/>
        </w:rPr>
        <w:t xml:space="preserve"> solely owned by the </w:t>
      </w:r>
      <w:r w:rsidRPr="004C388A">
        <w:rPr>
          <w:color w:val="FF0000"/>
          <w:sz w:val="16"/>
          <w:szCs w:val="16"/>
        </w:rPr>
        <w:t xml:space="preserve">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 xml:space="preserve">W3C Web of Things Working Group</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 xml:space="preserve">W3C Web of Things Working Group</w:t>
      </w:r>
      <w:r w:rsidRPr="004C388A">
        <w:rPr>
          <w:sz w:val="16"/>
          <w:szCs w:val="16"/>
        </w:rPr>
        <w:t xml:space="preserve"> specifications may require use of an invention covered by patent rights. OPC Foundation or </w:t>
      </w:r>
      <w:r w:rsidRPr="004C388A">
        <w:rPr>
          <w:color w:val="FF0000"/>
          <w:sz w:val="16"/>
          <w:szCs w:val="16"/>
        </w:rPr>
        <w:t xml:space="preserve">W3C Web of Things Working Group</w:t>
      </w:r>
      <w:r w:rsidRPr="004C388A">
        <w:rPr>
          <w:sz w:val="16"/>
          <w:szCs w:val="16"/>
        </w:rPr>
        <w:t xml:space="preserve"> shall not be responsible for identifying patents for which a license may be required by any OPC or </w:t>
      </w:r>
      <w:r w:rsidRPr="004C388A">
        <w:rPr>
          <w:color w:val="FF0000"/>
          <w:sz w:val="16"/>
          <w:szCs w:val="16"/>
        </w:rPr>
        <w:t xml:space="preserve">W3C Web of Things Working Group</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 xml:space="preserve">W3C Web of Things Working Group</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 xml:space="preserve">W3C Web of Things Working Group</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 xml:space="preserve">W3C Web of Things Working Group</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w:t>
      </w:r>
      <w:proofErr w:type="spellStart"/>
      <w:r w:rsidRPr="004C388A">
        <w:rPr>
          <w:sz w:val="16"/>
          <w:szCs w:val="16"/>
        </w:rPr>
        <w:t>i</w:t>
      </w:r>
      <w:proofErr w:type="spellEnd"/>
      <w:r w:rsidRPr="004C388A">
        <w:rPr>
          <w:sz w:val="16"/>
          <w:szCs w:val="16"/>
        </w:rPr>
        <w:t>)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 xml:space="preserve">W3C Web of Things Working Group</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 xml:space="preserve">W3C Web of Things Working Group</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 xml:space="preserve">If an error or problem is found in this specification, the </w:t>
      </w:r>
      <w:proofErr w:type="spellStart"/>
      <w:r w:rsidRPr="005969D7">
        <w:rPr>
          <w:sz w:val="16"/>
          <w:szCs w:val="16"/>
        </w:rPr>
        <w:t>UaNodeSet</w:t>
      </w:r>
      <w:proofErr w:type="spellEnd"/>
      <w:r w:rsidRPr="005969D7">
        <w:rPr>
          <w:sz w:val="16"/>
          <w:szCs w:val="16"/>
        </w:rPr>
        <w:t>, or any associated supplementary files, it should be reported as a</w:t>
      </w:r>
      <w:r w:rsidR="00EA223C">
        <w:rPr>
          <w:sz w:val="16"/>
          <w:szCs w:val="16"/>
        </w:rPr>
        <w:t>n</w:t>
      </w:r>
      <w:r w:rsidRPr="005969D7">
        <w:rPr>
          <w:sz w:val="16"/>
          <w:szCs w:val="16"/>
        </w:rPr>
        <w:t xml:space="preserve"> issue.</w:t>
      </w:r>
    </w:p>
    <w:p w14:paraId="6EC5A462" w14:textId="4B107ADF"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6325F29F"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5800B86D"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w:t>
      </w:r>
      <w:proofErr w:type="spellStart"/>
      <w:r w:rsidRPr="008C34AA">
        <w:rPr>
          <w:color w:val="CC3300"/>
          <w:sz w:val="18"/>
          <w:szCs w:val="18"/>
          <w:lang w:eastAsia="ja-JP"/>
        </w:rPr>
        <w:t>nnn</w:t>
      </w:r>
      <w:proofErr w:type="spellEnd"/>
      <w:r w:rsidRPr="008C34AA">
        <w:rPr>
          <w:color w:val="CC3300"/>
          <w:sz w:val="18"/>
          <w:szCs w:val="18"/>
          <w:lang w:eastAsia="ja-JP"/>
        </w:rPr>
        <w:t xml:space="preserve">&gt; is the </w:t>
      </w:r>
      <w:proofErr w:type="spellStart"/>
      <w:r w:rsidRPr="008C34AA">
        <w:rPr>
          <w:color w:val="CC3300"/>
          <w:sz w:val="18"/>
          <w:szCs w:val="18"/>
          <w:lang w:eastAsia="ja-JP"/>
        </w:rPr>
        <w:t>project_id</w:t>
      </w:r>
      <w:proofErr w:type="spellEnd"/>
      <w:r w:rsidRPr="008C34AA">
        <w:rPr>
          <w:color w:val="CC3300"/>
          <w:sz w:val="18"/>
          <w:szCs w:val="18"/>
          <w:lang w:eastAsia="ja-JP"/>
        </w:rPr>
        <w:t xml:space="preserve">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36F800AD"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w:t>
      </w:r>
      <w:proofErr w:type="spellStart"/>
      <w:r w:rsidRPr="008C34AA">
        <w:rPr>
          <w:color w:val="CC3300"/>
          <w:sz w:val="18"/>
          <w:szCs w:val="18"/>
          <w:lang w:eastAsia="ja-JP"/>
        </w:rPr>
        <w:t>project_id</w:t>
      </w:r>
      <w:proofErr w:type="spellEnd"/>
      <w:r w:rsidRPr="008C34AA">
        <w:rPr>
          <w:color w:val="CC3300"/>
          <w:sz w:val="18"/>
          <w:szCs w:val="18"/>
          <w:lang w:eastAsia="ja-JP"/>
        </w:rPr>
        <w:t xml:space="preserve">,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4" w:name="_Toc395221003"/>
      <w:bookmarkStart w:id="15" w:name="_Toc497301989"/>
      <w:r w:rsidRPr="00EC120D">
        <w:rPr>
          <w:b/>
          <w:sz w:val="28"/>
        </w:rPr>
        <w:lastRenderedPageBreak/>
        <w:t xml:space="preserve">Release 1.10.0 highlights</w:t>
      </w:r>
      <w:proofErr w:type="spellStart"/>
      <w:r w:rsidRPr="00EC120D">
        <w:rPr>
          <w:b/>
          <w:sz w:val="28"/>
        </w:rPr>
        <w:t/>
      </w:r>
      <w:proofErr w:type="spellEnd"/>
      <w:r w:rsidRPr="00EC120D">
        <w:rPr>
          <w:b/>
          <w:sz w:val="28"/>
        </w:rPr>
        <w:t xml:space="preserve"/>
      </w:r>
      <w:bookmarkEnd w:id="14"/>
      <w:bookmarkEnd w:id="15"/>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shd w:val="clear" w:color="auto" w:fill="auto"/>
          </w:tcPr>
          <w:p w14:paraId="4DF88A09" w14:textId="74990FA5"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shd w:val="clear" w:color="auto" w:fill="auto"/>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shd w:val="clear" w:color="auto" w:fill="auto"/>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shd w:val="clear" w:color="auto" w:fill="auto"/>
          </w:tcPr>
          <w:p w14:paraId="768467F7" w14:textId="4E077D2C"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shd w:val="clear" w:color="auto" w:fill="auto"/>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shd w:val="clear" w:color="auto" w:fill="auto"/>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WoT BINDING</w:t>
        </w:r>
      </w:smartTag>
      <w:r w:rsidRPr="00EC120D">
        <w:rPr>
          <w:rFonts w:ascii="Arial Bold" w:hAnsi="Arial Bold"/>
          <w:caps/>
          <w:color w:val="FF0000"/>
        </w:rPr>
        <w:t xml:space="preserve"/>
      </w:r>
      <w:r w:rsidRPr="00EC120D">
        <w:rPr>
          <w:rFonts w:ascii="Arial Bold" w:hAnsi="Arial Bold"/>
          <w:caps/>
        </w:rPr>
        <w:t xml:space="preserve"/>
      </w:r>
      <w:r w:rsidRPr="00EC120D">
        <w:rPr>
          <w:rFonts w:ascii="Arial Bold" w:hAnsi="Arial Bold"/>
          <w:caps/>
          <w:color w:val="FF0000"/>
        </w:rPr>
        <w:t/>
      </w:r>
      <w:r w:rsidRPr="00EC120D">
        <w:rPr>
          <w:rFonts w:ascii="Arial Bold" w:hAnsi="Arial Bold"/>
          <w:caps/>
        </w:rPr>
        <w:t xml:space="preserve"/>
      </w:r>
      <w:r w:rsidRPr="00EC120D">
        <w:rPr>
          <w:rFonts w:ascii="Arial Bold" w:hAnsi="Arial Bold" w:hint="eastAsia"/>
          <w:caps/>
        </w:rPr>
        <w:t/>
      </w:r>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 xml:space="preserve">Part 1: JSON-LD vocabulary and NodeSet2 mapping</w:t>
      </w:r>
      <w:r w:rsidRPr="00EC120D">
        <w:rPr>
          <w:color w:val="FF0000"/>
        </w:rPr>
        <w:t/>
      </w:r>
      <w:r w:rsidRPr="00EC120D">
        <w:t xml:space="preserve"/>
      </w:r>
      <w:r w:rsidRPr="00EC120D">
        <w:rPr>
          <w:color w:val="FF0000"/>
        </w:rPr>
        <w:t xml:space="preserve"/>
      </w:r>
      <w:r w:rsidR="00F1484D" w:rsidRPr="00EC120D">
        <w:rPr>
          <w:color w:val="FF0000"/>
        </w:rPr>
        <w:t xml:space="preserve"/>
      </w:r>
      <w:r w:rsidRPr="00EC120D">
        <w:rPr>
          <w:color w:val="FF0000"/>
        </w:rPr>
        <w:t/>
      </w:r>
      <w:r w:rsidRPr="00EC120D">
        <w:t xml:space="preserve"/>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447" w:name="_Clause_c1"/>
      <w:bookmarkStart w:id="16" w:name="_Toc355080565"/>
      <w:bookmarkStart w:id="17" w:name="_Toc358798312"/>
      <w:bookmarkStart w:id="18" w:name="_Toc358802870"/>
      <w:bookmarkStart w:id="19" w:name="_Toc358803011"/>
      <w:bookmarkStart w:id="20" w:name="_Toc359335757"/>
      <w:bookmarkStart w:id="21" w:name="_Toc184116961"/>
      <w:r w:rsidRPr="00EC120D">
        <w:t>Scope</w:t>
      </w:r>
      <w:bookmarkEnd w:id="16"/>
      <w:bookmarkEnd w:id="17"/>
      <w:bookmarkEnd w:id="18"/>
      <w:bookmarkEnd w:id="19"/>
      <w:bookmarkEnd w:id="20"/>
      <w:bookmarkEnd w:id="21"/>
      <w:bookmarkEnd w:id="447"/>
    </w:p>
    <w:p w14:paraId="60E986C5">
      <w:pPr>
        <w:pStyle w:val="PARAGRAPH"/>
      </w:pPr>
      <w:r>
        <w:t xml:space="preserve">This specification defines how a </w:t>
      </w:r>
      <w:r>
        <w:t xml:space="preserve">W3C Web of Things Thing Description</w:t>
      </w:r>
      <w:r>
        <w:t xml:space="preserve"> (TD) and Thing Model (TM) describe an OPC UA interface, and how an OPC UA information model expressed as a NodeSet2 document and a Thing Description or Thing Model are converted into one another.</w:t>
      </w:r>
    </w:p>
    <w:p w14:paraId="4CE8CDB8">
      <w:pPr>
        <w:pStyle w:val="PARAGRAPH"/>
      </w:pPr>
      <w:r>
        <w:t xml:space="preserve">It has three layers, each usable on its own:</w:t>
      </w:r>
    </w:p>
    <w:p w14:paraId="5426004A">
      <w:pPr>
        <w:pStyle w:val="ListBullet"/>
        <w:numPr>
          <w:ilvl w:val="0"/>
          <w:numId w:val="21"/>
        </w:numPr>
      </w:pPr>
      <w:r>
        <w:t xml:space="preserve">A </w:t>
      </w:r>
      <w:r>
        <w:rPr>
          <w:b/>
        </w:rPr>
        <w:t xml:space="preserve">preserved protocol binding</w:t>
      </w:r>
      <w:r>
        <w:t xml:space="preserve"> that lets a Thing Description carry enough metadata for a client to open a session with an OPC UA Server, select a security configuration, and Read, Write, Observe (monitor), or Call a datapoint. This layer is byte-for-byte compatible with the published baseline vocabulary and semantics.</w:t>
      </w:r>
    </w:p>
    <w:p w14:paraId="1D60A06A">
      <w:pPr>
        <w:pStyle w:val="ListBullet"/>
        <w:numPr>
          <w:ilvl w:val="0"/>
          <w:numId w:val="21"/>
        </w:numPr>
      </w:pPr>
      <w:r>
        <w:t xml:space="preserve">A </w:t>
      </w:r>
      <w:r>
        <w:rPr>
          <w:b/>
        </w:rPr>
        <w:t xml:space="preserve">model and platform vocabulary</w:t>
      </w:r>
      <w:r>
        <w:t xml:space="preserve"> that lets a Thing Model express the structural facts of an OPC UA type — composition, references, groups, units, scaling, configuration, metadata, and modelling rules — so that a Thing Model is a faithful, tool-processable projection of an ObjectType.</w:t>
      </w:r>
    </w:p>
    <w:p w14:paraId="66788244">
      <w:pPr>
        <w:pStyle w:val="ListBullet"/>
        <w:numPr>
          <w:ilvl w:val="0"/>
          <w:numId w:val="21"/>
        </w:numPr>
      </w:pPr>
      <w:r>
        <w:t xml:space="preserve">A </w:t>
      </w:r>
      <w:r>
        <w:rPr>
          <w:b/>
        </w:rPr>
        <w:t xml:space="preserve">bidirectional NodeSet2 conversion</w:t>
      </w:r>
      <w:r>
        <w:t xml:space="preserve"> whose semantic/readable vocabulary is primary, whose </w:t>
      </w:r>
      <w:r>
        <w:rPr>
          <w:rStyle w:val="VARIABLE"/>
        </w:rPr>
        <w:t xml:space="preserve">uav:nodes</w:t>
      </w:r>
      <w:r>
        <w:t xml:space="preserve"> projection covers source facts not yet expressible by that vocabulary, and whose </w:t>
      </w:r>
      <w:r>
        <w:rPr>
          <w:rStyle w:val="VARIABLE"/>
        </w:rPr>
        <w:t xml:space="preserve">uav:nodeSet</w:t>
      </w:r>
      <w:r>
        <w:t xml:space="preserve"> envelope is reserved for explicit byte-exact archival or a future construct that cannot be represented structurally.</w:t>
      </w:r>
    </w:p>
    <w:p w14:paraId="45CAF8A0">
      <w:pPr>
        <w:pStyle w:val="PARAGRAPH"/>
      </w:pPr>
      <w:r>
        <w:t xml:space="preserve">Out of scope: the OPC UA wire protocol itself (defined by OPC 10000-6), transport security key management, and the domain semantics of any particular companion specification. This binding references the Variables, Methods, and types that a domain model already defines; it does not re-model process data.</w:t>
      </w:r>
    </w:p>
    <w:p w14:paraId="041EB675">
      <w:pPr>
        <w:pStyle w:val="Heading2"/>
      </w:pPr>
      <w:bookmarkStart w:id="448" w:name="_Clause_c1_1"/>
      <w:r>
        <w:t xml:space="preserve">Differences from the published OPC 10101 version 1.00</w:t>
      </w:r>
      <w:bookmarkEnd w:id="448"/>
    </w:p>
    <w:p w14:paraId="7053041B">
      <w:pPr>
        <w:pStyle w:val="PARAGRAPH"/>
      </w:pPr>
      <w:r>
        <w:t xml:space="preserve">This document supersedes </w:t>
      </w:r>
      <w:r>
        <w:t xml:space="preserve">OPC 10101 v1.00</w:t>
      </w:r>
      <w:r>
        <w:t xml:space="preserve">, preserves its namespace, </w:t>
      </w:r>
      <w:r>
        <w:rPr>
          <w:rStyle w:val="VARIABLE"/>
        </w:rPr>
        <w:t xml:space="preserve">uav</w:t>
      </w:r>
      <w:r>
        <w:t xml:space="preserve"> prefix, vocabulary, service mappings, URI rules, access-level mapping, and security mapping (</w:t>
      </w:r>
      <w:r>
        <w:t xml:space="preserve">Section </w:t>
      </w:r>
      <w:r>
        <w:t xml:space="preserve">5</w:t>
      </w:r>
      <w:r>
        <w:t xml:space="preserve">), and adds the following substantive capabilities. A Thing Description written against v1.00 remains valid here.</w:t>
      </w:r>
    </w:p>
    <w:p w14:paraId="14905C46">
      <w:pPr>
        <w:pStyle w:val="ListBullet"/>
        <w:numPr>
          <w:ilvl w:val="0"/>
          <w:numId w:val="21"/>
        </w:numPr>
      </w:pPr>
      <w:r>
        <w:rPr>
          <w:b/>
        </w:rPr>
        <w:t xml:space="preserve">Event mapping (new).</w:t>
      </w:r>
      <w:r>
        <w:t xml:space="preserve"> An explicit mapping of OPC UA events (</w:t>
      </w:r>
      <w:r>
        <w:rPr>
          <w:rStyle w:val="VARIABLE"/>
        </w:rPr>
        <w:t xml:space="preserve">BaseEventType</w:t>
      </w:r>
      <w:r>
        <w:t xml:space="preserve"> subtypes) to WoT event affordances, anchored by the </w:t>
      </w:r>
      <w:r>
        <w:rPr>
          <w:rStyle w:val="VARIABLE"/>
        </w:rPr>
        <w:t xml:space="preserve">uav:eventType</w:t>
      </w:r>
      <w:r>
        <w:t xml:space="preserve"> type annotation and the </w:t>
      </w:r>
      <w:r>
        <w:rPr>
          <w:rStyle w:val="VARIABLE"/>
        </w:rPr>
        <w:t xml:space="preserve">uav:isEvent</w:t>
      </w:r>
      <w:r>
        <w:t xml:space="preserve"> flag, including the standard event fields and </w:t>
      </w:r>
      <w:r>
        <w:rPr>
          <w:rStyle w:val="VARIABLE"/>
        </w:rPr>
        <w:t xml:space="preserve">subscribeevent</w:t>
      </w:r>
      <w:r>
        <w:t xml:space="preserve">/</w:t>
      </w:r>
      <w:r>
        <w:rPr>
          <w:rStyle w:val="VARIABLE"/>
        </w:rPr>
        <w:t xml:space="preserve">unsubscribeevent</w:t>
      </w:r>
      <w:r>
        <w:t xml:space="preserve"> realized by OPC UA event MonitoredItems (</w:t>
      </w:r>
      <w:r>
        <w:t xml:space="preserve">Section </w:t>
      </w:r>
      <w:r>
        <w:fldChar w:fldCharType="begin"/>
      </w:r>
      <w:r>
        <w:instrText xml:space="preserve"> REF _Clause_c6_5 \r \h </w:instrText>
      </w:r>
      <w:r>
        <w:fldChar w:fldCharType="separate"/>
      </w:r>
      <w:r>
        <w:rPr>
          <w:noProof/>
        </w:rPr>
        <w:t xml:space="preserve">6.5</w:t>
      </w:r>
      <w:r>
        <w:fldChar w:fldCharType="end"/>
      </w:r>
      <w:r>
        <w:t xml:space="preserve">). The published baseline had no event mapping.</w:t>
      </w:r>
    </w:p>
    <w:p w14:paraId="47932F91">
      <w:pPr>
        <w:pStyle w:val="ListBullet"/>
        <w:numPr>
          <w:ilvl w:val="0"/>
          <w:numId w:val="21"/>
        </w:numPr>
      </w:pPr>
      <w:r>
        <w:rPr>
          <w:b/>
        </w:rPr>
        <w:t xml:space="preserve">Model and platform vocabulary (new).</w:t>
      </w:r>
      <w:r>
        <w:t xml:space="preserve"> A collision-safe vocabulary that lets a Thing Model record the structural facts of an OPC UA type — composition, references, groups, units, scaling, configuration, metadata, inheritance and modelling rules (</w:t>
      </w:r>
      <w:r>
        <w:t xml:space="preserve">Section </w:t>
      </w:r>
      <w:r>
        <w:fldChar w:fldCharType="begin"/>
      </w:r>
      <w:r>
        <w:instrText xml:space="preserve"> REF _Clause_c6_3 \r \h </w:instrText>
      </w:r>
      <w:r>
        <w:fldChar w:fldCharType="separate"/>
      </w:r>
      <w:r>
        <w:rPr>
          <w:noProof/>
        </w:rPr>
        <w:t xml:space="preserve">6.3</w:t>
      </w:r>
      <w:r>
        <w:fldChar w:fldCharType="end"/>
      </w:r>
      <w:r>
        <w:t xml:space="preserve">) — so a Thing Model is a faithful, tool-processable projection of an ObjectType, not only a client-facing description.</w:t>
      </w:r>
    </w:p>
    <w:p w14:paraId="7696DF59">
      <w:pPr>
        <w:pStyle w:val="ListBullet"/>
        <w:numPr>
          <w:ilvl w:val="0"/>
          <w:numId w:val="21"/>
        </w:numPr>
      </w:pPr>
      <w:r>
        <w:rPr>
          <w:b/>
        </w:rPr>
        <w:t xml:space="preserve">Exact NodeSet2 round trip and preservation (new).</w:t>
      </w:r>
      <w:r>
        <w:t xml:space="preserve"> A bidirectional NodeSet2 ↔ WoT conversion with defined round-trip invariants (</w:t>
      </w:r>
      <w:r>
        <w:t xml:space="preserve">Section </w:t>
      </w:r>
      <w:r>
        <w:fldChar w:fldCharType="begin"/>
      </w:r>
      <w:r>
        <w:instrText xml:space="preserve"> REF _Clause_c6_6 \r \h </w:instrText>
      </w:r>
      <w:r>
        <w:fldChar w:fldCharType="separate"/>
      </w:r>
      <w:r>
        <w:rPr>
          <w:noProof/>
        </w:rPr>
        <w:t xml:space="preserve">6.6</w:t>
      </w:r>
      <w:r>
        <w:fldChar w:fldCharType="end"/>
      </w:r>
      <w:r>
        <w:t xml:space="preserve">), a versioned and schema-complete </w:t>
      </w:r>
      <w:r>
        <w:rPr>
          <w:rStyle w:val="VARIABLE"/>
        </w:rPr>
        <w:t xml:space="preserve">uav:nodes</w:t>
      </w:r>
      <w:r>
        <w:t xml:space="preserve"> projection, pointer-addressed preservation of unmapped WoT JSON members in standard NodeSet </w:t>
      </w:r>
      <w:r>
        <w:rPr>
          <w:rStyle w:val="VARIABLE"/>
        </w:rPr>
        <w:t xml:space="preserve">Extensions</w:t>
      </w:r>
      <w:r>
        <w:t xml:space="preserve">, and an exceptional digest-verified </w:t>
      </w:r>
      <w:r>
        <w:rPr>
          <w:rStyle w:val="VARIABLE"/>
        </w:rPr>
        <w:t xml:space="preserve">uav:nodeSet</w:t>
      </w:r>
      <w:r>
        <w:t xml:space="preserve"> byte archive (</w:t>
      </w:r>
      <w:r>
        <w:t xml:space="preserve">Section </w:t>
      </w:r>
      <w:r>
        <w:fldChar w:fldCharType="begin"/>
      </w:r>
      <w:r>
        <w:instrText xml:space="preserve"> REF _Clause_c6_7 \r \h </w:instrText>
      </w:r>
      <w:r>
        <w:fldChar w:fldCharType="separate"/>
      </w:r>
      <w:r>
        <w:rPr>
          <w:noProof/>
        </w:rPr>
        <w:t xml:space="preserve">6.7</w:t>
      </w:r>
      <w:r>
        <w:fldChar w:fldCharType="end"/>
      </w:r>
      <w:r>
        <w:t xml:space="preserve">).</w:t>
      </w:r>
    </w:p>
    <w:p w14:paraId="2BE0AECF">
      <w:pPr>
        <w:pStyle w:val="ListBullet"/>
        <w:numPr>
          <w:ilvl w:val="0"/>
          <w:numId w:val="21"/>
        </w:numPr>
      </w:pPr>
      <w:r>
        <w:rPr>
          <w:b/>
        </w:rPr>
        <w:t xml:space="preserve">Implementer guidance (new).</w:t>
      </w:r>
      <w:r>
        <w:t xml:space="preserve"> Independent conformance units and recommended profiles (</w:t>
      </w:r>
      <w:r>
        <w:t xml:space="preserve">Section </w:t>
      </w:r>
      <w:r>
        <w:fldChar w:fldCharType="begin"/>
      </w:r>
      <w:r>
        <w:instrText xml:space="preserve"> REF _Clause_c7 \r \h </w:instrText>
      </w:r>
      <w:r>
        <w:fldChar w:fldCharType="separate"/>
      </w:r>
      <w:r>
        <w:rPr>
          <w:noProof/>
        </w:rPr>
        <w:t xml:space="preserve">7</w:t>
      </w:r>
      <w:r>
        <w:fldChar w:fldCharType="end"/>
      </w:r>
      <w:r>
        <w:t xml:space="preserve">), a deterministic standard-library validator, worked examples, and an iterative implementer walkthrough (Annex D) covering both conversion directions.</w:t>
      </w:r>
    </w:p>
    <w:p w14:paraId="0CF0D68E">
      <w:pPr>
        <w:pStyle w:val="Heading2"/>
      </w:pPr>
      <w:bookmarkStart w:id="449" w:name="_Clause_c1_2"/>
      <w:r>
        <w:t xml:space="preserve">Conformance to the OPC 20020 template</w:t>
      </w:r>
      <w:bookmarkEnd w:id="449"/>
    </w:p>
    <w:p w14:paraId="56D345F9">
      <w:pPr>
        <w:pStyle w:val="PARAGRAPH"/>
      </w:pPr>
      <w:r>
        <w:t xml:space="preserve">This document follows OPC 20020 - UA Companion Specification Template version 1.01.19. The template admits no deviation. The departures below are stated here because the subject matter of this document cannot satisfy the clause concerned; every other requirement of the template is met.</w:t>
      </w:r>
    </w:p>
    <w:p w14:paraId="7EA6C3BD">
      <w:pPr>
        <w:pStyle w:val="PARAGRAPH"/>
      </w:pPr>
      <w:r>
        <w:t xml:space="preserve">This document defines a JSON-LD vocabulary and a mapping between OPC UA NodeSet2 files and W3C Web of Things documents. It defines no OPC UA information model of its own: it has no NodeSet, no ObjectTypes, no VariableTypes, no DataTypes, no ReferenceTypes and no Instances. The NodeClass clauses of OPC 20020 are therefore omitted rather than left empty, and Annex A states the machine-readable artifacts this document does define — the JSON-LD context and the JSON Schema — in place of a NodeSet.</w:t>
      </w:r>
    </w:p>
    <w:p w14:paraId="2B970E0C">
      <w:pPr>
        <w:pStyle w:val="NOTE"/>
      </w:pPr>
      <w:r>
        <w:t xml:space="preserve">NOTE   PROVISIONAL WORKING DRAFT — not normative, not endorsed by the OPC Foundation. The document number and the Mantis project identifier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 xml:space="preserve">W3C Web of Things Working Group</w:t>
      </w:r>
    </w:p>
    <w:p w14:paraId="3FCBD290" w14:textId="77777777" w:rsidR="00F95EC5" w:rsidRPr="00EC120D" w:rsidRDefault="00F95EC5" w:rsidP="00F95EC5">
      <w:pPr>
        <w:pStyle w:val="Heading1"/>
      </w:pPr>
      <w:bookmarkStart w:id="450" w:name="_Clause_c2"/>
      <w:bookmarkStart w:id="22" w:name="_Toc355080566"/>
      <w:bookmarkStart w:id="23" w:name="_Toc358798313"/>
      <w:bookmarkStart w:id="24" w:name="_Toc358802871"/>
      <w:bookmarkStart w:id="25" w:name="_Toc358803012"/>
      <w:bookmarkStart w:id="26" w:name="_Toc359335758"/>
      <w:bookmarkStart w:id="27" w:name="_Toc184116962"/>
      <w:r w:rsidRPr="00EC120D">
        <w:t>Normative references</w:t>
      </w:r>
      <w:bookmarkEnd w:id="22"/>
      <w:bookmarkEnd w:id="23"/>
      <w:bookmarkEnd w:id="24"/>
      <w:bookmarkEnd w:id="25"/>
      <w:bookmarkEnd w:id="26"/>
      <w:bookmarkEnd w:id="27"/>
      <w:bookmarkEnd w:id="450"/>
    </w:p>
    <w:p w14:paraId="532CB950">
      <w:pPr>
        <w:pStyle w:val="PARAGRAPH"/>
      </w:pPr>
      <w:r>
        <w:t xml:space="preserve">The following referenced documents are indispensable for the application of this document. For dated references, only the edition cited applies. For undated references, the latest edition of the referenced document (including any amendments and errata) applies.</w:t>
      </w:r>
    </w:p>
    <w:p w14:paraId="4956D329">
      <w:pPr>
        <w:pStyle w:val="NOTE"/>
      </w:pPr>
      <w:r>
        <w:t xml:space="preserve">NOTE   </w:t>
      </w:r>
      <w:r>
        <w:t xml:space="preserve">The OPC UA core specifications are regularly published as IEC 62541.</w:t>
      </w:r>
    </w:p>
    <w:p w14:paraId="4256C675">
      <w:pPr>
        <w:pStyle w:val="ReferenceDocuments"/>
      </w:pPr>
      <w:bookmarkStart w:id="451" w:name="UAPart1"/>
      <w:r>
        <w:t xml:space="preserve">OPC 10000-1, OPC Unified Architecture - Part 1: Overview and Concepts</w:t>
      </w:r>
      <w:bookmarkEnd w:id="451"/>
    </w:p>
    <w:p w14:paraId="6AD2C4ED">
      <w:pPr>
        <w:pStyle w:val="ReferenceDocuments"/>
      </w:pPr>
      <w:r>
        <w:t xml:space="preserve">http://www.opcfoundation.org/documents/10000-1/</w:t>
      </w:r>
    </w:p>
    <w:p w14:paraId="6FD2527B">
      <w:pPr>
        <w:pStyle w:val="ReferenceDocuments"/>
      </w:pPr>
      <w:bookmarkStart w:id="452" w:name="UAPart2"/>
      <w:r>
        <w:t xml:space="preserve">OPC 10000-2, OPC Unified Architecture - Part 2: Security Model</w:t>
      </w:r>
      <w:bookmarkEnd w:id="452"/>
    </w:p>
    <w:p w14:paraId="3D170781">
      <w:pPr>
        <w:pStyle w:val="ReferenceDocuments"/>
      </w:pPr>
      <w:r>
        <w:t xml:space="preserve">http://www.opcfoundation.org/documents/10000-2/</w:t>
      </w:r>
    </w:p>
    <w:p w14:paraId="0DF77927">
      <w:pPr>
        <w:pStyle w:val="ReferenceDocuments"/>
      </w:pPr>
      <w:bookmarkStart w:id="453" w:name="UAPart3"/>
      <w:r>
        <w:t xml:space="preserve">OPC 10000-3, OPC Unified Architecture - Part 3: Address Space Model</w:t>
      </w:r>
      <w:bookmarkEnd w:id="453"/>
    </w:p>
    <w:p w14:paraId="3C78FFE5">
      <w:pPr>
        <w:pStyle w:val="ReferenceDocuments"/>
      </w:pPr>
      <w:r>
        <w:t xml:space="preserve">http://www.opcfoundation.org/documents/10000-3/</w:t>
      </w:r>
    </w:p>
    <w:p w14:paraId="3F657DC6">
      <w:pPr>
        <w:pStyle w:val="ReferenceDocuments"/>
      </w:pPr>
      <w:bookmarkStart w:id="454" w:name="UAPart4"/>
      <w:r>
        <w:t xml:space="preserve">OPC 10000-4, OPC Unified Architecture - Part 4: Services</w:t>
      </w:r>
      <w:bookmarkEnd w:id="454"/>
    </w:p>
    <w:p w14:paraId="6730A53D">
      <w:pPr>
        <w:pStyle w:val="ReferenceDocuments"/>
      </w:pPr>
      <w:r>
        <w:t xml:space="preserve">http://www.opcfoundation.org/documents/10000-4/</w:t>
      </w:r>
    </w:p>
    <w:p w14:paraId="6CFFCBC8">
      <w:pPr>
        <w:pStyle w:val="ReferenceDocuments"/>
      </w:pPr>
      <w:bookmarkStart w:id="455" w:name="UAPart5"/>
      <w:r>
        <w:t xml:space="preserve">OPC 10000-5, OPC Unified Architecture - Part 5: Information Model</w:t>
      </w:r>
      <w:bookmarkEnd w:id="455"/>
    </w:p>
    <w:p w14:paraId="6BD99771">
      <w:pPr>
        <w:pStyle w:val="ReferenceDocuments"/>
      </w:pPr>
      <w:r>
        <w:t xml:space="preserve">http://www.opcfoundation.org/documents/10000-5/</w:t>
      </w:r>
    </w:p>
    <w:p w14:paraId="2B20AF8C">
      <w:pPr>
        <w:pStyle w:val="ReferenceDocuments"/>
      </w:pPr>
      <w:bookmarkStart w:id="456" w:name="UAPart6"/>
      <w:r>
        <w:t xml:space="preserve">OPC 10000-6, OPC Unified Architecture - Part 6: Mappings, which defines the NodeSet2 XML serialization this document converts to and from.</w:t>
      </w:r>
      <w:bookmarkEnd w:id="456"/>
    </w:p>
    <w:p w14:paraId="57874050">
      <w:pPr>
        <w:pStyle w:val="ReferenceDocuments"/>
      </w:pPr>
      <w:r>
        <w:t xml:space="preserve">http://www.opcfoundation.org/documents/10000-6/</w:t>
      </w:r>
    </w:p>
    <w:p w14:paraId="15C4A750">
      <w:pPr>
        <w:pStyle w:val="ReferenceDocuments"/>
      </w:pPr>
      <w:bookmarkStart w:id="457" w:name="UAPart7"/>
      <w:r>
        <w:t xml:space="preserve">OPC 10000-7, OPC Unified Architecture - Part 7: Profiles</w:t>
      </w:r>
      <w:bookmarkEnd w:id="457"/>
    </w:p>
    <w:p w14:paraId="31ACFF0C">
      <w:pPr>
        <w:pStyle w:val="ReferenceDocuments"/>
      </w:pPr>
      <w:r>
        <w:t xml:space="preserve">http://www.opcfoundation.org/documents/10000-7/</w:t>
      </w:r>
    </w:p>
    <w:p w14:paraId="4D76427A">
      <w:pPr>
        <w:pStyle w:val="ReferenceDocuments"/>
      </w:pPr>
      <w:bookmarkStart w:id="458" w:name="UAPart8"/>
      <w:r>
        <w:t xml:space="preserve">OPC 10000-8, OPC Unified Architecture - Part 8: Data Access</w:t>
      </w:r>
      <w:bookmarkEnd w:id="458"/>
    </w:p>
    <w:p w14:paraId="3F947831">
      <w:pPr>
        <w:pStyle w:val="ReferenceDocuments"/>
      </w:pPr>
      <w:r>
        <w:t xml:space="preserve">http://www.opcfoundation.org/documents/10000-8/</w:t>
      </w:r>
    </w:p>
    <w:p w14:paraId="4B1A03C5">
      <w:pPr>
        <w:pStyle w:val="ReferenceDocuments"/>
      </w:pPr>
      <w:bookmarkStart w:id="459" w:name="UAPart12"/>
      <w:r>
        <w:t xml:space="preserve">OPC 10000-12, OPC Unified Architecture - Part 12: Discovery and Global Services</w:t>
      </w:r>
      <w:bookmarkEnd w:id="459"/>
    </w:p>
    <w:p w14:paraId="61EE0BCB">
      <w:pPr>
        <w:pStyle w:val="ReferenceDocuments"/>
      </w:pPr>
      <w:r>
        <w:t xml:space="preserve">http://www.opcfoundation.org/documents/10000-12/</w:t>
      </w:r>
    </w:p>
    <w:p w14:paraId="749F4E52">
      <w:pPr>
        <w:pStyle w:val="ReferenceDocuments"/>
      </w:pPr>
      <w:bookmarkStart w:id="460" w:name="UAPart20"/>
      <w:r>
        <w:t xml:space="preserve">OPC 10000-20, OPC Unified Architecture - Part 20: File Transfer</w:t>
      </w:r>
      <w:bookmarkEnd w:id="460"/>
    </w:p>
    <w:p w14:paraId="19709376">
      <w:pPr>
        <w:pStyle w:val="ReferenceDocuments"/>
      </w:pPr>
      <w:r>
        <w:t xml:space="preserve">http://www.opcfoundation.org/documents/10000-20/</w:t>
      </w:r>
    </w:p>
    <w:p w14:paraId="6700D0AA">
      <w:pPr>
        <w:pStyle w:val="ReferenceDocuments"/>
      </w:pPr>
      <w:bookmarkStart w:id="461" w:name="UA10101"/>
      <w:r>
        <w:t xml:space="preserve">OPC 10101-1, OPC UA for Web of Things Connectivity, version 1.00, the published binding this document revises.</w:t>
      </w:r>
      <w:bookmarkEnd w:id="461"/>
    </w:p>
    <w:p w14:paraId="56132168">
      <w:pPr>
        <w:pStyle w:val="ReferenceDocuments"/>
      </w:pPr>
      <w:r>
        <w:t xml:space="preserve">http://www.opcfoundation.org/documents/10101-1/</w:t>
      </w:r>
    </w:p>
    <w:p w14:paraId="228C6C3C">
      <w:pPr>
        <w:pStyle w:val="ReferenceDocuments"/>
      </w:pPr>
      <w:bookmarkStart w:id="462" w:name="WOTTD"/>
      <w:r>
        <w:t xml:space="preserve">W3C WoT Thing Description 1.1, Web of Things (WoT) Thing Description 1.1</w:t>
      </w:r>
      <w:bookmarkEnd w:id="462"/>
    </w:p>
    <w:p w14:paraId="61C386CB">
      <w:pPr>
        <w:pStyle w:val="ReferenceDocuments"/>
      </w:pPr>
      <w:r>
        <w:t xml:space="preserve">https://www.w3.org/TR/wot-thing-description11/</w:t>
      </w:r>
    </w:p>
    <w:p w14:paraId="58B11B66">
      <w:pPr>
        <w:pStyle w:val="ReferenceDocuments"/>
      </w:pPr>
      <w:bookmarkStart w:id="463" w:name="WOTBT"/>
      <w:r>
        <w:t xml:space="preserve">W3C WoT Binding Templates, Web of Things (WoT) Binding Templates</w:t>
      </w:r>
      <w:bookmarkEnd w:id="463"/>
    </w:p>
    <w:p w14:paraId="2762F49E">
      <w:pPr>
        <w:pStyle w:val="ReferenceDocuments"/>
      </w:pPr>
      <w:r>
        <w:t xml:space="preserve">https://www.w3.org/TR/wot-binding-templates/</w:t>
      </w:r>
    </w:p>
    <w:p w14:paraId="0558FD16">
      <w:pPr>
        <w:pStyle w:val="ReferenceDocuments"/>
      </w:pPr>
      <w:bookmarkStart w:id="464" w:name="JSONLD"/>
      <w:r>
        <w:t xml:space="preserve">W3C JSON-LD 1.1, JSON-LD 1.1, A JSON-based Serialization for Linked Data</w:t>
      </w:r>
      <w:bookmarkEnd w:id="464"/>
    </w:p>
    <w:p w14:paraId="38327004">
      <w:pPr>
        <w:pStyle w:val="ReferenceDocuments"/>
      </w:pPr>
      <w:r>
        <w:t xml:space="preserve">https://www.w3.org/TR/json-ld11/</w:t>
      </w:r>
    </w:p>
    <w:p w14:paraId="10CFF50A">
      <w:pPr>
        <w:pStyle w:val="ReferenceDocuments"/>
      </w:pPr>
      <w:bookmarkStart w:id="465" w:name="JSONSCHEMA"/>
      <w:r>
        <w:t xml:space="preserve">JSON Schema 2020-12, JSON Schema, A Media Type for Describing JSON Documents</w:t>
      </w:r>
      <w:bookmarkEnd w:id="465"/>
    </w:p>
    <w:p w14:paraId="133AEB9C">
      <w:pPr>
        <w:pStyle w:val="ReferenceDocuments"/>
      </w:pPr>
      <w:r>
        <w:t xml:space="preserve">https://json-schema.org/specification</w:t>
      </w:r>
    </w:p>
    <w:p w14:paraId="7BE15FFD" w14:textId="77777777" w:rsidR="00F95EC5" w:rsidRPr="00EC120D" w:rsidRDefault="00F95EC5" w:rsidP="00F95EC5">
      <w:pPr>
        <w:pStyle w:val="Heading1"/>
      </w:pPr>
      <w:bookmarkStart w:id="466" w:name="_Clause_c3"/>
      <w:bookmarkStart w:id="52" w:name="_Toc355080567"/>
      <w:bookmarkStart w:id="53" w:name="_Toc358798314"/>
      <w:bookmarkStart w:id="54" w:name="_Toc358802872"/>
      <w:bookmarkStart w:id="55" w:name="_Toc358803013"/>
      <w:bookmarkStart w:id="56" w:name="_Toc359335759"/>
      <w:bookmarkStart w:id="57" w:name="_Toc184116963"/>
      <w:r w:rsidRPr="00EC120D">
        <w:t>Terms</w:t>
      </w:r>
      <w:r w:rsidR="00B419D5" w:rsidRPr="00EC120D">
        <w:t>, abbreviated terms</w:t>
      </w:r>
      <w:r w:rsidRPr="00EC120D">
        <w:t xml:space="preserve"> and </w:t>
      </w:r>
      <w:bookmarkEnd w:id="52"/>
      <w:bookmarkEnd w:id="53"/>
      <w:bookmarkEnd w:id="54"/>
      <w:bookmarkEnd w:id="55"/>
      <w:bookmarkEnd w:id="56"/>
      <w:r w:rsidR="00B419D5" w:rsidRPr="00EC120D">
        <w:t>conventions</w:t>
      </w:r>
      <w:bookmarkEnd w:id="57"/>
      <w:bookmarkEnd w:id="466"/>
    </w:p>
    <w:p w14:paraId="102C7103" w14:textId="77777777" w:rsidR="002A08F9" w:rsidRPr="00EC120D" w:rsidRDefault="002A08F9" w:rsidP="002A08F9">
      <w:pPr>
        <w:pStyle w:val="Heading2"/>
        <w:ind w:left="0" w:firstLine="0"/>
      </w:pPr>
      <w:bookmarkStart w:id="467" w:name="_Clause_c3_1"/>
      <w:bookmarkStart w:id="58" w:name="_Toc184116964"/>
      <w:r w:rsidRPr="00EC120D">
        <w:t>Overview</w:t>
      </w:r>
      <w:bookmarkEnd w:id="58"/>
      <w:bookmarkEnd w:id="467"/>
    </w:p>
    <w:p w14:paraId="40F7B99A" w14:textId="3BD15142" w:rsidR="00E12745" w:rsidRDefault="002A08F9" w:rsidP="00121B8E">
      <w:pPr>
        <w:pStyle w:val="Heading2"/>
        <w:ind w:left="0" w:firstLine="0"/>
      </w:pPr>
      <w:bookmarkStart w:id="468" w:name="_Clause_c3_2"/>
      <w:bookmarkStart w:id="59" w:name="_Toc288045462"/>
      <w:bookmarkStart w:id="60" w:name="_Toc293994199"/>
      <w:bookmarkStart w:id="61" w:name="_Toc349863207"/>
      <w:bookmarkStart w:id="62" w:name="_Toc464635421"/>
      <w:bookmarkStart w:id="63" w:name="_Toc463790999"/>
      <w:bookmarkStart w:id="64" w:name="_Toc29911961"/>
      <w:bookmarkStart w:id="65" w:name="_Toc184116965"/>
      <w:r w:rsidRPr="00EC120D">
        <w:t xml:space="preserve">WoT Binding terms</w:t>
      </w:r>
      <w:bookmarkEnd w:id="59"/>
      <w:bookmarkEnd w:id="60"/>
      <w:r w:rsidRPr="00EC120D">
        <w:t xml:space="preserve"/>
      </w:r>
      <w:r w:rsidRPr="00EC120D">
        <w:rPr>
          <w:color w:val="FF0000"/>
        </w:rPr>
        <w:t/>
      </w:r>
      <w:r w:rsidRPr="00EC120D">
        <w:t xml:space="preserve"/>
      </w:r>
      <w:bookmarkEnd w:id="61"/>
      <w:bookmarkEnd w:id="62"/>
      <w:bookmarkEnd w:id="63"/>
      <w:bookmarkEnd w:id="64"/>
      <w:bookmarkEnd w:id="65"/>
      <w:bookmarkEnd w:id="468"/>
    </w:p>
    <w:p w14:paraId="196CFA4B">
      <w:pPr>
        <w:pStyle w:val="PARAGRAPH"/>
      </w:pPr>
      <w:r>
        <w:t xml:space="preserve">It is assumed that basic concepts of OPC UA information modelling and of WoT Binding are understood in this document. This document uses these concepts to describe the WoT Binding Information Model. For the purposes of this document, the terms and definitions given in OPC 10000-1, OPC 10000-3, OPC 10000-4, OPC 10000-5 and OPC 10000-7, as well as the following, apply.</w:t>
      </w:r>
    </w:p>
    <w:p w14:paraId="69788417">
      <w:pPr>
        <w:pStyle w:val="PARAGRAPH"/>
      </w:pPr>
      <w:r>
        <w:t xml:space="preserve">OPC UA terms and terms defined in this document are italicized in the document.</w:t>
      </w:r>
    </w:p>
    <w:p w14:paraId="31A61335" w14:textId="77777777" w:rsidR="005444A2" w:rsidRPr="00EC120D" w:rsidRDefault="005444A2" w:rsidP="005444A2">
      <w:pPr>
        <w:pStyle w:val="Heading2"/>
        <w:ind w:left="0" w:firstLine="0"/>
      </w:pPr>
      <w:bookmarkStart w:id="469" w:name="_Clause_c3_3"/>
      <w:bookmarkStart w:id="83" w:name="_Toc184116966"/>
      <w:r w:rsidRPr="00EC120D">
        <w:t>Abbreviated terms</w:t>
      </w:r>
      <w:bookmarkEnd w:id="66"/>
      <w:bookmarkEnd w:id="67"/>
      <w:bookmarkEnd w:id="68"/>
      <w:bookmarkEnd w:id="69"/>
      <w:bookmarkEnd w:id="70"/>
      <w:bookmarkEnd w:id="71"/>
      <w:bookmarkEnd w:id="72"/>
      <w:bookmarkEnd w:id="73"/>
      <w:bookmarkEnd w:id="74"/>
      <w:bookmarkEnd w:id="75"/>
      <w:bookmarkEnd w:id="76"/>
      <w:bookmarkEnd w:id="77"/>
      <w:bookmarkEnd w:id="83"/>
      <w:bookmarkEnd w:id="469"/>
    </w:p>
    <w:p w14:paraId="30B0FC23">
      <w:pPr>
        <w:pStyle w:val="TERM-number3"/>
      </w:pPr>
    </w:p>
    <w:p w14:paraId="6EF1C03A">
      <w:pPr>
        <w:pStyle w:val="TERM"/>
      </w:pPr>
      <w:r>
        <w:t xml:space="preserve">TD</w:t>
      </w:r>
    </w:p>
    <w:p w14:paraId="5880342A">
      <w:pPr>
        <w:pStyle w:val="TERM-definition"/>
      </w:pPr>
      <w:r>
        <w:t xml:space="preserve">Thing Description, the description of a concrete Thing (an OPC UA Object or an OPC UA Server interface).</w:t>
      </w:r>
    </w:p>
    <w:p w14:paraId="1A1C8A53">
      <w:pPr>
        <w:pStyle w:val="TERM-number3"/>
      </w:pPr>
    </w:p>
    <w:p w14:paraId="53BE9611">
      <w:pPr>
        <w:pStyle w:val="TERM"/>
      </w:pPr>
      <w:r>
        <w:t xml:space="preserve">TM</w:t>
      </w:r>
    </w:p>
    <w:p w14:paraId="29849280">
      <w:pPr>
        <w:pStyle w:val="TERM-definition"/>
      </w:pPr>
      <w:r>
        <w:t xml:space="preserve">Thing Model, a reusable, class-level template (an OPC UA ObjectType or VariableType).</w:t>
      </w:r>
    </w:p>
    <w:p w14:paraId="0015EC7F">
      <w:pPr>
        <w:pStyle w:val="TERM-number3"/>
      </w:pPr>
    </w:p>
    <w:p w14:paraId="3A21BEEC">
      <w:pPr>
        <w:pStyle w:val="TERM"/>
      </w:pPr>
      <w:r>
        <w:t xml:space="preserve">NodeSet2</w:t>
      </w:r>
    </w:p>
    <w:p w14:paraId="267823F6">
      <w:pPr>
        <w:pStyle w:val="TERM-definition"/>
      </w:pPr>
      <w:r>
        <w:t xml:space="preserve">the XML serialization of an OPC UA information model defined by OPC 10000-6.</w:t>
      </w:r>
    </w:p>
    <w:p w14:paraId="444B922C" w14:textId="77777777" w:rsidR="005444A2" w:rsidRPr="00EC120D" w:rsidRDefault="005444A2" w:rsidP="005444A2">
      <w:pPr>
        <w:pStyle w:val="Heading2"/>
        <w:ind w:left="0" w:firstLine="0"/>
      </w:pPr>
      <w:bookmarkStart w:id="470" w:name="_Clause_c3_4"/>
      <w:bookmarkStart w:id="87" w:name="_Toc184116967"/>
      <w:r w:rsidRPr="00EC120D">
        <w:t>Conventions used in this document</w:t>
      </w:r>
      <w:bookmarkEnd w:id="84"/>
      <w:bookmarkEnd w:id="85"/>
      <w:bookmarkEnd w:id="86"/>
      <w:bookmarkEnd w:id="87"/>
      <w:bookmarkEnd w:id="470"/>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88" w:name="_Toc442691840"/>
      <w:bookmarkStart w:id="89" w:name="_Toc29911964"/>
      <w:bookmarkStart w:id="90" w:name="_Ref55124069"/>
      <w:bookmarkStart w:id="91" w:name="_Ref55124139"/>
      <w:bookmarkStart w:id="92" w:name="_Toc184116968"/>
      <w:r w:rsidRPr="00EC120D">
        <w:t>Conventions for Node descriptions</w:t>
      </w:r>
      <w:bookmarkEnd w:id="88"/>
      <w:bookmarkEnd w:id="89"/>
      <w:bookmarkEnd w:id="90"/>
      <w:bookmarkEnd w:id="91"/>
      <w:bookmarkEnd w:id="92"/>
    </w:p>
    <w:p w14:paraId="0C7E7D3B" w14:textId="6474AB85" w:rsidR="00576AC5" w:rsidRPr="00EC120D" w:rsidRDefault="00576AC5" w:rsidP="00576AC5">
      <w:pPr>
        <w:pStyle w:val="Heading4"/>
        <w:ind w:left="0" w:firstLine="0"/>
      </w:pPr>
      <w:bookmarkStart w:id="93" w:name="_Ref85019277"/>
      <w:r w:rsidRPr="00EC120D">
        <w:t>Node</w:t>
      </w:r>
      <w:r w:rsidR="008C280F" w:rsidRPr="00EC120D">
        <w:t xml:space="preserve"> definition</w:t>
      </w:r>
      <w:r w:rsidRPr="00EC120D">
        <w:t>s</w:t>
      </w:r>
      <w:bookmarkEnd w:id="93"/>
    </w:p>
    <w:p w14:paraId="12CA7E9B" w14:textId="43DA4E15"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79147C" w:rsidRPr="00667BCF">
        <w:t xml:space="preserve">Table </w:t>
      </w:r>
      <w:r w:rsidR="0079147C">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proofErr w:type="spellStart"/>
      <w:r w:rsidRPr="00EC120D">
        <w:rPr>
          <w:i/>
        </w:rPr>
        <w:t>ReferenceType</w:t>
      </w:r>
      <w:proofErr w:type="spellEnd"/>
      <w:r w:rsidRPr="00EC120D">
        <w:t xml:space="preserve"> name, the </w:t>
      </w:r>
      <w:proofErr w:type="spellStart"/>
      <w:r w:rsidRPr="00EC120D">
        <w:rPr>
          <w:i/>
        </w:rPr>
        <w:t>BrowseName</w:t>
      </w:r>
      <w:proofErr w:type="spellEnd"/>
      <w:r w:rsidRPr="00EC120D">
        <w:t xml:space="preserve"> of the </w:t>
      </w:r>
      <w:proofErr w:type="spellStart"/>
      <w:r w:rsidRPr="00EC120D">
        <w:rPr>
          <w:i/>
        </w:rPr>
        <w:t>TargetNode</w:t>
      </w:r>
      <w:proofErr w:type="spellEnd"/>
      <w:r w:rsidRPr="00EC120D">
        <w:t xml:space="preserve"> and its </w:t>
      </w:r>
      <w:proofErr w:type="spellStart"/>
      <w:r w:rsidRPr="00EC120D">
        <w:rPr>
          <w:i/>
        </w:rPr>
        <w:t>NodeClass</w:t>
      </w:r>
      <w:proofErr w:type="spellEnd"/>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proofErr w:type="spellStart"/>
      <w:r w:rsidRPr="00EC120D">
        <w:rPr>
          <w:i/>
        </w:rPr>
        <w:t>TargetNode</w:t>
      </w:r>
      <w:proofErr w:type="spellEnd"/>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613AEED7"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rPr>
          <w:i/>
        </w:rPr>
        <w:t>DataType</w:t>
      </w:r>
      <w:proofErr w:type="spellEnd"/>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proofErr w:type="spellStart"/>
      <w:r w:rsidRPr="00EC120D">
        <w:rPr>
          <w:i/>
        </w:rPr>
        <w:t>ArrayDimensions</w:t>
      </w:r>
      <w:proofErr w:type="spellEnd"/>
      <w:r w:rsidRPr="00EC120D">
        <w:t xml:space="preserve"> is set as identified by &lt;number&gt; values. If no &lt;number&gt; is set, the corresponding dimension is set to 0, indicating an unknown size. If no number is provided at all the </w:t>
      </w:r>
      <w:proofErr w:type="spellStart"/>
      <w:r w:rsidRPr="00EC120D">
        <w:rPr>
          <w:i/>
        </w:rPr>
        <w:t>ArrayDimensions</w:t>
      </w:r>
      <w:proofErr w:type="spellEnd"/>
      <w:r w:rsidRPr="00EC120D">
        <w:t xml:space="preserve"> can be omitted. If no brackets are provided, it identifies a scalar </w:t>
      </w:r>
      <w:proofErr w:type="spellStart"/>
      <w:r w:rsidRPr="00EC120D">
        <w:rPr>
          <w:i/>
        </w:rPr>
        <w:t>DataType</w:t>
      </w:r>
      <w:proofErr w:type="spellEnd"/>
      <w:r w:rsidRPr="00EC120D">
        <w:t xml:space="preserve"> and the </w:t>
      </w:r>
      <w:proofErr w:type="spellStart"/>
      <w:r w:rsidRPr="00EC120D">
        <w:rPr>
          <w:i/>
        </w:rPr>
        <w:t>ValueRank</w:t>
      </w:r>
      <w:proofErr w:type="spellEnd"/>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79147C" w:rsidRPr="0079147C">
        <w:rPr>
          <w:bCs/>
        </w:rPr>
        <w:t>OPC</w:t>
      </w:r>
      <w:r w:rsidR="0079147C" w:rsidRPr="00EC120D">
        <w:t xml:space="preserve"> 10000-3</w:t>
      </w:r>
      <w:r w:rsidRPr="00EC120D">
        <w:fldChar w:fldCharType="end"/>
      </w:r>
      <w:r w:rsidRPr="00EC120D">
        <w:t xml:space="preserve">). In addition, </w:t>
      </w:r>
      <w:proofErr w:type="spellStart"/>
      <w:r w:rsidRPr="00EC120D">
        <w:rPr>
          <w:i/>
        </w:rPr>
        <w:t>ArrayDimensions</w:t>
      </w:r>
      <w:proofErr w:type="spellEnd"/>
      <w:r w:rsidRPr="00667BCF">
        <w:t xml:space="preserve"> is set to null or is omitted. If it can be Any or </w:t>
      </w:r>
      <w:proofErr w:type="spellStart"/>
      <w:r w:rsidRPr="00EC120D">
        <w:rPr>
          <w:i/>
          <w:iCs/>
        </w:rPr>
        <w:t>ScalarOrOneDimension</w:t>
      </w:r>
      <w:proofErr w:type="spellEnd"/>
      <w:r w:rsidRPr="00EC120D">
        <w:t>, the value is put into “{&lt;value&gt;}”, so either “{Any}” or “{</w:t>
      </w:r>
      <w:proofErr w:type="spellStart"/>
      <w:r w:rsidRPr="00EC120D">
        <w:rPr>
          <w:i/>
          <w:iCs/>
        </w:rPr>
        <w:t>ScalarOrOneDimension</w:t>
      </w:r>
      <w:proofErr w:type="spellEnd"/>
      <w:r w:rsidRPr="00EC120D">
        <w:t xml:space="preserve">}” and the </w:t>
      </w:r>
      <w:proofErr w:type="spellStart"/>
      <w:r w:rsidRPr="00EC120D">
        <w:rPr>
          <w:i/>
        </w:rPr>
        <w:t>ValueRank</w:t>
      </w:r>
      <w:proofErr w:type="spellEnd"/>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79147C" w:rsidRPr="0079147C">
        <w:rPr>
          <w:bCs/>
        </w:rPr>
        <w:t>OPC</w:t>
      </w:r>
      <w:r w:rsidR="0079147C" w:rsidRPr="00EC120D">
        <w:t xml:space="preserve"> 10000-3</w:t>
      </w:r>
      <w:r w:rsidRPr="00EC120D">
        <w:fldChar w:fldCharType="end"/>
      </w:r>
      <w:r w:rsidRPr="00EC120D">
        <w:t xml:space="preserve">) and the </w:t>
      </w:r>
      <w:proofErr w:type="spellStart"/>
      <w:r w:rsidRPr="00EC120D">
        <w:rPr>
          <w:i/>
        </w:rPr>
        <w:t>ArrayDimensions</w:t>
      </w:r>
      <w:proofErr w:type="spellEnd"/>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79147C" w:rsidRPr="00667BCF">
        <w:t xml:space="preserve">Table </w:t>
      </w:r>
      <w:r w:rsidR="0079147C">
        <w:rPr>
          <w:noProof/>
        </w:rPr>
        <w:t>1</w:t>
      </w:r>
      <w:r w:rsidRPr="00EC120D">
        <w:fldChar w:fldCharType="end"/>
      </w:r>
      <w:r w:rsidRPr="00EC120D">
        <w:t>.</w:t>
      </w:r>
    </w:p>
    <w:p w14:paraId="3483B7AE" w14:textId="359F5A56" w:rsidR="005444A2" w:rsidRPr="00EC120D" w:rsidRDefault="005444A2" w:rsidP="005444A2">
      <w:pPr>
        <w:pStyle w:val="TABLE-title"/>
      </w:pPr>
      <w:bookmarkStart w:id="94" w:name="_Ref499807960"/>
      <w:bookmarkStart w:id="95" w:name="_Toc265516742"/>
      <w:bookmarkStart w:id="96" w:name="_Toc332195658"/>
      <w:bookmarkStart w:id="97" w:name="_Toc499116097"/>
      <w:bookmarkStart w:id="98" w:name="_Toc34394280"/>
      <w:bookmarkStart w:id="99" w:name="_Toc184117019"/>
      <w:r w:rsidRPr="00667BCF">
        <w:lastRenderedPageBreak/>
        <w:t xml:space="preserve">Table </w:t>
      </w:r>
      <w:r w:rsidRPr="004C388A">
        <w:fldChar w:fldCharType="begin"/>
      </w:r>
      <w:r w:rsidRPr="004C388A">
        <w:instrText xml:space="preserve"> SEQ Table \* ARABIC </w:instrText>
      </w:r>
      <w:r w:rsidRPr="004C388A">
        <w:fldChar w:fldCharType="separate"/>
      </w:r>
      <w:r w:rsidR="0079147C">
        <w:rPr>
          <w:noProof/>
        </w:rPr>
        <w:t>1</w:t>
      </w:r>
      <w:r w:rsidRPr="004C388A">
        <w:fldChar w:fldCharType="end"/>
      </w:r>
      <w:bookmarkEnd w:id="94"/>
      <w:r w:rsidRPr="00EC120D">
        <w:t xml:space="preserve"> – Examples of </w:t>
      </w:r>
      <w:proofErr w:type="spellStart"/>
      <w:r w:rsidRPr="00EC120D">
        <w:t>DataTypes</w:t>
      </w:r>
      <w:bookmarkEnd w:id="95"/>
      <w:bookmarkEnd w:id="96"/>
      <w:bookmarkEnd w:id="97"/>
      <w:bookmarkEnd w:id="98"/>
      <w:bookmarkEnd w:id="99"/>
      <w:proofErr w:type="spellEnd"/>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proofErr w:type="spellStart"/>
            <w:r w:rsidRPr="004C388A">
              <w:rPr>
                <w:b/>
                <w:lang w:val="en-GB"/>
              </w:rPr>
              <w:t>Data</w:t>
            </w:r>
            <w:r w:rsidRPr="004C388A">
              <w:rPr>
                <w:b/>
                <w:lang w:val="en-GB"/>
              </w:rPr>
              <w:softHyphen/>
              <w:t>Type</w:t>
            </w:r>
            <w:proofErr w:type="spellEnd"/>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proofErr w:type="spellStart"/>
            <w:r w:rsidRPr="004C388A">
              <w:rPr>
                <w:b/>
                <w:lang w:val="en-GB"/>
              </w:rPr>
              <w:t>Value</w:t>
            </w:r>
            <w:r w:rsidRPr="004C388A">
              <w:rPr>
                <w:b/>
                <w:lang w:val="en-GB"/>
              </w:rPr>
              <w:softHyphen/>
              <w:t>Rank</w:t>
            </w:r>
            <w:proofErr w:type="spellEnd"/>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proofErr w:type="spellStart"/>
            <w:r w:rsidRPr="004C388A">
              <w:rPr>
                <w:b/>
                <w:lang w:val="en-GB"/>
              </w:rPr>
              <w:t>Array</w:t>
            </w:r>
            <w:r w:rsidRPr="004C388A">
              <w:rPr>
                <w:b/>
                <w:lang w:val="en-GB"/>
              </w:rPr>
              <w:softHyphen/>
              <w:t>Dimensions</w:t>
            </w:r>
            <w:proofErr w:type="spellEnd"/>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w:t>
            </w:r>
            <w:proofErr w:type="spellStart"/>
            <w:r w:rsidRPr="00716514">
              <w:rPr>
                <w:lang w:val="en-GB"/>
              </w:rPr>
              <w:t>OneOrMoreDimensions</w:t>
            </w:r>
            <w:proofErr w:type="spellEnd"/>
            <w:r w:rsidRPr="00716514">
              <w:rPr>
                <w:lang w:val="en-GB"/>
              </w:rPr>
              <w:t>}</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w:t>
            </w:r>
            <w:proofErr w:type="spellStart"/>
            <w:r w:rsidRPr="004C388A">
              <w:rPr>
                <w:lang w:val="en-GB"/>
              </w:rPr>
              <w:t>ScalarOrOneDimension</w:t>
            </w:r>
            <w:proofErr w:type="spellEnd"/>
            <w:r w:rsidRPr="004C388A">
              <w:rPr>
                <w:lang w:val="en-GB"/>
              </w:rPr>
              <w:t>}</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t>TypeDefinition</w:t>
      </w:r>
      <w:proofErr w:type="spellEnd"/>
      <w:r w:rsidRPr="00EC120D">
        <w:t xml:space="preserve">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t>TypeDefinition</w:t>
      </w:r>
      <w:proofErr w:type="spellEnd"/>
      <w:r w:rsidRPr="00EC120D">
        <w:t xml:space="preserve"> column specifies a symbolic name for a </w:t>
      </w:r>
      <w:proofErr w:type="spellStart"/>
      <w:r w:rsidRPr="00EC120D">
        <w:rPr>
          <w:i/>
        </w:rPr>
        <w:t>NodeId</w:t>
      </w:r>
      <w:proofErr w:type="spellEnd"/>
      <w:r w:rsidRPr="00EC120D">
        <w:t xml:space="preserve">, </w:t>
      </w:r>
      <w:r w:rsidR="006A031E" w:rsidRPr="00EC120D">
        <w:t>i.e.,</w:t>
      </w:r>
      <w:r w:rsidRPr="00EC120D">
        <w:t xml:space="preserve"> the specified </w:t>
      </w:r>
      <w:r w:rsidRPr="00EC120D">
        <w:rPr>
          <w:i/>
        </w:rPr>
        <w:t>Node</w:t>
      </w:r>
      <w:r w:rsidRPr="00EC120D">
        <w:t xml:space="preserve"> points with a </w:t>
      </w:r>
      <w:proofErr w:type="spellStart"/>
      <w:r w:rsidRPr="00EC120D">
        <w:rPr>
          <w:i/>
        </w:rPr>
        <w:t>HasTypeDefinition</w:t>
      </w:r>
      <w:proofErr w:type="spellEnd"/>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rPr>
          <w:i/>
        </w:rPr>
        <w:t>ModellingRule</w:t>
      </w:r>
      <w:proofErr w:type="spellEnd"/>
      <w:r w:rsidRPr="00EC120D">
        <w:t xml:space="preserve"> of the referenced component is provided by specifying the symbolic name of the rule in the </w:t>
      </w:r>
      <w:proofErr w:type="spellStart"/>
      <w:r w:rsidRPr="00EC120D">
        <w:rPr>
          <w:i/>
        </w:rPr>
        <w:t>ModellingRule</w:t>
      </w:r>
      <w:proofErr w:type="spellEnd"/>
      <w:r w:rsidRPr="00EC120D">
        <w:t xml:space="preserve"> column. In the </w:t>
      </w:r>
      <w:proofErr w:type="spellStart"/>
      <w:r w:rsidRPr="00EC120D">
        <w:rPr>
          <w:i/>
        </w:rPr>
        <w:t>AddressSpace</w:t>
      </w:r>
      <w:proofErr w:type="spellEnd"/>
      <w:r w:rsidRPr="00EC120D">
        <w:t xml:space="preserve">, the </w:t>
      </w:r>
      <w:r w:rsidRPr="00EC120D">
        <w:rPr>
          <w:i/>
        </w:rPr>
        <w:t>Node</w:t>
      </w:r>
      <w:r w:rsidRPr="00EC120D">
        <w:t xml:space="preserve"> shall use a </w:t>
      </w:r>
      <w:proofErr w:type="spellStart"/>
      <w:r w:rsidRPr="00EC120D">
        <w:rPr>
          <w:i/>
        </w:rPr>
        <w:t>HasModellingRule</w:t>
      </w:r>
      <w:proofErr w:type="spellEnd"/>
      <w:r w:rsidRPr="00EC120D">
        <w:t xml:space="preserve"> </w:t>
      </w:r>
      <w:r w:rsidRPr="00EC120D">
        <w:rPr>
          <w:i/>
        </w:rPr>
        <w:t>Reference</w:t>
      </w:r>
      <w:r w:rsidRPr="00EC120D">
        <w:t xml:space="preserve"> to point to the corresponding </w:t>
      </w:r>
      <w:proofErr w:type="spellStart"/>
      <w:r w:rsidRPr="00EC120D">
        <w:rPr>
          <w:i/>
        </w:rPr>
        <w:t>ModellingRule</w:t>
      </w:r>
      <w:proofErr w:type="spellEnd"/>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proofErr w:type="spellStart"/>
      <w:r w:rsidRPr="00EC120D">
        <w:rPr>
          <w:i/>
        </w:rPr>
        <w:t>NodeId</w:t>
      </w:r>
      <w:proofErr w:type="spellEnd"/>
      <w:r w:rsidRPr="00EC120D">
        <w:t xml:space="preserve"> of a </w:t>
      </w:r>
      <w:proofErr w:type="spellStart"/>
      <w:r w:rsidRPr="00EC120D">
        <w:rPr>
          <w:i/>
        </w:rPr>
        <w:t>DataType</w:t>
      </w:r>
      <w:proofErr w:type="spellEnd"/>
      <w:r w:rsidRPr="00EC120D">
        <w:t xml:space="preserve"> is provided, the symbolic name of the </w:t>
      </w:r>
      <w:r w:rsidRPr="00EC120D">
        <w:rPr>
          <w:i/>
        </w:rPr>
        <w:t>Node</w:t>
      </w:r>
      <w:r w:rsidRPr="00EC120D">
        <w:t xml:space="preserve"> representing the </w:t>
      </w:r>
      <w:proofErr w:type="spellStart"/>
      <w:r w:rsidRPr="00EC120D">
        <w:rPr>
          <w:i/>
        </w:rPr>
        <w:t>DataType</w:t>
      </w:r>
      <w:proofErr w:type="spellEnd"/>
      <w:r w:rsidRPr="00EC120D">
        <w:t xml:space="preserve"> shall be used. </w:t>
      </w:r>
    </w:p>
    <w:p w14:paraId="61ECBDF9" w14:textId="1B2D05BF" w:rsidR="005444A2" w:rsidRPr="00EC120D" w:rsidRDefault="005444A2" w:rsidP="005444A2">
      <w:pPr>
        <w:pStyle w:val="PARAGRAPH"/>
      </w:pPr>
      <w:r w:rsidRPr="00EC120D">
        <w:t xml:space="preserve">Note that if a symbolic name of a different namespace is used, it is prefixed by the </w:t>
      </w:r>
      <w:proofErr w:type="spellStart"/>
      <w:r w:rsidRPr="00EC120D">
        <w:rPr>
          <w:i/>
          <w:iCs/>
        </w:rPr>
        <w:t>NamespaceIndex</w:t>
      </w:r>
      <w:proofErr w:type="spellEnd"/>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79147C">
        <w:t>3.4.2.2</w:t>
      </w:r>
      <w:r w:rsidR="00DF2C8F" w:rsidRPr="00EC120D">
        <w:fldChar w:fldCharType="end"/>
      </w:r>
      <w:r w:rsidRPr="00EC120D">
        <w:t>).</w:t>
      </w:r>
    </w:p>
    <w:p w14:paraId="1E0AA45C" w14:textId="3DE85A45" w:rsidR="005444A2" w:rsidRPr="00705D58" w:rsidRDefault="005444A2" w:rsidP="005444A2">
      <w:pPr>
        <w:pStyle w:val="PARAGRAPH"/>
      </w:pPr>
      <w:r w:rsidRPr="00EC120D">
        <w:rPr>
          <w:i/>
        </w:rPr>
        <w:t>Nodes</w:t>
      </w:r>
      <w:r w:rsidRPr="00EC120D">
        <w:t xml:space="preserve"> of all other </w:t>
      </w:r>
      <w:proofErr w:type="spellStart"/>
      <w:r w:rsidRPr="00EC120D">
        <w:rPr>
          <w:i/>
        </w:rPr>
        <w:t>NodeClasses</w:t>
      </w:r>
      <w:proofErr w:type="spellEnd"/>
      <w:r w:rsidRPr="00EC120D">
        <w:t xml:space="preserve"> cannot be defined in the same table; therefore, only the used </w:t>
      </w:r>
      <w:proofErr w:type="spellStart"/>
      <w:r w:rsidRPr="00EC120D">
        <w:rPr>
          <w:i/>
        </w:rPr>
        <w:t>ReferenceType</w:t>
      </w:r>
      <w:proofErr w:type="spellEnd"/>
      <w:r w:rsidRPr="00EC120D">
        <w:t xml:space="preserve">, their </w:t>
      </w:r>
      <w:proofErr w:type="spellStart"/>
      <w:r w:rsidRPr="00EC120D">
        <w:rPr>
          <w:i/>
        </w:rPr>
        <w:t>NodeClass</w:t>
      </w:r>
      <w:proofErr w:type="spellEnd"/>
      <w:r w:rsidRPr="00EC120D">
        <w:t xml:space="preserve"> and their </w:t>
      </w:r>
      <w:proofErr w:type="spellStart"/>
      <w:r w:rsidRPr="00EC120D">
        <w:rPr>
          <w:i/>
        </w:rPr>
        <w:t>BrowseName</w:t>
      </w:r>
      <w:proofErr w:type="spellEnd"/>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79147C" w:rsidRPr="00667BCF">
        <w:t xml:space="preserve">Table </w:t>
      </w:r>
      <w:r w:rsidR="0079147C">
        <w:rPr>
          <w:noProof/>
        </w:rPr>
        <w:t>2</w:t>
      </w:r>
      <w:r w:rsidR="00735D65">
        <w:fldChar w:fldCharType="end"/>
      </w:r>
      <w:r w:rsidRPr="00EC120D">
        <w:t xml:space="preserve"> illustrates the table. If no components are provided, the </w:t>
      </w:r>
      <w:proofErr w:type="spellStart"/>
      <w:r w:rsidRPr="00EC120D">
        <w:t>DataType</w:t>
      </w:r>
      <w:proofErr w:type="spellEnd"/>
      <w:r w:rsidRPr="00EC120D">
        <w:t xml:space="preserve">, </w:t>
      </w:r>
      <w:proofErr w:type="spellStart"/>
      <w:r w:rsidRPr="00EC120D">
        <w:t>TypeDefinition</w:t>
      </w:r>
      <w:proofErr w:type="spellEnd"/>
      <w:r w:rsidRPr="00EC120D">
        <w:t xml:space="preserve">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1FF4E6BF"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proofErr w:type="spellStart"/>
      <w:r w:rsidRPr="0074256B">
        <w:rPr>
          <w:rFonts w:eastAsia="MS Mincho"/>
          <w:i/>
          <w:iCs/>
        </w:rPr>
        <w:t>ConformanceUnits</w:t>
      </w:r>
      <w:proofErr w:type="spellEnd"/>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79147C">
        <w:rPr>
          <w:rFonts w:eastAsia="MS Mincho"/>
        </w:rPr>
        <w:t>0</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proofErr w:type="spellStart"/>
      <w:r w:rsidRPr="0074256B">
        <w:rPr>
          <w:rFonts w:eastAsia="MS Mincho"/>
          <w:i/>
          <w:iCs/>
        </w:rPr>
        <w:t>AddressSpace</w:t>
      </w:r>
      <w:proofErr w:type="spellEnd"/>
      <w:r w:rsidRPr="0074256B">
        <w:rPr>
          <w:rFonts w:eastAsia="MS Mincho"/>
        </w:rPr>
        <w:t xml:space="preserve">. </w:t>
      </w:r>
    </w:p>
    <w:p w14:paraId="6C3E5E2B" w14:textId="4684B07D"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proofErr w:type="spellStart"/>
      <w:r w:rsidRPr="00EC120D">
        <w:rPr>
          <w:i/>
          <w:iCs/>
        </w:rPr>
        <w:t>ConformanceUnits</w:t>
      </w:r>
      <w:proofErr w:type="spellEnd"/>
      <w:r w:rsidRPr="00EC120D">
        <w:t xml:space="preserve"> are defined at the end of the tables defining </w:t>
      </w:r>
      <w:r w:rsidRPr="00EC120D">
        <w:rPr>
          <w:i/>
          <w:iCs/>
        </w:rPr>
        <w:t>Nodes</w:t>
      </w:r>
      <w:r w:rsidRPr="00EC120D">
        <w:t xml:space="preserve">, one row per </w:t>
      </w:r>
      <w:proofErr w:type="spellStart"/>
      <w:r w:rsidRPr="00EC120D">
        <w:rPr>
          <w:i/>
          <w:iCs/>
        </w:rPr>
        <w:t>ConformanceUnit</w:t>
      </w:r>
      <w:proofErr w:type="spellEnd"/>
      <w:r w:rsidRPr="00EC120D">
        <w:t xml:space="preserve">. The </w:t>
      </w:r>
      <w:proofErr w:type="spellStart"/>
      <w:r w:rsidRPr="00EC120D">
        <w:rPr>
          <w:i/>
          <w:iCs/>
        </w:rPr>
        <w:t>ConformanceUnit</w:t>
      </w:r>
      <w:r w:rsidR="00DA3497">
        <w:rPr>
          <w:i/>
          <w:iCs/>
        </w:rPr>
        <w:t>s</w:t>
      </w:r>
      <w:proofErr w:type="spellEnd"/>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proofErr w:type="spellStart"/>
      <w:r w:rsidRPr="00EC120D">
        <w:rPr>
          <w:i/>
          <w:iCs/>
        </w:rPr>
        <w:t>UANodeSet</w:t>
      </w:r>
      <w:proofErr w:type="spellEnd"/>
      <w:r w:rsidRPr="00EC120D">
        <w:t xml:space="preserve"> (see </w:t>
      </w:r>
      <w:r w:rsidRPr="00EC120D">
        <w:fldChar w:fldCharType="begin"/>
      </w:r>
      <w:r w:rsidRPr="00EC120D">
        <w:instrText xml:space="preserve"> REF UAPart6 \h </w:instrText>
      </w:r>
      <w:r w:rsidRPr="00EC120D">
        <w:fldChar w:fldCharType="separate"/>
      </w:r>
      <w:r w:rsidR="0079147C" w:rsidRPr="004C388A">
        <w:t>OPC 10000-6</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proofErr w:type="spellStart"/>
      <w:r w:rsidR="00CF70FB" w:rsidRPr="0074256B">
        <w:rPr>
          <w:rFonts w:eastAsia="MS Mincho"/>
          <w:i/>
        </w:rPr>
        <w:t>ConformanceUnits</w:t>
      </w:r>
      <w:proofErr w:type="spellEnd"/>
      <w:r w:rsidR="00CF70FB" w:rsidRPr="0074256B">
        <w:rPr>
          <w:rFonts w:eastAsia="MS Mincho"/>
          <w:i/>
        </w:rPr>
        <w:t xml:space="preserve"> </w:t>
      </w:r>
      <w:r w:rsidRPr="0074256B">
        <w:rPr>
          <w:rFonts w:eastAsia="MS Mincho"/>
          <w:i/>
        </w:rPr>
        <w:t>in</w:t>
      </w:r>
      <w:r w:rsidR="00CF70FB" w:rsidRPr="0074256B">
        <w:rPr>
          <w:rFonts w:eastAsia="MS Mincho"/>
          <w:iCs/>
        </w:rPr>
        <w:t xml:space="preserve"> the</w:t>
      </w:r>
      <w:r w:rsidR="00CF70FB" w:rsidRPr="0074256B">
        <w:rPr>
          <w:rFonts w:eastAsia="MS Mincho"/>
          <w:i/>
        </w:rPr>
        <w:t xml:space="preserve"> </w:t>
      </w:r>
      <w:proofErr w:type="spellStart"/>
      <w:r w:rsidR="00CF70FB" w:rsidRPr="0074256B">
        <w:rPr>
          <w:rFonts w:eastAsia="MS Mincho"/>
          <w:i/>
        </w:rPr>
        <w:t>UANodeSet</w:t>
      </w:r>
      <w:proofErr w:type="spellEnd"/>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proofErr w:type="spellStart"/>
      <w:r w:rsidR="007937B3" w:rsidRPr="0074256B">
        <w:rPr>
          <w:rFonts w:eastAsia="MS Mincho"/>
          <w:i/>
        </w:rPr>
        <w:t>ConformanceUnits</w:t>
      </w:r>
      <w:proofErr w:type="spellEnd"/>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proofErr w:type="spellStart"/>
      <w:r w:rsidRPr="0074256B">
        <w:rPr>
          <w:rFonts w:eastAsia="MS Mincho"/>
          <w:i/>
        </w:rPr>
        <w:t>HasTypeDefinition</w:t>
      </w:r>
      <w:proofErr w:type="spellEnd"/>
      <w:r w:rsidRPr="0074256B">
        <w:rPr>
          <w:rFonts w:eastAsia="MS Mincho"/>
          <w:iCs/>
        </w:rPr>
        <w:t xml:space="preserve">, </w:t>
      </w:r>
      <w:proofErr w:type="spellStart"/>
      <w:r w:rsidRPr="0074256B">
        <w:rPr>
          <w:rFonts w:eastAsia="MS Mincho"/>
          <w:i/>
        </w:rPr>
        <w:t>HasInterface</w:t>
      </w:r>
      <w:proofErr w:type="spellEnd"/>
      <w:r w:rsidR="00AE157E" w:rsidRPr="0074256B">
        <w:rPr>
          <w:rFonts w:eastAsia="MS Mincho"/>
          <w:iCs/>
        </w:rPr>
        <w:t xml:space="preserve">, </w:t>
      </w:r>
      <w:proofErr w:type="spellStart"/>
      <w:r w:rsidR="00AE157E" w:rsidRPr="0074256B">
        <w:rPr>
          <w:rFonts w:eastAsia="MS Mincho"/>
          <w:i/>
        </w:rPr>
        <w:t>HasAddIn</w:t>
      </w:r>
      <w:proofErr w:type="spellEnd"/>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proofErr w:type="spellStart"/>
      <w:r w:rsidR="00D7042F" w:rsidRPr="0074256B">
        <w:rPr>
          <w:rFonts w:eastAsia="MS Mincho"/>
          <w:i/>
        </w:rPr>
        <w:t>Hierarchical</w:t>
      </w:r>
      <w:r w:rsidRPr="0074256B">
        <w:rPr>
          <w:rFonts w:eastAsia="MS Mincho"/>
          <w:i/>
        </w:rPr>
        <w:t>Reference</w:t>
      </w:r>
      <w:proofErr w:type="spellEnd"/>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proofErr w:type="spellStart"/>
      <w:r w:rsidR="00AE157E" w:rsidRPr="0074256B">
        <w:rPr>
          <w:rFonts w:eastAsia="MS Mincho"/>
          <w:i/>
        </w:rPr>
        <w:t>HasSub</w:t>
      </w:r>
      <w:r w:rsidR="00460785">
        <w:rPr>
          <w:rFonts w:eastAsia="MS Mincho"/>
          <w:i/>
        </w:rPr>
        <w:t>t</w:t>
      </w:r>
      <w:r w:rsidR="00AE157E" w:rsidRPr="0074256B">
        <w:rPr>
          <w:rFonts w:eastAsia="MS Mincho"/>
          <w:i/>
        </w:rPr>
        <w:t>ype</w:t>
      </w:r>
      <w:proofErr w:type="spellEnd"/>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proofErr w:type="spellStart"/>
      <w:r w:rsidR="007A3447" w:rsidRPr="0074256B">
        <w:rPr>
          <w:rFonts w:eastAsia="MS Mincho"/>
          <w:i/>
        </w:rPr>
        <w:t>VariableTypes</w:t>
      </w:r>
      <w:proofErr w:type="spellEnd"/>
      <w:r w:rsidR="007A3447" w:rsidRPr="0074256B">
        <w:rPr>
          <w:rFonts w:eastAsia="MS Mincho"/>
          <w:iCs/>
        </w:rPr>
        <w:t xml:space="preserve">, the value of the </w:t>
      </w:r>
      <w:proofErr w:type="spellStart"/>
      <w:r w:rsidR="007A3447" w:rsidRPr="0074256B">
        <w:rPr>
          <w:rFonts w:eastAsia="MS Mincho"/>
          <w:i/>
        </w:rPr>
        <w:t>DataType</w:t>
      </w:r>
      <w:proofErr w:type="spellEnd"/>
      <w:r w:rsidR="007A3447" w:rsidRPr="0074256B">
        <w:rPr>
          <w:rFonts w:eastAsia="MS Mincho"/>
          <w:i/>
        </w:rPr>
        <w:t xml:space="preserve"> Attribute</w:t>
      </w:r>
      <w:r w:rsidR="007A3447" w:rsidRPr="0074256B">
        <w:rPr>
          <w:rFonts w:eastAsia="MS Mincho"/>
          <w:iCs/>
        </w:rPr>
        <w:t xml:space="preserve"> is a dependency. For </w:t>
      </w:r>
      <w:proofErr w:type="spellStart"/>
      <w:r w:rsidR="007A3447" w:rsidRPr="0074256B">
        <w:rPr>
          <w:rFonts w:eastAsia="MS Mincho"/>
          <w:i/>
        </w:rPr>
        <w:t>DataType</w:t>
      </w:r>
      <w:proofErr w:type="spellEnd"/>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proofErr w:type="spellStart"/>
      <w:r w:rsidR="007A3447" w:rsidRPr="0074256B">
        <w:rPr>
          <w:rFonts w:eastAsia="MS Mincho"/>
          <w:i/>
        </w:rPr>
        <w:t>DataTypes</w:t>
      </w:r>
      <w:proofErr w:type="spellEnd"/>
      <w:r w:rsidR="007A3447" w:rsidRPr="0074256B">
        <w:rPr>
          <w:rFonts w:eastAsia="MS Mincho"/>
          <w:iCs/>
        </w:rPr>
        <w:t xml:space="preserve"> referenced in the </w:t>
      </w:r>
      <w:proofErr w:type="spellStart"/>
      <w:r w:rsidR="007A3447" w:rsidRPr="0074256B">
        <w:rPr>
          <w:rFonts w:eastAsia="MS Mincho"/>
          <w:i/>
        </w:rPr>
        <w:t>DataTypeDefinition</w:t>
      </w:r>
      <w:proofErr w:type="spellEnd"/>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279327F4"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79147C" w:rsidRPr="004C388A">
        <w:t>OPC 10000-5</w:t>
      </w:r>
      <w:r w:rsidRPr="00EC120D">
        <w:fldChar w:fldCharType="end"/>
      </w:r>
      <w:r w:rsidRPr="00EC120D">
        <w:t>.</w:t>
      </w:r>
    </w:p>
    <w:p w14:paraId="19501552" w14:textId="49190FD1" w:rsidR="005444A2" w:rsidRPr="00EC120D" w:rsidRDefault="005444A2" w:rsidP="005444A2">
      <w:pPr>
        <w:pStyle w:val="TABLE-title"/>
      </w:pPr>
      <w:bookmarkStart w:id="100" w:name="_Ref81297423"/>
      <w:bookmarkStart w:id="101" w:name="_Toc96249405"/>
      <w:bookmarkStart w:id="102" w:name="_Toc199759642"/>
      <w:bookmarkStart w:id="103" w:name="_Toc200441468"/>
      <w:bookmarkStart w:id="104" w:name="_Toc200441835"/>
      <w:bookmarkStart w:id="105" w:name="_Toc200979851"/>
      <w:bookmarkStart w:id="106" w:name="_Toc202695334"/>
      <w:bookmarkStart w:id="107" w:name="_Ref265492156"/>
      <w:bookmarkStart w:id="108" w:name="_Toc265516743"/>
      <w:bookmarkStart w:id="109" w:name="_Toc332195659"/>
      <w:bookmarkStart w:id="110" w:name="_Toc499116098"/>
      <w:bookmarkStart w:id="111" w:name="_Toc34394281"/>
      <w:bookmarkStart w:id="112" w:name="_Toc184117020"/>
      <w:r w:rsidRPr="00667BCF">
        <w:lastRenderedPageBreak/>
        <w:t xml:space="preserve">Table </w:t>
      </w:r>
      <w:r w:rsidRPr="004C388A">
        <w:fldChar w:fldCharType="begin"/>
      </w:r>
      <w:r w:rsidRPr="004C388A">
        <w:instrText xml:space="preserve"> SEQ Table \* ARABIC </w:instrText>
      </w:r>
      <w:r w:rsidRPr="004C388A">
        <w:fldChar w:fldCharType="separate"/>
      </w:r>
      <w:r w:rsidR="0079147C">
        <w:rPr>
          <w:noProof/>
        </w:rPr>
        <w:t>2</w:t>
      </w:r>
      <w:r w:rsidRPr="004C388A">
        <w:fldChar w:fldCharType="end"/>
      </w:r>
      <w:bookmarkEnd w:id="100"/>
      <w:r w:rsidRPr="00EC120D">
        <w:t xml:space="preserve"> – Type Definition Table</w:t>
      </w:r>
      <w:bookmarkEnd w:id="101"/>
      <w:bookmarkEnd w:id="102"/>
      <w:bookmarkEnd w:id="103"/>
      <w:bookmarkEnd w:id="104"/>
      <w:bookmarkEnd w:id="105"/>
      <w:bookmarkEnd w:id="106"/>
      <w:bookmarkEnd w:id="107"/>
      <w:bookmarkEnd w:id="108"/>
      <w:bookmarkEnd w:id="109"/>
      <w:bookmarkEnd w:id="110"/>
      <w:bookmarkEnd w:id="111"/>
      <w:bookmarkEnd w:id="112"/>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proofErr w:type="spellStart"/>
            <w:r w:rsidRPr="004C388A">
              <w:rPr>
                <w:b/>
                <w:lang w:val="en-GB"/>
              </w:rPr>
              <w:t>NodeClass</w:t>
            </w:r>
            <w:proofErr w:type="spellEnd"/>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proofErr w:type="spellStart"/>
            <w:r w:rsidRPr="004C388A">
              <w:rPr>
                <w:b/>
                <w:lang w:val="en-GB"/>
              </w:rPr>
              <w:t>BrowseName</w:t>
            </w:r>
            <w:proofErr w:type="spellEnd"/>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proofErr w:type="spellStart"/>
            <w:r w:rsidRPr="004C388A">
              <w:rPr>
                <w:b/>
                <w:lang w:val="en-GB"/>
              </w:rPr>
              <w:t>DataType</w:t>
            </w:r>
            <w:proofErr w:type="spellEnd"/>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proofErr w:type="spellStart"/>
            <w:r w:rsidRPr="004C388A">
              <w:rPr>
                <w:b/>
                <w:lang w:val="en-GB"/>
              </w:rPr>
              <w:t>TypeDefinition</w:t>
            </w:r>
            <w:proofErr w:type="spellEnd"/>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proofErr w:type="spellStart"/>
            <w:r w:rsidRPr="004C388A">
              <w:rPr>
                <w:i/>
                <w:lang w:val="en-GB"/>
              </w:rPr>
              <w:t>ReferenceType</w:t>
            </w:r>
            <w:proofErr w:type="spellEnd"/>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proofErr w:type="spellStart"/>
            <w:r w:rsidRPr="004C388A">
              <w:rPr>
                <w:i/>
                <w:lang w:val="en-GB"/>
              </w:rPr>
              <w:t>NodeClass</w:t>
            </w:r>
            <w:proofErr w:type="spellEnd"/>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proofErr w:type="spellStart"/>
            <w:r w:rsidRPr="004C388A">
              <w:rPr>
                <w:i/>
                <w:lang w:val="en-GB"/>
              </w:rPr>
              <w:t>BrowseName</w:t>
            </w:r>
            <w:proofErr w:type="spellEnd"/>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proofErr w:type="spellStart"/>
            <w:r w:rsidRPr="004C388A">
              <w:rPr>
                <w:i/>
                <w:lang w:val="en-GB"/>
              </w:rPr>
              <w:t>DataType</w:t>
            </w:r>
            <w:proofErr w:type="spellEnd"/>
            <w:r w:rsidRPr="004C388A">
              <w:rPr>
                <w:i/>
                <w:lang w:val="en-GB"/>
              </w:rPr>
              <w:t xml:space="preserv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proofErr w:type="spellStart"/>
            <w:r w:rsidRPr="004C388A">
              <w:rPr>
                <w:i/>
                <w:lang w:val="en-GB"/>
              </w:rPr>
              <w:t>TypeDefinition</w:t>
            </w:r>
            <w:proofErr w:type="spellEnd"/>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proofErr w:type="spellStart"/>
            <w:r w:rsidRPr="004C388A">
              <w:rPr>
                <w:i/>
                <w:iCs/>
                <w:lang w:val="en-GB"/>
              </w:rPr>
              <w:t>TargetNode</w:t>
            </w:r>
            <w:proofErr w:type="spellEnd"/>
            <w:r w:rsidRPr="004C388A">
              <w:rPr>
                <w:lang w:val="en-GB"/>
              </w:rPr>
              <w:t xml:space="preserve"> such as the </w:t>
            </w:r>
            <w:proofErr w:type="spellStart"/>
            <w:r w:rsidRPr="004C388A">
              <w:rPr>
                <w:i/>
                <w:iCs/>
                <w:lang w:val="en-GB"/>
              </w:rPr>
              <w:t>ModellingRule</w:t>
            </w:r>
            <w:proofErr w:type="spellEnd"/>
            <w:r w:rsidRPr="004C388A">
              <w:rPr>
                <w:lang w:val="en-GB"/>
              </w:rPr>
              <w:t xml:space="preserve"> or </w:t>
            </w:r>
            <w:proofErr w:type="spellStart"/>
            <w:r w:rsidRPr="004C388A">
              <w:rPr>
                <w:i/>
                <w:iCs/>
                <w:lang w:val="en-GB"/>
              </w:rPr>
              <w:t>AccessLevel</w:t>
            </w:r>
            <w:proofErr w:type="spellEnd"/>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proofErr w:type="spellStart"/>
            <w:r w:rsidR="00BB1887" w:rsidRPr="00BB1887">
              <w:rPr>
                <w:i/>
                <w:lang w:val="en-GB"/>
              </w:rPr>
              <w:t>C</w:t>
            </w:r>
            <w:r w:rsidRPr="00BB1887">
              <w:rPr>
                <w:i/>
                <w:lang w:val="en-GB"/>
              </w:rPr>
              <w:t>onformance</w:t>
            </w:r>
            <w:r w:rsidR="00BB1887" w:rsidRPr="00BB1887">
              <w:rPr>
                <w:i/>
                <w:lang w:val="en-GB"/>
              </w:rPr>
              <w:t>U</w:t>
            </w:r>
            <w:r w:rsidRPr="00BB1887">
              <w:rPr>
                <w:i/>
                <w:lang w:val="en-GB"/>
              </w:rPr>
              <w:t>nit</w:t>
            </w:r>
            <w:proofErr w:type="spellEnd"/>
            <w:r w:rsidRPr="00EC120D">
              <w:rPr>
                <w:lang w:val="en-GB"/>
              </w:rPr>
              <w:t xml:space="preserve">, one row per </w:t>
            </w:r>
            <w:proofErr w:type="spellStart"/>
            <w:r w:rsidR="00BB1887" w:rsidRPr="00BB1887">
              <w:rPr>
                <w:i/>
                <w:lang w:val="en-GB"/>
              </w:rPr>
              <w:t>ConformanceUnit</w:t>
            </w:r>
            <w:proofErr w:type="spellEnd"/>
          </w:p>
        </w:tc>
      </w:tr>
    </w:tbl>
    <w:p w14:paraId="52F27C98" w14:textId="77777777" w:rsidR="005444A2" w:rsidRPr="00EC120D" w:rsidRDefault="005444A2" w:rsidP="005444A2">
      <w:pPr>
        <w:pStyle w:val="spacer"/>
        <w:rPr>
          <w:rFonts w:eastAsia="平成明朝"/>
        </w:rPr>
      </w:pPr>
    </w:p>
    <w:p w14:paraId="3BA2B334" w14:textId="1E5A816E"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proofErr w:type="spellStart"/>
      <w:r w:rsidRPr="00EC120D">
        <w:rPr>
          <w:i/>
        </w:rPr>
        <w:t>TypeDefinition</w:t>
      </w:r>
      <w:proofErr w:type="spellEnd"/>
      <w:r w:rsidRPr="00EC120D">
        <w:t xml:space="preserve">, </w:t>
      </w:r>
      <w:proofErr w:type="spellStart"/>
      <w:r w:rsidRPr="00EC120D">
        <w:rPr>
          <w:i/>
        </w:rPr>
        <w:t>NodeClass</w:t>
      </w:r>
      <w:proofErr w:type="spellEnd"/>
      <w:r w:rsidRPr="00EC120D">
        <w:t xml:space="preserve"> and </w:t>
      </w:r>
      <w:proofErr w:type="spellStart"/>
      <w:r w:rsidRPr="00EC120D">
        <w:rPr>
          <w:i/>
        </w:rPr>
        <w:t>DataType</w:t>
      </w:r>
      <w:proofErr w:type="spellEnd"/>
      <w:r w:rsidRPr="00EC120D">
        <w:rPr>
          <w:i/>
        </w:rPr>
        <w:t xml:space="preserv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79147C">
        <w:t>3.4.3.1</w:t>
      </w:r>
      <w:r w:rsidR="00FB4283" w:rsidRPr="00EC120D">
        <w:fldChar w:fldCharType="end"/>
      </w:r>
      <w:r w:rsidRPr="00EC120D">
        <w:t>. Therefore, those containing components are not explicitly specified; they are implicitly specified by the type definitions.</w:t>
      </w:r>
    </w:p>
    <w:p w14:paraId="6BC19F84" w14:textId="6202EFD0"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79147C" w:rsidRPr="00667BCF">
        <w:t xml:space="preserve">Table </w:t>
      </w:r>
      <w:r w:rsidR="0079147C">
        <w:rPr>
          <w:noProof/>
        </w:rPr>
        <w:t>3</w:t>
      </w:r>
      <w:r w:rsidRPr="00EC120D">
        <w:fldChar w:fldCharType="end"/>
      </w:r>
      <w:r w:rsidRPr="00EC120D">
        <w:t>.</w:t>
      </w:r>
    </w:p>
    <w:p w14:paraId="7E116BAF" w14:textId="7BE5DB13" w:rsidR="005444A2" w:rsidRPr="00667BCF" w:rsidRDefault="005444A2" w:rsidP="005444A2">
      <w:pPr>
        <w:pStyle w:val="TABLE-title"/>
      </w:pPr>
      <w:bookmarkStart w:id="113" w:name="_Ref16778333"/>
      <w:bookmarkStart w:id="114" w:name="_Toc34394282"/>
      <w:bookmarkStart w:id="115" w:name="_Toc184117021"/>
      <w:r w:rsidRPr="00667BCF">
        <w:t xml:space="preserve">Table </w:t>
      </w:r>
      <w:r w:rsidRPr="004C388A">
        <w:fldChar w:fldCharType="begin"/>
      </w:r>
      <w:r w:rsidRPr="004C388A">
        <w:instrText xml:space="preserve"> SEQ Table \* ARABIC </w:instrText>
      </w:r>
      <w:r w:rsidRPr="004C388A">
        <w:fldChar w:fldCharType="separate"/>
      </w:r>
      <w:r w:rsidR="0079147C">
        <w:rPr>
          <w:noProof/>
        </w:rPr>
        <w:t>3</w:t>
      </w:r>
      <w:r w:rsidRPr="004C388A">
        <w:fldChar w:fldCharType="end"/>
      </w:r>
      <w:bookmarkEnd w:id="113"/>
      <w:r w:rsidRPr="00EC120D">
        <w:t xml:space="preserve"> – Examples of Other </w:t>
      </w:r>
      <w:r w:rsidR="009A7DFE">
        <w:t>c</w:t>
      </w:r>
      <w:r w:rsidRPr="00EC120D">
        <w:t>haracteristics</w:t>
      </w:r>
      <w:bookmarkEnd w:id="114"/>
      <w:bookmarkEnd w:id="115"/>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proofErr w:type="spellStart"/>
            <w:r w:rsidRPr="004C388A">
              <w:rPr>
                <w:i/>
                <w:iCs/>
                <w:lang w:val="en-GB"/>
              </w:rPr>
              <w:t>ModellingRule</w:t>
            </w:r>
            <w:proofErr w:type="spellEnd"/>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proofErr w:type="spellStart"/>
            <w:r w:rsidRPr="004C388A">
              <w:rPr>
                <w:i/>
                <w:iCs/>
                <w:lang w:val="en-GB"/>
              </w:rPr>
              <w:t>ModellingRule</w:t>
            </w:r>
            <w:proofErr w:type="spellEnd"/>
            <w:r w:rsidRPr="004C388A">
              <w:rPr>
                <w:i/>
                <w:iCs/>
                <w:lang w:val="en-GB"/>
              </w:rPr>
              <w:t>.</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proofErr w:type="spellStart"/>
            <w:r w:rsidRPr="004C388A">
              <w:rPr>
                <w:i/>
                <w:iCs/>
                <w:lang w:val="en-GB"/>
              </w:rPr>
              <w:t>MandatoryPlaceholder</w:t>
            </w:r>
            <w:proofErr w:type="spellEnd"/>
            <w:r w:rsidRPr="004C388A">
              <w:rPr>
                <w:i/>
                <w:iCs/>
                <w:lang w:val="en-GB"/>
              </w:rPr>
              <w:t xml:space="preserve"> </w:t>
            </w:r>
            <w:proofErr w:type="spellStart"/>
            <w:r w:rsidRPr="004C388A">
              <w:rPr>
                <w:i/>
                <w:iCs/>
                <w:lang w:val="en-GB"/>
              </w:rPr>
              <w:t>ModellingRule</w:t>
            </w:r>
            <w:proofErr w:type="spellEnd"/>
            <w:r w:rsidRPr="004C388A">
              <w:rPr>
                <w:i/>
                <w:iCs/>
                <w:lang w:val="en-GB"/>
              </w:rPr>
              <w:t>.</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proofErr w:type="spellStart"/>
            <w:r w:rsidRPr="004C388A">
              <w:rPr>
                <w:i/>
                <w:iCs/>
                <w:lang w:val="en-GB"/>
              </w:rPr>
              <w:t>OptionalPlaceholder</w:t>
            </w:r>
            <w:proofErr w:type="spellEnd"/>
            <w:r w:rsidRPr="004C388A">
              <w:rPr>
                <w:i/>
                <w:iCs/>
                <w:lang w:val="en-GB"/>
              </w:rPr>
              <w:t xml:space="preserve"> </w:t>
            </w:r>
            <w:proofErr w:type="spellStart"/>
            <w:r w:rsidRPr="004C388A">
              <w:rPr>
                <w:i/>
                <w:iCs/>
                <w:lang w:val="en-GB"/>
              </w:rPr>
              <w:t>ModellingRule</w:t>
            </w:r>
            <w:proofErr w:type="spellEnd"/>
            <w:r w:rsidRPr="004C388A">
              <w:rPr>
                <w:i/>
                <w:iCs/>
                <w:lang w:val="en-GB"/>
              </w:rPr>
              <w:t>.</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proofErr w:type="spellStart"/>
            <w:r w:rsidRPr="004C388A">
              <w:rPr>
                <w:lang w:val="en-GB"/>
              </w:rPr>
              <w:t>ReadOnly</w:t>
            </w:r>
            <w:proofErr w:type="spellEnd"/>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proofErr w:type="spellStart"/>
            <w:r w:rsidRPr="004C388A">
              <w:rPr>
                <w:i/>
                <w:iCs/>
                <w:lang w:val="en-GB"/>
              </w:rPr>
              <w:t>AccessLevel</w:t>
            </w:r>
            <w:proofErr w:type="spellEnd"/>
            <w:r w:rsidRPr="004C388A">
              <w:rPr>
                <w:lang w:val="en-GB"/>
              </w:rPr>
              <w:t xml:space="preserve"> has the </w:t>
            </w:r>
            <w:proofErr w:type="spellStart"/>
            <w:r w:rsidRPr="004C388A">
              <w:rPr>
                <w:i/>
                <w:iCs/>
                <w:lang w:val="en-GB"/>
              </w:rPr>
              <w:t>CurrentRead</w:t>
            </w:r>
            <w:proofErr w:type="spellEnd"/>
            <w:r w:rsidRPr="004C388A">
              <w:rPr>
                <w:lang w:val="en-GB"/>
              </w:rPr>
              <w:t xml:space="preserve"> bit set but not the </w:t>
            </w:r>
            <w:proofErr w:type="spellStart"/>
            <w:r w:rsidRPr="004C388A">
              <w:rPr>
                <w:i/>
                <w:iCs/>
                <w:lang w:val="en-GB"/>
              </w:rPr>
              <w:t>CurrentWrite</w:t>
            </w:r>
            <w:proofErr w:type="spellEnd"/>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proofErr w:type="spellStart"/>
            <w:r w:rsidRPr="004C388A">
              <w:rPr>
                <w:lang w:val="en-GB"/>
              </w:rPr>
              <w:t>ReadWrite</w:t>
            </w:r>
            <w:proofErr w:type="spellEnd"/>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proofErr w:type="spellStart"/>
            <w:r w:rsidRPr="004C388A">
              <w:rPr>
                <w:i/>
                <w:iCs/>
                <w:lang w:val="en-GB"/>
              </w:rPr>
              <w:t>AccessLevel</w:t>
            </w:r>
            <w:proofErr w:type="spellEnd"/>
            <w:r w:rsidRPr="004C388A">
              <w:rPr>
                <w:lang w:val="en-GB"/>
              </w:rPr>
              <w:t xml:space="preserve"> has the </w:t>
            </w:r>
            <w:proofErr w:type="spellStart"/>
            <w:r w:rsidRPr="004C388A">
              <w:rPr>
                <w:i/>
                <w:iCs/>
                <w:lang w:val="en-GB"/>
              </w:rPr>
              <w:t>CurrentRead</w:t>
            </w:r>
            <w:proofErr w:type="spellEnd"/>
            <w:r w:rsidRPr="004C388A">
              <w:rPr>
                <w:lang w:val="en-GB"/>
              </w:rPr>
              <w:t xml:space="preserve"> and </w:t>
            </w:r>
            <w:proofErr w:type="spellStart"/>
            <w:r w:rsidRPr="004C388A">
              <w:rPr>
                <w:i/>
                <w:iCs/>
                <w:lang w:val="en-GB"/>
              </w:rPr>
              <w:t>CurrentWrite</w:t>
            </w:r>
            <w:proofErr w:type="spellEnd"/>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proofErr w:type="spellStart"/>
            <w:r w:rsidRPr="004C388A">
              <w:rPr>
                <w:lang w:val="en-GB"/>
              </w:rPr>
              <w:t>WriteOnly</w:t>
            </w:r>
            <w:proofErr w:type="spellEnd"/>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proofErr w:type="spellStart"/>
            <w:r w:rsidRPr="00A9705A">
              <w:rPr>
                <w:i/>
                <w:iCs/>
                <w:lang w:val="en-GB"/>
              </w:rPr>
              <w:t>AccessLevel</w:t>
            </w:r>
            <w:proofErr w:type="spellEnd"/>
            <w:r w:rsidRPr="004C388A">
              <w:rPr>
                <w:lang w:val="en-GB"/>
              </w:rPr>
              <w:t xml:space="preserve"> has the </w:t>
            </w:r>
            <w:proofErr w:type="spellStart"/>
            <w:r w:rsidRPr="004C388A">
              <w:rPr>
                <w:i/>
                <w:iCs/>
                <w:lang w:val="en-GB"/>
              </w:rPr>
              <w:t>CurrentWrite</w:t>
            </w:r>
            <w:proofErr w:type="spellEnd"/>
            <w:r w:rsidRPr="004C388A">
              <w:rPr>
                <w:lang w:val="en-GB"/>
              </w:rPr>
              <w:t xml:space="preserve"> bit set but not the </w:t>
            </w:r>
            <w:proofErr w:type="spellStart"/>
            <w:r w:rsidRPr="004C388A">
              <w:rPr>
                <w:i/>
                <w:iCs/>
                <w:lang w:val="en-GB"/>
              </w:rPr>
              <w:t>CurrentRead</w:t>
            </w:r>
            <w:proofErr w:type="spellEnd"/>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16" w:name="_Ref55126029"/>
      <w:r w:rsidRPr="00EC120D">
        <w:t>Additional References</w:t>
      </w:r>
      <w:bookmarkEnd w:id="116"/>
    </w:p>
    <w:p w14:paraId="7ACACB98" w14:textId="34A3B333"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79147C" w:rsidRPr="00EC120D">
        <w:t xml:space="preserve">Table </w:t>
      </w:r>
      <w:r w:rsidR="0079147C">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6C5171DF" w:rsidR="002E1224" w:rsidRPr="00EC120D" w:rsidRDefault="002E1224" w:rsidP="002E1224">
      <w:pPr>
        <w:pStyle w:val="TABLE-title"/>
      </w:pPr>
      <w:bookmarkStart w:id="117" w:name="_Ref55118538"/>
      <w:bookmarkStart w:id="118" w:name="_Toc184117022"/>
      <w:r w:rsidRPr="00EC120D">
        <w:t xml:space="preserve">Table </w:t>
      </w:r>
      <w:r w:rsidRPr="004C388A">
        <w:fldChar w:fldCharType="begin"/>
      </w:r>
      <w:r w:rsidRPr="004C388A">
        <w:instrText xml:space="preserve"> SEQ Table \* ARABIC </w:instrText>
      </w:r>
      <w:r w:rsidRPr="004C388A">
        <w:fldChar w:fldCharType="separate"/>
      </w:r>
      <w:r w:rsidR="0079147C">
        <w:rPr>
          <w:noProof/>
        </w:rPr>
        <w:t>4</w:t>
      </w:r>
      <w:r w:rsidRPr="004C388A">
        <w:fldChar w:fldCharType="end"/>
      </w:r>
      <w:bookmarkEnd w:id="117"/>
      <w:r w:rsidRPr="00EC120D">
        <w:t xml:space="preserve"> – </w:t>
      </w:r>
      <w:r w:rsidRPr="004C388A">
        <w:t>&lt;some&gt;</w:t>
      </w:r>
      <w:r w:rsidRPr="00EC120D">
        <w:t xml:space="preserve">Type </w:t>
      </w:r>
      <w:r w:rsidR="009A7DFE">
        <w:t>a</w:t>
      </w:r>
      <w:r w:rsidRPr="00EC120D">
        <w:t>dditional References</w:t>
      </w:r>
      <w:bookmarkEnd w:id="1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proofErr w:type="spellStart"/>
            <w:r w:rsidRPr="004C388A">
              <w:rPr>
                <w:b/>
                <w:color w:val="auto"/>
                <w:lang w:val="en-GB"/>
              </w:rPr>
              <w:t>SourceBrowsePath</w:t>
            </w:r>
            <w:proofErr w:type="spellEnd"/>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proofErr w:type="spellStart"/>
            <w:r w:rsidRPr="004C388A">
              <w:rPr>
                <w:b/>
                <w:color w:val="auto"/>
                <w:lang w:val="en-GB"/>
              </w:rPr>
              <w:t>TargetBrowsePath</w:t>
            </w:r>
            <w:proofErr w:type="spellEnd"/>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proofErr w:type="spellStart"/>
            <w:r w:rsidRPr="004C388A">
              <w:rPr>
                <w:rFonts w:eastAsia="MS Mincho"/>
                <w:color w:val="auto"/>
                <w:lang w:val="en-GB"/>
              </w:rPr>
              <w:t>SourceBrowsePath</w:t>
            </w:r>
            <w:proofErr w:type="spellEnd"/>
            <w:r w:rsidRPr="004C388A">
              <w:rPr>
                <w:rFonts w:eastAsia="MS Mincho"/>
                <w:color w:val="auto"/>
                <w:lang w:val="en-GB"/>
              </w:rPr>
              <w:t xml:space="preserve"> is always relative to the </w:t>
            </w:r>
            <w:proofErr w:type="spellStart"/>
            <w:r w:rsidRPr="004C388A">
              <w:rPr>
                <w:rFonts w:eastAsia="MS Mincho"/>
                <w:i/>
                <w:iCs/>
                <w:color w:val="auto"/>
                <w:lang w:val="en-GB"/>
              </w:rPr>
              <w:t>TypeDefinition</w:t>
            </w:r>
            <w:proofErr w:type="spellEnd"/>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proofErr w:type="spellStart"/>
            <w:r w:rsidRPr="004C388A">
              <w:rPr>
                <w:i/>
                <w:lang w:val="en-GB"/>
              </w:rPr>
              <w:t>ReferenceType</w:t>
            </w:r>
            <w:proofErr w:type="spellEnd"/>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proofErr w:type="spellStart"/>
            <w:r w:rsidRPr="004C388A">
              <w:rPr>
                <w:rFonts w:eastAsia="MS Mincho"/>
                <w:color w:val="auto"/>
                <w:lang w:val="en-GB"/>
              </w:rPr>
              <w:t>TargetBrowsePath</w:t>
            </w:r>
            <w:proofErr w:type="spellEnd"/>
            <w:r w:rsidRPr="004C388A">
              <w:rPr>
                <w:rFonts w:eastAsia="MS Mincho"/>
                <w:color w:val="auto"/>
                <w:lang w:val="en-GB"/>
              </w:rPr>
              <w:t xml:space="preserve">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proofErr w:type="spellStart"/>
            <w:r w:rsidRPr="004C388A">
              <w:rPr>
                <w:rFonts w:eastAsia="MS Mincho"/>
                <w:i/>
                <w:iCs/>
                <w:color w:val="auto"/>
                <w:lang w:val="en-GB"/>
              </w:rPr>
              <w:t>TypeDefinition</w:t>
            </w:r>
            <w:proofErr w:type="spellEnd"/>
            <w:r w:rsidRPr="004C388A">
              <w:rPr>
                <w:rFonts w:eastAsia="MS Mincho"/>
                <w:color w:val="auto"/>
                <w:lang w:val="en-GB"/>
              </w:rPr>
              <w:t xml:space="preserve">. You can use </w:t>
            </w:r>
            <w:proofErr w:type="spellStart"/>
            <w:r w:rsidRPr="004C388A">
              <w:rPr>
                <w:rFonts w:eastAsia="MS Mincho"/>
                <w:i/>
                <w:iCs/>
                <w:color w:val="auto"/>
                <w:lang w:val="en-GB"/>
              </w:rPr>
              <w:t>BrowsePaths</w:t>
            </w:r>
            <w:proofErr w:type="spellEnd"/>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proofErr w:type="spellStart"/>
            <w:r w:rsidR="00DF5962" w:rsidRPr="004C388A">
              <w:rPr>
                <w:rFonts w:eastAsia="MS Mincho"/>
                <w:i/>
                <w:iCs/>
                <w:color w:val="auto"/>
                <w:lang w:val="en-GB"/>
              </w:rPr>
              <w:t>TypeDefinition</w:t>
            </w:r>
            <w:proofErr w:type="spellEnd"/>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proofErr w:type="spellStart"/>
            <w:r w:rsidR="006F51F6" w:rsidRPr="004C388A">
              <w:rPr>
                <w:rFonts w:eastAsia="MS Mincho"/>
                <w:i/>
                <w:iCs/>
                <w:color w:val="auto"/>
                <w:lang w:val="en-GB"/>
              </w:rPr>
              <w:t>BrowseName</w:t>
            </w:r>
            <w:proofErr w:type="spellEnd"/>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19" w:name="_Ref55126139"/>
      <w:r w:rsidRPr="00EC120D">
        <w:t>Additional sub-components</w:t>
      </w:r>
      <w:bookmarkEnd w:id="119"/>
    </w:p>
    <w:p w14:paraId="02A3E578" w14:textId="20F5CCA3"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79147C" w:rsidRPr="00EC120D">
        <w:t xml:space="preserve">Table </w:t>
      </w:r>
      <w:r w:rsidR="0079147C">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0576246A" w:rsidR="00576AC5" w:rsidRPr="00667BCF" w:rsidRDefault="00576AC5" w:rsidP="000F1590">
      <w:pPr>
        <w:pStyle w:val="TABLE-title"/>
      </w:pPr>
      <w:bookmarkStart w:id="120" w:name="_Ref55125045"/>
      <w:bookmarkStart w:id="121" w:name="_Toc184117023"/>
      <w:r w:rsidRPr="00EC120D">
        <w:lastRenderedPageBreak/>
        <w:t xml:space="preserve">Table </w:t>
      </w:r>
      <w:r w:rsidRPr="004C388A">
        <w:fldChar w:fldCharType="begin"/>
      </w:r>
      <w:r w:rsidRPr="004C388A">
        <w:instrText xml:space="preserve"> SEQ Table \* ARABIC </w:instrText>
      </w:r>
      <w:r w:rsidRPr="004C388A">
        <w:fldChar w:fldCharType="separate"/>
      </w:r>
      <w:r w:rsidR="0079147C">
        <w:rPr>
          <w:noProof/>
        </w:rPr>
        <w:t>5</w:t>
      </w:r>
      <w:r w:rsidRPr="004C388A">
        <w:fldChar w:fldCharType="end"/>
      </w:r>
      <w:bookmarkEnd w:id="120"/>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21"/>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proofErr w:type="spellStart"/>
            <w:r w:rsidRPr="004C388A">
              <w:rPr>
                <w:b/>
                <w:color w:val="auto"/>
                <w:lang w:val="en-GB"/>
              </w:rPr>
              <w:t>BrowsePath</w:t>
            </w:r>
            <w:proofErr w:type="spellEnd"/>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proofErr w:type="spellStart"/>
            <w:r w:rsidRPr="004C388A">
              <w:rPr>
                <w:b/>
                <w:color w:val="auto"/>
                <w:lang w:val="en-GB"/>
              </w:rPr>
              <w:t>NodeClass</w:t>
            </w:r>
            <w:proofErr w:type="spellEnd"/>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proofErr w:type="spellStart"/>
            <w:r w:rsidRPr="004C388A">
              <w:rPr>
                <w:b/>
                <w:color w:val="auto"/>
                <w:lang w:val="en-GB"/>
              </w:rPr>
              <w:t>BrowseName</w:t>
            </w:r>
            <w:proofErr w:type="spellEnd"/>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proofErr w:type="spellStart"/>
            <w:r w:rsidRPr="004C388A">
              <w:rPr>
                <w:b/>
                <w:color w:val="auto"/>
                <w:lang w:val="en-GB"/>
              </w:rPr>
              <w:t>DataType</w:t>
            </w:r>
            <w:proofErr w:type="spellEnd"/>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proofErr w:type="spellStart"/>
            <w:r w:rsidRPr="004C388A">
              <w:rPr>
                <w:b/>
                <w:color w:val="auto"/>
                <w:lang w:val="en-GB"/>
              </w:rPr>
              <w:t>TypeDefinition</w:t>
            </w:r>
            <w:proofErr w:type="spellEnd"/>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proofErr w:type="spellStart"/>
            <w:r w:rsidRPr="004C388A">
              <w:rPr>
                <w:rFonts w:eastAsia="MS Mincho"/>
                <w:color w:val="auto"/>
                <w:lang w:val="en-GB"/>
              </w:rPr>
              <w:t>BrowsePath</w:t>
            </w:r>
            <w:proofErr w:type="spellEnd"/>
            <w:r w:rsidRPr="004C388A">
              <w:rPr>
                <w:rFonts w:eastAsia="MS Mincho"/>
                <w:color w:val="auto"/>
                <w:lang w:val="en-GB"/>
              </w:rPr>
              <w:t xml:space="preserve"> is always relative to the </w:t>
            </w:r>
            <w:proofErr w:type="spellStart"/>
            <w:r w:rsidRPr="004C388A">
              <w:rPr>
                <w:rFonts w:eastAsia="MS Mincho"/>
                <w:i/>
                <w:iCs/>
                <w:color w:val="auto"/>
                <w:lang w:val="en-GB"/>
              </w:rPr>
              <w:t>TypeDefinition</w:t>
            </w:r>
            <w:proofErr w:type="spellEnd"/>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231412AA"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79147C" w:rsidRPr="0079147C">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22" w:name="_Ref55126167"/>
      <w:r w:rsidRPr="00EC120D">
        <w:t xml:space="preserve">Additional </w:t>
      </w:r>
      <w:r w:rsidR="00576AC5" w:rsidRPr="00EC120D">
        <w:t>Attribute values</w:t>
      </w:r>
      <w:bookmarkEnd w:id="122"/>
    </w:p>
    <w:p w14:paraId="0F2E4164" w14:textId="40C17DF0"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proofErr w:type="spellStart"/>
      <w:r w:rsidRPr="004C388A">
        <w:rPr>
          <w:rFonts w:eastAsia="MS Mincho"/>
          <w:i/>
          <w:iCs/>
        </w:rPr>
        <w:t>InstanceDeclarations</w:t>
      </w:r>
      <w:proofErr w:type="spellEnd"/>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79147C" w:rsidRPr="00EC120D">
        <w:t xml:space="preserve">Table </w:t>
      </w:r>
      <w:r w:rsidR="0079147C">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703981D1" w:rsidR="002E1224" w:rsidRPr="00EC120D" w:rsidRDefault="002E1224" w:rsidP="002E1224">
      <w:pPr>
        <w:pStyle w:val="TABLE-title"/>
      </w:pPr>
      <w:bookmarkStart w:id="123" w:name="_Ref55119200"/>
      <w:bookmarkStart w:id="124" w:name="_Toc184117024"/>
      <w:r w:rsidRPr="00EC120D">
        <w:t xml:space="preserve">Table </w:t>
      </w:r>
      <w:r w:rsidRPr="004C388A">
        <w:fldChar w:fldCharType="begin"/>
      </w:r>
      <w:r w:rsidRPr="004C388A">
        <w:instrText xml:space="preserve"> SEQ Table \* ARABIC </w:instrText>
      </w:r>
      <w:r w:rsidRPr="004C388A">
        <w:fldChar w:fldCharType="separate"/>
      </w:r>
      <w:r w:rsidR="0079147C">
        <w:rPr>
          <w:noProof/>
        </w:rPr>
        <w:t>6</w:t>
      </w:r>
      <w:r w:rsidRPr="004C388A">
        <w:fldChar w:fldCharType="end"/>
      </w:r>
      <w:bookmarkEnd w:id="123"/>
      <w:r w:rsidRPr="00EC120D">
        <w:t xml:space="preserve"> – &lt;some&gt;Type Attribute values for child Nodes</w:t>
      </w:r>
      <w:bookmarkEnd w:id="124"/>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proofErr w:type="spellStart"/>
            <w:r w:rsidRPr="004C388A">
              <w:rPr>
                <w:b/>
                <w:color w:val="auto"/>
                <w:lang w:val="en-GB"/>
              </w:rPr>
              <w:t>BrowsePath</w:t>
            </w:r>
            <w:proofErr w:type="spellEnd"/>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proofErr w:type="spellStart"/>
            <w:r w:rsidRPr="004C388A">
              <w:rPr>
                <w:rFonts w:eastAsia="MS Mincho"/>
                <w:color w:val="auto"/>
                <w:lang w:val="en-GB"/>
              </w:rPr>
              <w:t>BrowsePath</w:t>
            </w:r>
            <w:proofErr w:type="spellEnd"/>
            <w:r w:rsidRPr="004C388A">
              <w:rPr>
                <w:rFonts w:eastAsia="MS Mincho"/>
                <w:color w:val="auto"/>
                <w:lang w:val="en-GB"/>
              </w:rPr>
              <w:t xml:space="preserve"> is always relative to the </w:t>
            </w:r>
            <w:proofErr w:type="spellStart"/>
            <w:r w:rsidRPr="004C388A">
              <w:rPr>
                <w:rFonts w:eastAsia="MS Mincho"/>
                <w:i/>
                <w:iCs/>
                <w:color w:val="auto"/>
                <w:lang w:val="en-GB"/>
              </w:rPr>
              <w:t>TypeDefinition</w:t>
            </w:r>
            <w:proofErr w:type="spellEnd"/>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If the </w:t>
            </w:r>
            <w:proofErr w:type="spellStart"/>
            <w:r w:rsidRPr="004C388A">
              <w:rPr>
                <w:rFonts w:asciiTheme="minorHAnsi" w:eastAsia="MS Mincho" w:hAnsiTheme="minorHAnsi" w:cstheme="minorHAnsi"/>
                <w:sz w:val="16"/>
                <w:szCs w:val="16"/>
              </w:rPr>
              <w:t>DataType</w:t>
            </w:r>
            <w:proofErr w:type="spellEnd"/>
            <w:r w:rsidRPr="004C388A">
              <w:rPr>
                <w:rFonts w:asciiTheme="minorHAnsi" w:eastAsia="MS Mincho" w:hAnsiTheme="minorHAnsi" w:cstheme="minorHAnsi"/>
                <w:sz w:val="16"/>
                <w:szCs w:val="16"/>
              </w:rPr>
              <w:t xml:space="preserve"> includes a </w:t>
            </w:r>
            <w:proofErr w:type="spellStart"/>
            <w:r w:rsidRPr="004C388A">
              <w:rPr>
                <w:rFonts w:asciiTheme="minorHAnsi" w:eastAsia="MS Mincho" w:hAnsiTheme="minorHAnsi" w:cstheme="minorHAnsi"/>
                <w:sz w:val="16"/>
                <w:szCs w:val="16"/>
              </w:rPr>
              <w:t>NamespaceIndex</w:t>
            </w:r>
            <w:proofErr w:type="spellEnd"/>
            <w:r w:rsidRPr="004C388A">
              <w:rPr>
                <w:rFonts w:asciiTheme="minorHAnsi" w:eastAsia="MS Mincho" w:hAnsiTheme="minorHAnsi" w:cstheme="minorHAnsi"/>
                <w:sz w:val="16"/>
                <w:szCs w:val="16"/>
              </w:rPr>
              <w:t xml:space="preserve"> (</w:t>
            </w:r>
            <w:proofErr w:type="spellStart"/>
            <w:r w:rsidRPr="004C388A">
              <w:rPr>
                <w:rFonts w:asciiTheme="minorHAnsi" w:eastAsia="MS Mincho" w:hAnsiTheme="minorHAnsi" w:cstheme="minorHAnsi"/>
                <w:sz w:val="16"/>
                <w:szCs w:val="16"/>
              </w:rPr>
              <w:t>QualifiedNames</w:t>
            </w:r>
            <w:proofErr w:type="spellEnd"/>
            <w:r w:rsidRPr="004C388A">
              <w:rPr>
                <w:rFonts w:asciiTheme="minorHAnsi" w:eastAsia="MS Mincho" w:hAnsiTheme="minorHAnsi" w:cstheme="minorHAnsi"/>
                <w:sz w:val="16"/>
                <w:szCs w:val="16"/>
              </w:rPr>
              <w:t xml:space="preserve">, </w:t>
            </w:r>
            <w:proofErr w:type="spellStart"/>
            <w:r w:rsidRPr="004C388A">
              <w:rPr>
                <w:rFonts w:asciiTheme="minorHAnsi" w:eastAsia="MS Mincho" w:hAnsiTheme="minorHAnsi" w:cstheme="minorHAnsi"/>
                <w:sz w:val="16"/>
                <w:szCs w:val="16"/>
              </w:rPr>
              <w:t>NodeIds</w:t>
            </w:r>
            <w:proofErr w:type="spellEnd"/>
            <w:r w:rsidRPr="004C388A">
              <w:rPr>
                <w:rFonts w:asciiTheme="minorHAnsi" w:eastAsia="MS Mincho" w:hAnsiTheme="minorHAnsi" w:cstheme="minorHAnsi"/>
                <w:sz w:val="16"/>
                <w:szCs w:val="16"/>
              </w:rPr>
              <w:t xml:space="preserve"> or </w:t>
            </w:r>
            <w:proofErr w:type="spellStart"/>
            <w:r w:rsidRPr="004C388A">
              <w:rPr>
                <w:rFonts w:asciiTheme="minorHAnsi" w:eastAsia="MS Mincho" w:hAnsiTheme="minorHAnsi" w:cstheme="minorHAnsi"/>
                <w:sz w:val="16"/>
                <w:szCs w:val="16"/>
              </w:rPr>
              <w:t>ExpandedNodeIds</w:t>
            </w:r>
            <w:proofErr w:type="spellEnd"/>
            <w:r w:rsidRPr="004C388A">
              <w:rPr>
                <w:rFonts w:asciiTheme="minorHAnsi" w:eastAsia="MS Mincho" w:hAnsiTheme="minorHAnsi" w:cstheme="minorHAnsi"/>
                <w:sz w:val="16"/>
                <w:szCs w:val="16"/>
              </w:rPr>
              <w:t xml:space="preserve">) then the notation used for </w:t>
            </w:r>
            <w:proofErr w:type="spellStart"/>
            <w:r w:rsidRPr="004C388A">
              <w:rPr>
                <w:rFonts w:asciiTheme="minorHAnsi" w:eastAsia="MS Mincho" w:hAnsiTheme="minorHAnsi" w:cstheme="minorHAnsi"/>
                <w:sz w:val="16"/>
                <w:szCs w:val="16"/>
              </w:rPr>
              <w:t>BrowseNames</w:t>
            </w:r>
            <w:proofErr w:type="spellEnd"/>
            <w:r w:rsidRPr="004C388A">
              <w:rPr>
                <w:rFonts w:asciiTheme="minorHAnsi" w:eastAsia="MS Mincho" w:hAnsiTheme="minorHAnsi" w:cstheme="minorHAnsi"/>
                <w:sz w:val="16"/>
                <w:szCs w:val="16"/>
              </w:rPr>
              <w:t xml:space="preserve">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If the value is a Structure then a sequence of name and value pairs is entered. Each pair is followed by a newline. The name is followed by a colon. The names are the names of the fields in the </w:t>
            </w:r>
            <w:proofErr w:type="spellStart"/>
            <w:r w:rsidRPr="004C388A">
              <w:rPr>
                <w:rFonts w:asciiTheme="minorHAnsi" w:eastAsia="MS Mincho" w:hAnsiTheme="minorHAnsi" w:cstheme="minorHAnsi"/>
                <w:sz w:val="16"/>
                <w:szCs w:val="16"/>
              </w:rPr>
              <w:t>DataTypeDefinition</w:t>
            </w:r>
            <w:proofErr w:type="spellEnd"/>
            <w:r w:rsidRPr="004C388A">
              <w:rPr>
                <w:rFonts w:asciiTheme="minorHAnsi" w:eastAsia="MS Mincho" w:hAnsiTheme="minorHAnsi" w:cstheme="minorHAnsi"/>
                <w:sz w:val="16"/>
                <w:szCs w:val="16"/>
              </w:rPr>
              <w:t>.</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25" w:name="_Toc205798670"/>
      <w:bookmarkStart w:id="126" w:name="_Toc265516543"/>
      <w:bookmarkStart w:id="127" w:name="_Toc349746860"/>
      <w:bookmarkStart w:id="128" w:name="_Toc499115805"/>
      <w:bookmarkStart w:id="129" w:name="_Toc29911965"/>
      <w:bookmarkStart w:id="130" w:name="_Toc184116969"/>
      <w:proofErr w:type="spellStart"/>
      <w:r w:rsidRPr="00EC120D">
        <w:t>NodeIds</w:t>
      </w:r>
      <w:proofErr w:type="spellEnd"/>
      <w:r w:rsidRPr="00EC120D">
        <w:t xml:space="preserve"> and </w:t>
      </w:r>
      <w:proofErr w:type="spellStart"/>
      <w:r w:rsidRPr="00EC120D">
        <w:t>BrowseNames</w:t>
      </w:r>
      <w:bookmarkEnd w:id="125"/>
      <w:bookmarkEnd w:id="126"/>
      <w:bookmarkEnd w:id="127"/>
      <w:bookmarkEnd w:id="128"/>
      <w:bookmarkEnd w:id="129"/>
      <w:bookmarkEnd w:id="130"/>
      <w:proofErr w:type="spellEnd"/>
    </w:p>
    <w:p w14:paraId="0860FC3C" w14:textId="77777777" w:rsidR="005444A2" w:rsidRPr="00EC120D" w:rsidRDefault="00831FE3" w:rsidP="005444A2">
      <w:pPr>
        <w:pStyle w:val="Heading4"/>
        <w:ind w:left="0" w:firstLine="0"/>
      </w:pPr>
      <w:bookmarkStart w:id="131" w:name="_Toc205798671"/>
      <w:bookmarkStart w:id="132" w:name="_Toc265516544"/>
      <w:bookmarkStart w:id="133" w:name="_Toc349746861"/>
      <w:bookmarkStart w:id="134" w:name="_Toc499115806"/>
      <w:bookmarkStart w:id="135" w:name="_Ref499808407"/>
      <w:bookmarkStart w:id="136" w:name="_Ref499894873"/>
      <w:bookmarkStart w:id="137" w:name="_Toc29911966"/>
      <w:proofErr w:type="spellStart"/>
      <w:r w:rsidRPr="00EC120D">
        <w:t>NodeIds</w:t>
      </w:r>
      <w:bookmarkEnd w:id="131"/>
      <w:bookmarkEnd w:id="132"/>
      <w:bookmarkEnd w:id="133"/>
      <w:bookmarkEnd w:id="134"/>
      <w:bookmarkEnd w:id="135"/>
      <w:bookmarkEnd w:id="136"/>
      <w:bookmarkEnd w:id="137"/>
      <w:proofErr w:type="spellEnd"/>
    </w:p>
    <w:p w14:paraId="0BB94B5D" w14:textId="2CF30803" w:rsidR="00831FE3" w:rsidRPr="00EC120D" w:rsidRDefault="00831FE3" w:rsidP="00831FE3">
      <w:pPr>
        <w:pStyle w:val="PARAGRAPH"/>
      </w:pPr>
      <w:r w:rsidRPr="00EC120D">
        <w:t xml:space="preserve">This document describes no Nodes and therefore allocates no NodeIds. Annex A defines the machine-readable artifacts this document publishes instead.</w:t>
      </w:r>
      <w:proofErr w:type="spellStart"/>
      <w:r w:rsidRPr="00EC120D">
        <w:rPr>
          <w:i/>
        </w:rPr>
        <w:t/>
      </w:r>
      <w:proofErr w:type="spellEnd"/>
      <w:r w:rsidRPr="00EC120D">
        <w:t xml:space="preserve"/>
      </w:r>
      <w:r w:rsidRPr="00EC120D">
        <w:rPr>
          <w:i/>
        </w:rPr>
        <w:t/>
      </w:r>
      <w:r w:rsidRPr="00EC120D">
        <w:t xml:space="preserve"/>
      </w:r>
      <w:r w:rsidR="00FB4283" w:rsidRPr="00EC120D">
        <w:fldChar w:fldCharType="begin"/>
      </w:r>
      <w:r w:rsidR="00FB4283" w:rsidRPr="00EC120D">
        <w:instrText xml:space="preserve"> REF _Ref37835123 \w \h </w:instrText>
      </w:r>
      <w:r w:rsidR="00FB4283" w:rsidRPr="00EC120D">
        <w:fldChar w:fldCharType="separate"/>
      </w:r>
      <w:r w:rsidR="0079147C">
        <w:t/>
      </w:r>
      <w:r w:rsidR="00FB4283" w:rsidRPr="00EC120D">
        <w:fldChar w:fldCharType="end"/>
      </w:r>
      <w:r w:rsidRPr="00EC120D">
        <w:t xml:space="preserve"/>
      </w:r>
      <w:proofErr w:type="spellStart"/>
      <w:r w:rsidRPr="00EC120D">
        <w:rPr>
          <w:i/>
        </w:rPr>
        <w:t/>
      </w:r>
      <w:proofErr w:type="spellEnd"/>
      <w:r w:rsidRPr="00EC120D">
        <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proofErr w:type="spellStart"/>
      <w:r w:rsidRPr="00EC120D">
        <w:rPr>
          <w:i/>
        </w:rPr>
        <w:t>BrowseName</w:t>
      </w:r>
      <w:proofErr w:type="spellEnd"/>
      <w:r w:rsidRPr="00EC120D">
        <w:t xml:space="preserve">, or, when it is part of another </w:t>
      </w:r>
      <w:r w:rsidRPr="00EC120D">
        <w:rPr>
          <w:i/>
        </w:rPr>
        <w:t>Node</w:t>
      </w:r>
      <w:r w:rsidRPr="00EC120D">
        <w:t xml:space="preserve">, the </w:t>
      </w:r>
      <w:proofErr w:type="spellStart"/>
      <w:r w:rsidRPr="00EC120D">
        <w:rPr>
          <w:i/>
        </w:rPr>
        <w:t>BrowseName</w:t>
      </w:r>
      <w:proofErr w:type="spellEnd"/>
      <w:r w:rsidRPr="00EC120D">
        <w:t xml:space="preserve"> of the other </w:t>
      </w:r>
      <w:r w:rsidRPr="00EC120D">
        <w:rPr>
          <w:i/>
        </w:rPr>
        <w:t>Node</w:t>
      </w:r>
      <w:r w:rsidRPr="00EC120D">
        <w:t xml:space="preserve">, a “.”, and the </w:t>
      </w:r>
      <w:proofErr w:type="spellStart"/>
      <w:r w:rsidRPr="00EC120D">
        <w:rPr>
          <w:i/>
        </w:rPr>
        <w:t>BrowseName</w:t>
      </w:r>
      <w:proofErr w:type="spellEnd"/>
      <w:r w:rsidRPr="00EC120D">
        <w:t xml:space="preserve"> of itself. In this case “part of” means that the whole has a </w:t>
      </w:r>
      <w:proofErr w:type="spellStart"/>
      <w:r w:rsidRPr="00EC120D">
        <w:rPr>
          <w:i/>
        </w:rPr>
        <w:t>HasProperty</w:t>
      </w:r>
      <w:proofErr w:type="spellEnd"/>
      <w:r w:rsidRPr="00EC120D">
        <w:t xml:space="preserve"> or </w:t>
      </w:r>
      <w:proofErr w:type="spellStart"/>
      <w:r w:rsidRPr="00EC120D">
        <w:rPr>
          <w:i/>
        </w:rPr>
        <w:t>HasComponent</w:t>
      </w:r>
      <w:proofErr w:type="spellEnd"/>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proofErr w:type="spellStart"/>
      <w:r w:rsidRPr="00EC120D">
        <w:rPr>
          <w:i/>
          <w:iCs/>
        </w:rPr>
        <w:t>NamespaceUri</w:t>
      </w:r>
      <w:proofErr w:type="spellEnd"/>
      <w:r w:rsidRPr="00EC120D">
        <w:t xml:space="preserve"> for all </w:t>
      </w:r>
      <w:proofErr w:type="spellStart"/>
      <w:r w:rsidRPr="00EC120D">
        <w:rPr>
          <w:i/>
          <w:iCs/>
        </w:rPr>
        <w:t>NodeIds</w:t>
      </w:r>
      <w:proofErr w:type="spellEnd"/>
      <w:r w:rsidRPr="00EC120D">
        <w:t xml:space="preserve"> defined in this document is defined in Annex A. The </w:t>
      </w:r>
      <w:proofErr w:type="spellStart"/>
      <w:r w:rsidRPr="00EC120D">
        <w:rPr>
          <w:i/>
          <w:iCs/>
        </w:rPr>
        <w:t>NamespaceIndex</w:t>
      </w:r>
      <w:proofErr w:type="spellEnd"/>
      <w:r w:rsidRPr="00EC120D">
        <w:t xml:space="preserve"> for this </w:t>
      </w:r>
      <w:proofErr w:type="spellStart"/>
      <w:r w:rsidRPr="00EC120D">
        <w:rPr>
          <w:i/>
          <w:iCs/>
        </w:rPr>
        <w:t>NamespaceUri</w:t>
      </w:r>
      <w:proofErr w:type="spellEnd"/>
      <w:r w:rsidRPr="00EC120D">
        <w:t xml:space="preserve"> is vendor-specific and depends on the position of the </w:t>
      </w:r>
      <w:proofErr w:type="spellStart"/>
      <w:r w:rsidRPr="00EC120D">
        <w:rPr>
          <w:i/>
          <w:iCs/>
        </w:rPr>
        <w:t>NamespaceUri</w:t>
      </w:r>
      <w:proofErr w:type="spellEnd"/>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proofErr w:type="spellStart"/>
      <w:r w:rsidRPr="00EC120D">
        <w:rPr>
          <w:i/>
        </w:rPr>
        <w:t>NodeIds</w:t>
      </w:r>
      <w:proofErr w:type="spellEnd"/>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proofErr w:type="spellStart"/>
      <w:r w:rsidRPr="00EC120D">
        <w:rPr>
          <w:i/>
          <w:iCs/>
        </w:rPr>
        <w:t>NamespaceIndex</w:t>
      </w:r>
      <w:proofErr w:type="spellEnd"/>
      <w:r w:rsidRPr="00EC120D">
        <w:t xml:space="preserve"> of those </w:t>
      </w:r>
      <w:r w:rsidRPr="00EC120D">
        <w:rPr>
          <w:i/>
        </w:rPr>
        <w:t>Nodes</w:t>
      </w:r>
      <w:r w:rsidRPr="00EC120D">
        <w:t xml:space="preserve"> cannot be the </w:t>
      </w:r>
      <w:proofErr w:type="spellStart"/>
      <w:r w:rsidRPr="00EC120D">
        <w:rPr>
          <w:i/>
          <w:iCs/>
        </w:rPr>
        <w:t>NamespaceIndex</w:t>
      </w:r>
      <w:proofErr w:type="spellEnd"/>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8" w:name="_Ref37835018"/>
      <w:proofErr w:type="spellStart"/>
      <w:r w:rsidRPr="00EC120D">
        <w:lastRenderedPageBreak/>
        <w:t>BrowseNames</w:t>
      </w:r>
      <w:bookmarkEnd w:id="138"/>
      <w:proofErr w:type="spellEnd"/>
      <w:r w:rsidR="005444A2" w:rsidRPr="00EC120D">
        <w:t xml:space="preserve"> </w:t>
      </w:r>
    </w:p>
    <w:p w14:paraId="5786394B" w14:textId="169C306E" w:rsidR="00831FE3" w:rsidRPr="00EC120D" w:rsidRDefault="00831FE3" w:rsidP="00831FE3">
      <w:pPr>
        <w:pStyle w:val="PARAGRAPHKWNP"/>
        <w:keepNext w:val="0"/>
      </w:pPr>
      <w:r w:rsidRPr="00EC120D">
        <w:t xml:space="preserve">The text part of the </w:t>
      </w:r>
      <w:proofErr w:type="spellStart"/>
      <w:r w:rsidRPr="00EC120D">
        <w:rPr>
          <w:i/>
          <w:iCs/>
        </w:rPr>
        <w:t>BrowseNames</w:t>
      </w:r>
      <w:proofErr w:type="spellEnd"/>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proofErr w:type="spellStart"/>
      <w:r w:rsidRPr="00EC120D">
        <w:rPr>
          <w:i/>
          <w:iCs/>
        </w:rPr>
        <w:t>NamespaceUri</w:t>
      </w:r>
      <w:proofErr w:type="spellEnd"/>
      <w:r w:rsidRPr="00EC120D">
        <w:t xml:space="preserve"> for all </w:t>
      </w:r>
      <w:proofErr w:type="spellStart"/>
      <w:r w:rsidRPr="00EC120D">
        <w:rPr>
          <w:i/>
          <w:iCs/>
        </w:rPr>
        <w:t>BrowseNames</w:t>
      </w:r>
      <w:proofErr w:type="spellEnd"/>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79147C">
        <w:t>16.2</w:t>
      </w:r>
      <w:r w:rsidR="00A94CF2" w:rsidRPr="00EC120D">
        <w:fldChar w:fldCharType="end"/>
      </w:r>
      <w:r w:rsidR="00A94CF2" w:rsidRPr="00EC120D">
        <w:t>.</w:t>
      </w:r>
    </w:p>
    <w:p w14:paraId="69D7E3F1" w14:textId="0346D711" w:rsidR="00BD26C2" w:rsidRDefault="00A94CF2" w:rsidP="00831FE3">
      <w:pPr>
        <w:pStyle w:val="PARAGRAPHKWNP"/>
        <w:keepNext w:val="0"/>
      </w:pPr>
      <w:r w:rsidRPr="00EC120D">
        <w:t xml:space="preserve">For </w:t>
      </w:r>
      <w:proofErr w:type="spellStart"/>
      <w:r w:rsidRPr="00EC120D">
        <w:rPr>
          <w:i/>
        </w:rPr>
        <w:t>InstanceDeclarations</w:t>
      </w:r>
      <w:proofErr w:type="spellEnd"/>
      <w:r w:rsidRPr="00EC120D">
        <w:t xml:space="preserve"> of </w:t>
      </w:r>
      <w:proofErr w:type="spellStart"/>
      <w:r w:rsidRPr="00EC120D">
        <w:rPr>
          <w:i/>
        </w:rPr>
        <w:t>NodeClass</w:t>
      </w:r>
      <w:proofErr w:type="spellEnd"/>
      <w:r w:rsidRPr="00EC120D">
        <w:t xml:space="preserve"> </w:t>
      </w:r>
      <w:r w:rsidRPr="00EC120D">
        <w:rPr>
          <w:i/>
        </w:rPr>
        <w:t>Object</w:t>
      </w:r>
      <w:r w:rsidRPr="00EC120D">
        <w:t xml:space="preserve"> and </w:t>
      </w:r>
      <w:r w:rsidRPr="00EC120D">
        <w:rPr>
          <w:i/>
        </w:rPr>
        <w:t>Variable</w:t>
      </w:r>
      <w:r w:rsidRPr="00EC120D">
        <w:t xml:space="preserve"> that are placeholders (</w:t>
      </w:r>
      <w:proofErr w:type="spellStart"/>
      <w:r w:rsidRPr="00EC120D">
        <w:rPr>
          <w:i/>
        </w:rPr>
        <w:t>OptionalPlaceholder</w:t>
      </w:r>
      <w:proofErr w:type="spellEnd"/>
      <w:r w:rsidRPr="00EC120D">
        <w:t xml:space="preserve"> and </w:t>
      </w:r>
      <w:proofErr w:type="spellStart"/>
      <w:r w:rsidRPr="00EC120D">
        <w:rPr>
          <w:i/>
        </w:rPr>
        <w:t>MandatoryPlaceholder</w:t>
      </w:r>
      <w:proofErr w:type="spellEnd"/>
      <w:r w:rsidRPr="00EC120D">
        <w:t xml:space="preserve"> </w:t>
      </w:r>
      <w:proofErr w:type="spellStart"/>
      <w:r w:rsidRPr="00EC120D">
        <w:rPr>
          <w:i/>
        </w:rPr>
        <w:t>ModellingRule</w:t>
      </w:r>
      <w:proofErr w:type="spellEnd"/>
      <w:r w:rsidRPr="00EC120D">
        <w:t>)</w:t>
      </w:r>
      <w:r w:rsidR="007A11B2" w:rsidRPr="00EC120D">
        <w:t>,</w:t>
      </w:r>
      <w:r w:rsidRPr="00EC120D">
        <w:t xml:space="preserve"> the </w:t>
      </w:r>
      <w:proofErr w:type="spellStart"/>
      <w:r w:rsidRPr="00EC120D">
        <w:rPr>
          <w:i/>
        </w:rPr>
        <w:t>BrowseName</w:t>
      </w:r>
      <w:proofErr w:type="spellEnd"/>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79147C" w:rsidRPr="00EC120D">
        <w:t>OPC 10000-3</w:t>
      </w:r>
      <w:r w:rsidR="007A11B2" w:rsidRPr="00EC120D">
        <w:fldChar w:fldCharType="end"/>
      </w:r>
      <w:r w:rsidR="007A11B2" w:rsidRPr="00EC120D">
        <w:t>.</w:t>
      </w:r>
    </w:p>
    <w:p w14:paraId="5350E110" w14:textId="65F66813" w:rsidR="00831FE3" w:rsidRPr="00EC120D" w:rsidRDefault="00831FE3" w:rsidP="00831FE3">
      <w:pPr>
        <w:pStyle w:val="PARAGRAPHKWNP"/>
        <w:keepNext w:val="0"/>
      </w:pPr>
      <w:r w:rsidRPr="00EC120D">
        <w:t xml:space="preserve">If </w:t>
      </w:r>
      <w:r w:rsidR="00BD26C2">
        <w:t>a</w:t>
      </w:r>
      <w:r w:rsidR="00BD26C2" w:rsidRPr="00EC120D">
        <w:t xml:space="preserve"> </w:t>
      </w:r>
      <w:proofErr w:type="spellStart"/>
      <w:r w:rsidRPr="00EC120D">
        <w:rPr>
          <w:i/>
        </w:rPr>
        <w:t>BrowseName</w:t>
      </w:r>
      <w:proofErr w:type="spellEnd"/>
      <w:r w:rsidRPr="00EC120D">
        <w:t xml:space="preserve"> is not defined by this document, a namespace index prefix </w:t>
      </w:r>
      <w:r w:rsidR="002F108C" w:rsidRPr="00EC120D">
        <w:t xml:space="preserve">is added to the </w:t>
      </w:r>
      <w:proofErr w:type="spellStart"/>
      <w:r w:rsidR="002F108C" w:rsidRPr="00EC120D">
        <w:rPr>
          <w:i/>
        </w:rPr>
        <w:t>BrowseName</w:t>
      </w:r>
      <w:proofErr w:type="spellEnd"/>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79147C" w:rsidRPr="00EC120D">
        <w:t xml:space="preserve">Table </w:t>
      </w:r>
      <w:r w:rsidR="0079147C">
        <w:rPr>
          <w:noProof/>
        </w:rPr>
        <w:t>40</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9" w:name="_Toc184116970"/>
      <w:r w:rsidRPr="00EC120D">
        <w:t>Common Attributes</w:t>
      </w:r>
      <w:bookmarkEnd w:id="139"/>
      <w:r w:rsidR="005444A2" w:rsidRPr="00EC120D">
        <w:t xml:space="preserve"> </w:t>
      </w:r>
    </w:p>
    <w:p w14:paraId="365ED989" w14:textId="77777777" w:rsidR="005444A2" w:rsidRPr="00EC120D" w:rsidRDefault="00831FE3" w:rsidP="005444A2">
      <w:pPr>
        <w:pStyle w:val="Heading4"/>
        <w:ind w:left="0" w:firstLine="0"/>
      </w:pPr>
      <w:bookmarkStart w:id="140" w:name="_Ref37835078"/>
      <w:r w:rsidRPr="00EC120D">
        <w:t>General</w:t>
      </w:r>
      <w:bookmarkEnd w:id="140"/>
      <w:r w:rsidR="005444A2" w:rsidRPr="00EC120D">
        <w:t xml:space="preserve"> </w:t>
      </w:r>
    </w:p>
    <w:p w14:paraId="6FCC20CD" w14:textId="5F01F9EB"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proofErr w:type="spellStart"/>
      <w:r w:rsidRPr="004C388A">
        <w:rPr>
          <w:i/>
        </w:rPr>
        <w:t>DataTypes</w:t>
      </w:r>
      <w:proofErr w:type="spellEnd"/>
      <w:r w:rsidRPr="004C388A">
        <w:t xml:space="preserve"> and descriptions are defined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71C76789"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79147C" w:rsidRPr="00EC120D">
        <w:t xml:space="preserve">Table </w:t>
      </w:r>
      <w:r w:rsidR="0079147C">
        <w:rPr>
          <w:noProof/>
        </w:rPr>
        <w:t>7</w:t>
      </w:r>
      <w:r w:rsidRPr="00EC120D">
        <w:fldChar w:fldCharType="end"/>
      </w:r>
      <w:r w:rsidRPr="00EC120D">
        <w:t xml:space="preserve"> shall be set as specified in the table.</w:t>
      </w:r>
    </w:p>
    <w:p w14:paraId="51D63B40" w14:textId="08DC108B" w:rsidR="00831FE3" w:rsidRPr="00EC120D" w:rsidRDefault="00831FE3" w:rsidP="00831FE3">
      <w:pPr>
        <w:pStyle w:val="TABLE-title"/>
      </w:pPr>
      <w:bookmarkStart w:id="141" w:name="_Ref499807592"/>
      <w:bookmarkStart w:id="142" w:name="_Toc265516744"/>
      <w:bookmarkStart w:id="143" w:name="_Toc332195660"/>
      <w:bookmarkStart w:id="144" w:name="_Toc499116099"/>
      <w:bookmarkStart w:id="145" w:name="_Toc34394283"/>
      <w:bookmarkStart w:id="146" w:name="_Toc184117025"/>
      <w:r w:rsidRPr="00EC120D">
        <w:t xml:space="preserve">Table </w:t>
      </w:r>
      <w:r w:rsidRPr="004C388A">
        <w:fldChar w:fldCharType="begin"/>
      </w:r>
      <w:r w:rsidRPr="004C388A">
        <w:instrText xml:space="preserve"> SEQ Table \* ARABIC </w:instrText>
      </w:r>
      <w:r w:rsidRPr="004C388A">
        <w:fldChar w:fldCharType="separate"/>
      </w:r>
      <w:r w:rsidR="0079147C">
        <w:rPr>
          <w:noProof/>
        </w:rPr>
        <w:t>7</w:t>
      </w:r>
      <w:r w:rsidRPr="004C388A">
        <w:fldChar w:fldCharType="end"/>
      </w:r>
      <w:bookmarkEnd w:id="141"/>
      <w:r w:rsidRPr="00EC120D">
        <w:t xml:space="preserve"> – Common Node Attributes</w:t>
      </w:r>
      <w:bookmarkEnd w:id="142"/>
      <w:bookmarkEnd w:id="143"/>
      <w:bookmarkEnd w:id="144"/>
      <w:bookmarkEnd w:id="145"/>
      <w:bookmarkEnd w:id="146"/>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proofErr w:type="spellStart"/>
            <w:r w:rsidRPr="004C388A">
              <w:rPr>
                <w:i/>
                <w:lang w:val="en-GB"/>
              </w:rPr>
              <w:t>LocalizedText</w:t>
            </w:r>
            <w:proofErr w:type="spellEnd"/>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proofErr w:type="spellStart"/>
            <w:r w:rsidRPr="004C388A">
              <w:rPr>
                <w:i/>
                <w:lang w:val="en-GB"/>
              </w:rPr>
              <w:t>BrowseName</w:t>
            </w:r>
            <w:proofErr w:type="spellEnd"/>
            <w:r w:rsidRPr="004C388A">
              <w:rPr>
                <w:lang w:val="en-GB"/>
              </w:rPr>
              <w:t xml:space="preserve"> of the </w:t>
            </w:r>
            <w:r w:rsidRPr="004C388A">
              <w:rPr>
                <w:i/>
                <w:lang w:val="en-GB"/>
              </w:rPr>
              <w:t>Node</w:t>
            </w:r>
            <w:r w:rsidRPr="004C388A">
              <w:rPr>
                <w:lang w:val="en-GB"/>
              </w:rPr>
              <w:t xml:space="preserve"> for the </w:t>
            </w:r>
            <w:proofErr w:type="spellStart"/>
            <w:r w:rsidRPr="004C388A">
              <w:rPr>
                <w:i/>
                <w:iCs/>
                <w:lang w:val="en-GB"/>
              </w:rPr>
              <w:t>LocaleId</w:t>
            </w:r>
            <w:proofErr w:type="spellEnd"/>
            <w:r w:rsidRPr="004C388A">
              <w:rPr>
                <w:lang w:val="en-GB"/>
              </w:rPr>
              <w:t xml:space="preserve"> “</w:t>
            </w:r>
            <w:proofErr w:type="spellStart"/>
            <w:r w:rsidRPr="004C388A">
              <w:rPr>
                <w:lang w:val="en-GB"/>
              </w:rPr>
              <w:t>en</w:t>
            </w:r>
            <w:proofErr w:type="spellEnd"/>
            <w:r w:rsidRPr="004C388A">
              <w:rPr>
                <w:lang w:val="en-GB"/>
              </w:rPr>
              <w:t>”</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proofErr w:type="spellStart"/>
            <w:r w:rsidRPr="004C388A">
              <w:rPr>
                <w:i/>
                <w:iCs/>
                <w:lang w:val="en-GB"/>
              </w:rPr>
              <w:t>LocaleIds</w:t>
            </w:r>
            <w:proofErr w:type="spellEnd"/>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proofErr w:type="spellStart"/>
            <w:r w:rsidRPr="004C388A">
              <w:rPr>
                <w:lang w:val="en-GB"/>
              </w:rPr>
              <w:t>NodeClass</w:t>
            </w:r>
            <w:proofErr w:type="spellEnd"/>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proofErr w:type="spellStart"/>
            <w:r w:rsidRPr="004C388A">
              <w:rPr>
                <w:i/>
                <w:lang w:val="en-GB"/>
              </w:rPr>
              <w:t>NodeClass</w:t>
            </w:r>
            <w:proofErr w:type="spellEnd"/>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proofErr w:type="spellStart"/>
            <w:r w:rsidRPr="004C388A">
              <w:rPr>
                <w:lang w:val="en-GB"/>
              </w:rPr>
              <w:t>NodeId</w:t>
            </w:r>
            <w:proofErr w:type="spellEnd"/>
          </w:p>
        </w:tc>
        <w:tc>
          <w:tcPr>
            <w:tcW w:w="6939" w:type="dxa"/>
            <w:tcBorders>
              <w:top w:val="single" w:sz="4" w:space="0" w:color="auto"/>
              <w:left w:val="single" w:sz="4" w:space="0" w:color="auto"/>
              <w:bottom w:val="single" w:sz="4" w:space="0" w:color="auto"/>
              <w:right w:val="single" w:sz="4" w:space="0" w:color="auto"/>
            </w:tcBorders>
          </w:tcPr>
          <w:p w14:paraId="7B09D64D" w14:textId="551956CF" w:rsidR="00831FE3" w:rsidRPr="004C388A" w:rsidRDefault="00831FE3" w:rsidP="003C6085">
            <w:pPr>
              <w:pStyle w:val="TableText"/>
              <w:rPr>
                <w:lang w:val="en-GB"/>
              </w:rPr>
            </w:pPr>
            <w:r w:rsidRPr="004C388A">
              <w:rPr>
                <w:lang w:val="en-GB"/>
              </w:rPr>
              <w:t xml:space="preserve">The </w:t>
            </w:r>
            <w:proofErr w:type="spellStart"/>
            <w:r w:rsidRPr="004C388A">
              <w:rPr>
                <w:i/>
                <w:lang w:val="en-GB"/>
              </w:rPr>
              <w:t>NodeId</w:t>
            </w:r>
            <w:proofErr w:type="spellEnd"/>
            <w:r w:rsidRPr="004C388A">
              <w:rPr>
                <w:lang w:val="en-GB"/>
              </w:rPr>
              <w:t xml:space="preserve"> is described by </w:t>
            </w:r>
            <w:proofErr w:type="spellStart"/>
            <w:r w:rsidRPr="004C388A">
              <w:rPr>
                <w:i/>
                <w:lang w:val="en-GB"/>
              </w:rPr>
              <w:t>BrowseNames</w:t>
            </w:r>
            <w:proofErr w:type="spellEnd"/>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79147C">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proofErr w:type="spellStart"/>
            <w:r w:rsidRPr="004C388A">
              <w:rPr>
                <w:lang w:val="en-GB"/>
              </w:rPr>
              <w:t>WriteMask</w:t>
            </w:r>
            <w:proofErr w:type="spellEnd"/>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proofErr w:type="spellStart"/>
            <w:r w:rsidRPr="004C388A">
              <w:rPr>
                <w:i/>
                <w:lang w:val="en-GB"/>
              </w:rPr>
              <w:t>WriteMask</w:t>
            </w:r>
            <w:proofErr w:type="spellEnd"/>
            <w:r w:rsidRPr="004C388A">
              <w:rPr>
                <w:lang w:val="en-GB"/>
              </w:rPr>
              <w:t xml:space="preserve"> </w:t>
            </w:r>
            <w:r w:rsidRPr="004C388A">
              <w:rPr>
                <w:i/>
                <w:lang w:val="en-GB"/>
              </w:rPr>
              <w:t>Attribute</w:t>
            </w:r>
            <w:r w:rsidRPr="004C388A">
              <w:rPr>
                <w:lang w:val="en-GB"/>
              </w:rPr>
              <w:t xml:space="preserve"> can be provided. If the </w:t>
            </w:r>
            <w:proofErr w:type="spellStart"/>
            <w:r w:rsidRPr="004C388A">
              <w:rPr>
                <w:i/>
                <w:lang w:val="en-GB"/>
              </w:rPr>
              <w:t>WriteMask</w:t>
            </w:r>
            <w:proofErr w:type="spellEnd"/>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proofErr w:type="spellStart"/>
            <w:r w:rsidRPr="004C388A">
              <w:rPr>
                <w:i/>
                <w:lang w:val="en-GB"/>
              </w:rPr>
              <w:t>NodeId</w:t>
            </w:r>
            <w:proofErr w:type="spellEnd"/>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proofErr w:type="spellStart"/>
            <w:r w:rsidRPr="004C388A">
              <w:rPr>
                <w:lang w:val="en-GB"/>
              </w:rPr>
              <w:t>UserWriteMask</w:t>
            </w:r>
            <w:proofErr w:type="spellEnd"/>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proofErr w:type="spellStart"/>
            <w:r w:rsidRPr="004C388A">
              <w:rPr>
                <w:i/>
                <w:lang w:val="en-GB"/>
              </w:rPr>
              <w:t>UserWriteMask</w:t>
            </w:r>
            <w:proofErr w:type="spellEnd"/>
            <w:r w:rsidRPr="004C388A">
              <w:rPr>
                <w:lang w:val="en-GB"/>
              </w:rPr>
              <w:t xml:space="preserve"> </w:t>
            </w:r>
            <w:r w:rsidRPr="004C388A">
              <w:rPr>
                <w:i/>
                <w:lang w:val="en-GB"/>
              </w:rPr>
              <w:t>Attribute</w:t>
            </w:r>
            <w:r w:rsidRPr="004C388A">
              <w:rPr>
                <w:lang w:val="en-GB"/>
              </w:rPr>
              <w:t xml:space="preserve"> can be provided. The same rules as for the </w:t>
            </w:r>
            <w:proofErr w:type="spellStart"/>
            <w:r w:rsidRPr="004C388A">
              <w:rPr>
                <w:i/>
                <w:lang w:val="en-GB"/>
              </w:rPr>
              <w:t>WriteMask</w:t>
            </w:r>
            <w:proofErr w:type="spellEnd"/>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proofErr w:type="spellStart"/>
            <w:r w:rsidRPr="004C388A">
              <w:rPr>
                <w:lang w:val="en-GB"/>
              </w:rPr>
              <w:t>RolePermissions</w:t>
            </w:r>
            <w:proofErr w:type="spellEnd"/>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proofErr w:type="spellStart"/>
            <w:r w:rsidRPr="004C388A">
              <w:rPr>
                <w:lang w:val="en-GB"/>
              </w:rPr>
              <w:t>UserRolePermissions</w:t>
            </w:r>
            <w:proofErr w:type="spellEnd"/>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proofErr w:type="spellStart"/>
            <w:r w:rsidRPr="004C388A">
              <w:rPr>
                <w:i/>
                <w:lang w:val="en-GB"/>
              </w:rPr>
              <w:t>RolePermissions</w:t>
            </w:r>
            <w:proofErr w:type="spellEnd"/>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proofErr w:type="spellStart"/>
            <w:r w:rsidRPr="004C388A">
              <w:rPr>
                <w:lang w:val="en-GB"/>
              </w:rPr>
              <w:t>AccessRestrictions</w:t>
            </w:r>
            <w:proofErr w:type="spellEnd"/>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17B01FB6"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79147C" w:rsidRPr="00EC120D">
        <w:t xml:space="preserve">Table </w:t>
      </w:r>
      <w:r w:rsidR="0079147C">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79147C" w:rsidRPr="00EC120D">
        <w:t xml:space="preserve">Table </w:t>
      </w:r>
      <w:r w:rsidR="0079147C">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194C1BC0" w14:textId="38882A91" w:rsidR="00831FE3" w:rsidRPr="00EC120D" w:rsidRDefault="00831FE3" w:rsidP="00831FE3">
      <w:pPr>
        <w:pStyle w:val="TABLE-title"/>
      </w:pPr>
      <w:bookmarkStart w:id="147" w:name="_Ref499807626"/>
      <w:bookmarkStart w:id="148" w:name="_Toc265516745"/>
      <w:bookmarkStart w:id="149" w:name="_Toc332195661"/>
      <w:bookmarkStart w:id="150" w:name="_Toc499116100"/>
      <w:bookmarkStart w:id="151" w:name="_Toc34394284"/>
      <w:bookmarkStart w:id="152" w:name="_Toc184117026"/>
      <w:r w:rsidRPr="00EC120D">
        <w:t xml:space="preserve">Table </w:t>
      </w:r>
      <w:r w:rsidRPr="004C388A">
        <w:fldChar w:fldCharType="begin"/>
      </w:r>
      <w:r w:rsidRPr="004C388A">
        <w:instrText xml:space="preserve"> SEQ Table \* ARABIC </w:instrText>
      </w:r>
      <w:r w:rsidRPr="004C388A">
        <w:fldChar w:fldCharType="separate"/>
      </w:r>
      <w:r w:rsidR="0079147C">
        <w:rPr>
          <w:noProof/>
        </w:rPr>
        <w:t>8</w:t>
      </w:r>
      <w:r w:rsidRPr="004C388A">
        <w:fldChar w:fldCharType="end"/>
      </w:r>
      <w:bookmarkEnd w:id="147"/>
      <w:r w:rsidRPr="00EC120D">
        <w:t xml:space="preserve"> – Common Object Attributes</w:t>
      </w:r>
      <w:bookmarkEnd w:id="148"/>
      <w:bookmarkEnd w:id="149"/>
      <w:bookmarkEnd w:id="150"/>
      <w:bookmarkEnd w:id="151"/>
      <w:bookmarkEnd w:id="152"/>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proofErr w:type="spellStart"/>
            <w:r w:rsidRPr="004C388A">
              <w:rPr>
                <w:lang w:val="en-GB"/>
              </w:rPr>
              <w:t>EventNotifier</w:t>
            </w:r>
            <w:proofErr w:type="spellEnd"/>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lastRenderedPageBreak/>
        <w:t>Variables</w:t>
      </w:r>
    </w:p>
    <w:p w14:paraId="25DB5BA6" w14:textId="6B4C7AA3"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79147C" w:rsidRPr="00EC120D">
        <w:t xml:space="preserve">Table </w:t>
      </w:r>
      <w:r w:rsidR="0079147C">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6B57AB9F" w14:textId="4533FECF" w:rsidR="00831FE3" w:rsidRPr="00EC120D" w:rsidRDefault="00831FE3" w:rsidP="00831FE3">
      <w:pPr>
        <w:pStyle w:val="TABLE-title"/>
      </w:pPr>
      <w:bookmarkStart w:id="153" w:name="_Ref499807645"/>
      <w:bookmarkStart w:id="154" w:name="_Toc265516746"/>
      <w:bookmarkStart w:id="155" w:name="_Toc332195662"/>
      <w:bookmarkStart w:id="156" w:name="_Toc499116101"/>
      <w:bookmarkStart w:id="157" w:name="_Toc34394285"/>
      <w:bookmarkStart w:id="158" w:name="_Toc184117027"/>
      <w:r w:rsidRPr="00EC120D">
        <w:t xml:space="preserve">Table </w:t>
      </w:r>
      <w:r w:rsidRPr="004C388A">
        <w:fldChar w:fldCharType="begin"/>
      </w:r>
      <w:r w:rsidRPr="004C388A">
        <w:instrText xml:space="preserve"> SEQ Table \* ARABIC </w:instrText>
      </w:r>
      <w:r w:rsidRPr="004C388A">
        <w:fldChar w:fldCharType="separate"/>
      </w:r>
      <w:r w:rsidR="0079147C">
        <w:rPr>
          <w:noProof/>
        </w:rPr>
        <w:t>9</w:t>
      </w:r>
      <w:r w:rsidRPr="004C388A">
        <w:fldChar w:fldCharType="end"/>
      </w:r>
      <w:bookmarkEnd w:id="153"/>
      <w:r w:rsidRPr="00EC120D">
        <w:t xml:space="preserve"> – Common Variable Attributes</w:t>
      </w:r>
      <w:bookmarkEnd w:id="154"/>
      <w:bookmarkEnd w:id="155"/>
      <w:bookmarkEnd w:id="156"/>
      <w:bookmarkEnd w:id="157"/>
      <w:bookmarkEnd w:id="158"/>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proofErr w:type="spellStart"/>
            <w:r w:rsidRPr="004C388A">
              <w:rPr>
                <w:lang w:val="en-GB"/>
              </w:rPr>
              <w:t>MinimumSamplingInterval</w:t>
            </w:r>
            <w:proofErr w:type="spellEnd"/>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proofErr w:type="spellStart"/>
            <w:r w:rsidRPr="004C388A">
              <w:rPr>
                <w:lang w:val="en-GB"/>
              </w:rPr>
              <w:t>AccessLevel</w:t>
            </w:r>
            <w:proofErr w:type="spellEnd"/>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proofErr w:type="spellStart"/>
            <w:r w:rsidRPr="004C388A">
              <w:rPr>
                <w:lang w:val="en-GB"/>
              </w:rPr>
              <w:t>UserAccessLevel</w:t>
            </w:r>
            <w:proofErr w:type="spellEnd"/>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proofErr w:type="spellStart"/>
            <w:r w:rsidRPr="004C388A">
              <w:rPr>
                <w:i/>
                <w:lang w:val="en-GB"/>
              </w:rPr>
              <w:t>UserAccessLevel</w:t>
            </w:r>
            <w:proofErr w:type="spellEnd"/>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proofErr w:type="spellStart"/>
            <w:r w:rsidRPr="004C388A">
              <w:rPr>
                <w:i/>
                <w:lang w:val="en-GB"/>
              </w:rPr>
              <w:t>InstanceDeclarations</w:t>
            </w:r>
            <w:proofErr w:type="spellEnd"/>
            <w:r w:rsidRPr="004C388A">
              <w:rPr>
                <w:i/>
                <w:lang w:val="en-GB"/>
              </w:rPr>
              <w:t>,</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proofErr w:type="spellStart"/>
            <w:r w:rsidRPr="004C388A">
              <w:rPr>
                <w:lang w:val="en-GB"/>
              </w:rPr>
              <w:t>ArrayDimensions</w:t>
            </w:r>
            <w:proofErr w:type="spellEnd"/>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does not identify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&lt;= 0) the </w:t>
            </w:r>
            <w:proofErr w:type="spellStart"/>
            <w:r w:rsidRPr="004C388A">
              <w:rPr>
                <w:i/>
                <w:lang w:val="en-GB"/>
              </w:rPr>
              <w:t>ArrayDimensions</w:t>
            </w:r>
            <w:proofErr w:type="spellEnd"/>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specifies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&gt; 0) then the </w:t>
            </w:r>
            <w:proofErr w:type="spellStart"/>
            <w:r w:rsidRPr="004C388A">
              <w:rPr>
                <w:i/>
                <w:lang w:val="en-GB"/>
              </w:rPr>
              <w:t>ArrayDimensions</w:t>
            </w:r>
            <w:proofErr w:type="spellEnd"/>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proofErr w:type="spellStart"/>
            <w:r w:rsidRPr="004C388A">
              <w:rPr>
                <w:lang w:val="en-GB"/>
              </w:rPr>
              <w:t>AccessLevelEx</w:t>
            </w:r>
            <w:proofErr w:type="spellEnd"/>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AccessLevelEx</w:t>
            </w:r>
            <w:proofErr w:type="spellEnd"/>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proofErr w:type="spellStart"/>
      <w:r w:rsidRPr="00EC120D">
        <w:t>VariableTypes</w:t>
      </w:r>
      <w:proofErr w:type="spellEnd"/>
    </w:p>
    <w:p w14:paraId="6FA55308" w14:textId="76C33B8D" w:rsidR="00831FE3" w:rsidRPr="00EC120D" w:rsidRDefault="00831FE3" w:rsidP="00831FE3">
      <w:pPr>
        <w:pStyle w:val="PARAGRAPH"/>
      </w:pPr>
      <w:r w:rsidRPr="00EC120D">
        <w:t xml:space="preserve">For all </w:t>
      </w:r>
      <w:proofErr w:type="spellStart"/>
      <w:r w:rsidRPr="00EC120D">
        <w:rPr>
          <w:i/>
        </w:rPr>
        <w:t>VariableTypes</w:t>
      </w:r>
      <w:proofErr w:type="spellEnd"/>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79147C" w:rsidRPr="00EC120D">
        <w:t xml:space="preserve">Table </w:t>
      </w:r>
      <w:r w:rsidR="0079147C">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346F5517" w14:textId="5FA6D3E3" w:rsidR="00831FE3" w:rsidRPr="00EC120D" w:rsidRDefault="00831FE3" w:rsidP="00831FE3">
      <w:pPr>
        <w:pStyle w:val="TABLE-title"/>
      </w:pPr>
      <w:bookmarkStart w:id="159" w:name="_Ref499807679"/>
      <w:bookmarkStart w:id="160" w:name="_Toc265516747"/>
      <w:bookmarkStart w:id="161" w:name="_Toc332195663"/>
      <w:bookmarkStart w:id="162" w:name="_Toc499116102"/>
      <w:bookmarkStart w:id="163" w:name="_Toc34394286"/>
      <w:bookmarkStart w:id="164" w:name="_Toc184117028"/>
      <w:r w:rsidRPr="00EC120D">
        <w:t xml:space="preserve">Table </w:t>
      </w:r>
      <w:r w:rsidRPr="004C388A">
        <w:fldChar w:fldCharType="begin"/>
      </w:r>
      <w:r w:rsidRPr="004C388A">
        <w:instrText xml:space="preserve"> SEQ Table \* ARABIC </w:instrText>
      </w:r>
      <w:r w:rsidRPr="004C388A">
        <w:fldChar w:fldCharType="separate"/>
      </w:r>
      <w:r w:rsidR="0079147C">
        <w:rPr>
          <w:noProof/>
        </w:rPr>
        <w:t>10</w:t>
      </w:r>
      <w:r w:rsidRPr="004C388A">
        <w:fldChar w:fldCharType="end"/>
      </w:r>
      <w:bookmarkEnd w:id="159"/>
      <w:r w:rsidRPr="00EC120D">
        <w:t xml:space="preserve"> – Common </w:t>
      </w:r>
      <w:proofErr w:type="spellStart"/>
      <w:r w:rsidRPr="00EC120D">
        <w:t>VariableType</w:t>
      </w:r>
      <w:proofErr w:type="spellEnd"/>
      <w:r w:rsidRPr="00EC120D">
        <w:t xml:space="preserve"> Attributes</w:t>
      </w:r>
      <w:bookmarkEnd w:id="160"/>
      <w:bookmarkEnd w:id="161"/>
      <w:bookmarkEnd w:id="162"/>
      <w:bookmarkEnd w:id="163"/>
      <w:bookmarkEnd w:id="164"/>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proofErr w:type="spellStart"/>
            <w:r w:rsidRPr="004C388A">
              <w:rPr>
                <w:lang w:val="en-GB"/>
              </w:rPr>
              <w:t>ArrayDimensions</w:t>
            </w:r>
            <w:proofErr w:type="spellEnd"/>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does not identify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&lt;= 0) the </w:t>
            </w:r>
            <w:proofErr w:type="spellStart"/>
            <w:r w:rsidRPr="004C388A">
              <w:rPr>
                <w:i/>
                <w:lang w:val="en-GB"/>
              </w:rPr>
              <w:t>ArrayDimensions</w:t>
            </w:r>
            <w:proofErr w:type="spellEnd"/>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specifies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&gt; 0) then the </w:t>
            </w:r>
            <w:proofErr w:type="spellStart"/>
            <w:r w:rsidRPr="004C388A">
              <w:rPr>
                <w:i/>
                <w:lang w:val="en-GB"/>
              </w:rPr>
              <w:t>ArrayDimensions</w:t>
            </w:r>
            <w:proofErr w:type="spellEnd"/>
            <w:r w:rsidRPr="004C388A">
              <w:rPr>
                <w:lang w:val="en-GB"/>
              </w:rPr>
              <w:t xml:space="preserve"> </w:t>
            </w:r>
            <w:r w:rsidRPr="004C388A">
              <w:rPr>
                <w:i/>
                <w:lang w:val="en-GB"/>
              </w:rPr>
              <w:t>Attribute</w:t>
            </w:r>
            <w:r w:rsidRPr="004C388A">
              <w:rPr>
                <w:lang w:val="en-GB"/>
              </w:rPr>
              <w:t xml:space="preserve"> shall be specified in the table defining the </w:t>
            </w:r>
            <w:proofErr w:type="spellStart"/>
            <w:r w:rsidRPr="004C388A">
              <w:rPr>
                <w:i/>
                <w:lang w:val="en-GB"/>
              </w:rPr>
              <w:t>VariableType</w:t>
            </w:r>
            <w:proofErr w:type="spellEnd"/>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588436A8"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79147C" w:rsidRPr="00EC120D">
        <w:t xml:space="preserve">Table </w:t>
      </w:r>
      <w:r w:rsidR="0079147C">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17D52BF4" w14:textId="2E1E92CB" w:rsidR="00831FE3" w:rsidRPr="00667BCF" w:rsidRDefault="00831FE3" w:rsidP="00831FE3">
      <w:pPr>
        <w:pStyle w:val="TABLE-title"/>
      </w:pPr>
      <w:bookmarkStart w:id="165" w:name="_Ref497310130"/>
      <w:bookmarkStart w:id="166" w:name="_Toc499116103"/>
      <w:bookmarkStart w:id="167" w:name="_Toc34394287"/>
      <w:bookmarkStart w:id="168" w:name="_Toc184117029"/>
      <w:r w:rsidRPr="00EC120D">
        <w:t xml:space="preserve">Table </w:t>
      </w:r>
      <w:r w:rsidRPr="004C388A">
        <w:fldChar w:fldCharType="begin"/>
      </w:r>
      <w:r w:rsidRPr="004C388A">
        <w:instrText xml:space="preserve"> SEQ Table \* ARABIC </w:instrText>
      </w:r>
      <w:r w:rsidRPr="004C388A">
        <w:fldChar w:fldCharType="separate"/>
      </w:r>
      <w:r w:rsidR="0079147C">
        <w:rPr>
          <w:noProof/>
        </w:rPr>
        <w:t>11</w:t>
      </w:r>
      <w:r w:rsidRPr="004C388A">
        <w:fldChar w:fldCharType="end"/>
      </w:r>
      <w:bookmarkEnd w:id="165"/>
      <w:r w:rsidRPr="00EC120D">
        <w:t xml:space="preserve"> – Common Method Attributes</w:t>
      </w:r>
      <w:bookmarkEnd w:id="166"/>
      <w:bookmarkEnd w:id="167"/>
      <w:bookmarkEnd w:id="168"/>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proofErr w:type="spellStart"/>
            <w:r w:rsidRPr="004C388A">
              <w:rPr>
                <w:lang w:val="en-GB"/>
              </w:rPr>
              <w:t>UserExecutable</w:t>
            </w:r>
            <w:proofErr w:type="spellEnd"/>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proofErr w:type="spellStart"/>
            <w:r w:rsidRPr="004C388A">
              <w:rPr>
                <w:i/>
                <w:lang w:val="en-GB"/>
              </w:rPr>
              <w:t>UserExecutable</w:t>
            </w:r>
            <w:proofErr w:type="spellEnd"/>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9" w:name="_Ref108692395"/>
      <w:bookmarkStart w:id="170" w:name="_Toc184116971"/>
      <w:r>
        <w:t>Structures</w:t>
      </w:r>
      <w:bookmarkEnd w:id="169"/>
      <w:bookmarkEnd w:id="170"/>
    </w:p>
    <w:p w14:paraId="59BC2737" w14:textId="5F87D3A5" w:rsidR="00C550A9" w:rsidRDefault="00C45EBA" w:rsidP="000E04D8">
      <w:pPr>
        <w:pStyle w:val="PARAGRAPH"/>
      </w:pPr>
      <w:r>
        <w:fldChar w:fldCharType="begin"/>
      </w:r>
      <w:r>
        <w:instrText xml:space="preserve"> REF UAPart3 \h </w:instrText>
      </w:r>
      <w:r>
        <w:fldChar w:fldCharType="separate"/>
      </w:r>
      <w:r w:rsidR="0079147C" w:rsidRPr="00EC120D">
        <w:t>OPC 10000-3</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13152F62"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1" w:name="_Hlk108519223"/>
      <w:r w:rsidR="00C45EBA" w:rsidRPr="00373E57">
        <w:t>without optional fields where none of the fields allow</w:t>
      </w:r>
      <w:r w:rsidR="004B5551">
        <w:t>s</w:t>
      </w:r>
      <w:r w:rsidR="00C45EBA" w:rsidRPr="00373E57">
        <w:t xml:space="preserve"> subtyp</w:t>
      </w:r>
      <w:bookmarkEnd w:id="171"/>
      <w:r w:rsidR="004B5551">
        <w:t>e</w:t>
      </w:r>
      <w:r w:rsidR="00373E57" w:rsidRPr="00373E57">
        <w:t xml:space="preserve"> (except fields with abstract </w:t>
      </w:r>
      <w:proofErr w:type="spellStart"/>
      <w:r w:rsidR="00373E57" w:rsidRPr="00373E57">
        <w:rPr>
          <w:i/>
          <w:iCs/>
        </w:rPr>
        <w:t>DataTypes</w:t>
      </w:r>
      <w:proofErr w:type="spellEnd"/>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79147C" w:rsidRPr="00373E57">
        <w:t xml:space="preserve">Table </w:t>
      </w:r>
      <w:r w:rsidR="0079147C">
        <w:rPr>
          <w:noProof/>
        </w:rPr>
        <w:t>12</w:t>
      </w:r>
      <w:r w:rsidRPr="00373E57">
        <w:fldChar w:fldCharType="end"/>
      </w:r>
      <w:r w:rsidR="000E04D8" w:rsidRPr="00373E57">
        <w:t>.</w:t>
      </w:r>
    </w:p>
    <w:p w14:paraId="49A4B630" w14:textId="64650119" w:rsidR="000E04D8" w:rsidRPr="00373E57" w:rsidRDefault="000E04D8" w:rsidP="000E04D8">
      <w:pPr>
        <w:pStyle w:val="TABLE-title"/>
      </w:pPr>
      <w:bookmarkStart w:id="172" w:name="_Ref108519484"/>
      <w:bookmarkStart w:id="173" w:name="_Ref108518673"/>
      <w:bookmarkStart w:id="174" w:name="_Toc184117030"/>
      <w:r w:rsidRPr="00373E57">
        <w:lastRenderedPageBreak/>
        <w:t xml:space="preserve">Table </w:t>
      </w:r>
      <w:r w:rsidRPr="00373E57">
        <w:fldChar w:fldCharType="begin"/>
      </w:r>
      <w:r w:rsidRPr="00373E57">
        <w:instrText xml:space="preserve"> SEQ Table \* ARABIC </w:instrText>
      </w:r>
      <w:r w:rsidRPr="00373E57">
        <w:fldChar w:fldCharType="separate"/>
      </w:r>
      <w:r w:rsidR="0079147C">
        <w:rPr>
          <w:noProof/>
        </w:rPr>
        <w:t>12</w:t>
      </w:r>
      <w:r w:rsidRPr="00373E57">
        <w:fldChar w:fldCharType="end"/>
      </w:r>
      <w:bookmarkEnd w:id="172"/>
      <w:r w:rsidRPr="00373E57">
        <w:t xml:space="preserve"> –</w:t>
      </w:r>
      <w:r w:rsidR="007E7F40">
        <w:t xml:space="preserve"> </w:t>
      </w:r>
      <w:r w:rsidRPr="00373E57">
        <w:t>Structures</w:t>
      </w:r>
      <w:bookmarkEnd w:id="173"/>
      <w:r w:rsidR="00DE7943" w:rsidRPr="00373E57">
        <w:t xml:space="preserve"> without optional fields where none of the fields allow subtyp</w:t>
      </w:r>
      <w:r w:rsidR="004B5551">
        <w:t>es</w:t>
      </w:r>
      <w:bookmarkEnd w:id="174"/>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w:t>
            </w:r>
            <w:proofErr w:type="spellStart"/>
            <w:r w:rsidRPr="00373E57">
              <w:rPr>
                <w:color w:val="auto"/>
                <w:lang w:val="en-GB"/>
              </w:rPr>
              <w:t>someStructure</w:t>
            </w:r>
            <w:proofErr w:type="spellEnd"/>
            <w:r w:rsidRPr="00373E57">
              <w:rPr>
                <w:color w:val="auto"/>
                <w:lang w:val="en-GB"/>
              </w:rPr>
              <w:t>&gt;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w:t>
            </w:r>
            <w:proofErr w:type="spellStart"/>
            <w:r w:rsidRPr="00373E57">
              <w:rPr>
                <w:color w:val="auto"/>
                <w:lang w:val="en-GB"/>
              </w:rPr>
              <w:t>someParentStructure</w:t>
            </w:r>
            <w:proofErr w:type="spellEnd"/>
            <w:r w:rsidRPr="00373E57">
              <w:rPr>
                <w:color w:val="auto"/>
                <w:lang w:val="en-GB"/>
              </w:rPr>
              <w:t>&gt;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0CC416DC"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proofErr w:type="spellStart"/>
      <w:r w:rsidR="00373E57" w:rsidRPr="00373E57">
        <w:rPr>
          <w:i/>
          <w:iCs/>
        </w:rPr>
        <w:t>DataTypes</w:t>
      </w:r>
      <w:proofErr w:type="spellEnd"/>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79147C" w:rsidRPr="00373E57">
        <w:t xml:space="preserve">Table </w:t>
      </w:r>
      <w:r w:rsidR="0079147C">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416D67A2" w:rsidR="00C550A9" w:rsidRPr="00373E57" w:rsidRDefault="00C550A9" w:rsidP="00C550A9">
      <w:pPr>
        <w:pStyle w:val="TABLE-title"/>
      </w:pPr>
      <w:bookmarkStart w:id="175" w:name="_Ref108519581"/>
      <w:bookmarkStart w:id="176" w:name="_Toc184117031"/>
      <w:r w:rsidRPr="00373E57">
        <w:t xml:space="preserve">Table </w:t>
      </w:r>
      <w:r w:rsidRPr="00373E57">
        <w:fldChar w:fldCharType="begin"/>
      </w:r>
      <w:r w:rsidRPr="00373E57">
        <w:instrText xml:space="preserve"> SEQ Table \* ARABIC </w:instrText>
      </w:r>
      <w:r w:rsidRPr="00373E57">
        <w:fldChar w:fldCharType="separate"/>
      </w:r>
      <w:r w:rsidR="0079147C">
        <w:rPr>
          <w:noProof/>
        </w:rPr>
        <w:t>13</w:t>
      </w:r>
      <w:r w:rsidRPr="00373E57">
        <w:fldChar w:fldCharType="end"/>
      </w:r>
      <w:bookmarkEnd w:id="175"/>
      <w:r w:rsidRPr="00373E57">
        <w:t xml:space="preserve"> –</w:t>
      </w:r>
      <w:r w:rsidR="00373E57">
        <w:t xml:space="preserve"> </w:t>
      </w:r>
      <w:r w:rsidRPr="00373E57">
        <w:t>Structures with optional fields</w:t>
      </w:r>
      <w:bookmarkEnd w:id="176"/>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w:t>
            </w:r>
            <w:proofErr w:type="spellStart"/>
            <w:r w:rsidRPr="00373E57">
              <w:rPr>
                <w:color w:val="auto"/>
                <w:lang w:val="en-GB"/>
              </w:rPr>
              <w:t>someStructure</w:t>
            </w:r>
            <w:proofErr w:type="spellEnd"/>
            <w:r w:rsidRPr="00373E57">
              <w:rPr>
                <w:color w:val="auto"/>
                <w:lang w:val="en-GB"/>
              </w:rPr>
              <w:t>&gt;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w:t>
            </w:r>
            <w:proofErr w:type="spellStart"/>
            <w:r w:rsidRPr="00373E57">
              <w:rPr>
                <w:color w:val="auto"/>
                <w:lang w:val="en-GB"/>
              </w:rPr>
              <w:t>someParentStructure</w:t>
            </w:r>
            <w:proofErr w:type="spellEnd"/>
            <w:r w:rsidRPr="00373E57">
              <w:rPr>
                <w:color w:val="auto"/>
                <w:lang w:val="en-GB"/>
              </w:rPr>
              <w:t>&gt;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407FC6A1"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79147C" w:rsidRPr="00373E57">
        <w:t xml:space="preserve">Table </w:t>
      </w:r>
      <w:r w:rsidR="0079147C">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proofErr w:type="spellStart"/>
      <w:r w:rsidR="00373E57" w:rsidRPr="00373E57">
        <w:rPr>
          <w:i/>
        </w:rPr>
        <w:t>DataTypes</w:t>
      </w:r>
      <w:proofErr w:type="spellEnd"/>
      <w:r w:rsidR="00373E57" w:rsidRPr="00373E57">
        <w:rPr>
          <w:iCs/>
        </w:rPr>
        <w:t xml:space="preserve"> </w:t>
      </w:r>
      <w:r w:rsidR="00AE64D1">
        <w:rPr>
          <w:iCs/>
        </w:rPr>
        <w:t>can always be subtyped</w:t>
      </w:r>
      <w:r w:rsidR="00373E57" w:rsidRPr="00373E57">
        <w:rPr>
          <w:iCs/>
        </w:rPr>
        <w:t>.</w:t>
      </w:r>
    </w:p>
    <w:p w14:paraId="088FC349" w14:textId="05888FB4" w:rsidR="00C550A9" w:rsidRPr="00373E57" w:rsidRDefault="00C550A9" w:rsidP="00C550A9">
      <w:pPr>
        <w:pStyle w:val="TABLE-title"/>
      </w:pPr>
      <w:bookmarkStart w:id="177" w:name="_Ref108519635"/>
      <w:bookmarkStart w:id="178" w:name="_Toc184117032"/>
      <w:r w:rsidRPr="00373E57">
        <w:t xml:space="preserve">Table </w:t>
      </w:r>
      <w:r w:rsidRPr="00373E57">
        <w:fldChar w:fldCharType="begin"/>
      </w:r>
      <w:r w:rsidRPr="00373E57">
        <w:instrText xml:space="preserve"> SEQ Table \* ARABIC </w:instrText>
      </w:r>
      <w:r w:rsidRPr="00373E57">
        <w:fldChar w:fldCharType="separate"/>
      </w:r>
      <w:r w:rsidR="0079147C">
        <w:rPr>
          <w:noProof/>
        </w:rPr>
        <w:t>14</w:t>
      </w:r>
      <w:r w:rsidRPr="00373E57">
        <w:fldChar w:fldCharType="end"/>
      </w:r>
      <w:bookmarkEnd w:id="177"/>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78"/>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w:t>
            </w:r>
            <w:proofErr w:type="spellStart"/>
            <w:r w:rsidRPr="00373E57">
              <w:rPr>
                <w:color w:val="auto"/>
                <w:lang w:val="en-GB"/>
              </w:rPr>
              <w:t>someStructure</w:t>
            </w:r>
            <w:proofErr w:type="spellEnd"/>
            <w:r w:rsidRPr="00373E57">
              <w:rPr>
                <w:color w:val="auto"/>
                <w:lang w:val="en-GB"/>
              </w:rPr>
              <w:t>&gt;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w:t>
            </w:r>
            <w:proofErr w:type="spellStart"/>
            <w:r w:rsidRPr="00373E57">
              <w:rPr>
                <w:color w:val="auto"/>
                <w:lang w:val="en-GB"/>
              </w:rPr>
              <w:t>someParentStructure</w:t>
            </w:r>
            <w:proofErr w:type="spellEnd"/>
            <w:r w:rsidRPr="00373E57">
              <w:rPr>
                <w:color w:val="auto"/>
                <w:lang w:val="en-GB"/>
              </w:rPr>
              <w:t>&gt;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 xml:space="preserve">Some </w:t>
            </w:r>
            <w:proofErr w:type="spellStart"/>
            <w:r w:rsidRPr="00373E57">
              <w:rPr>
                <w:color w:val="auto"/>
                <w:lang w:val="en-GB"/>
              </w:rPr>
              <w:t>Bytestring</w:t>
            </w:r>
            <w:proofErr w:type="spellEnd"/>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proofErr w:type="spellStart"/>
      <w:r w:rsidRPr="00163EEB">
        <w:rPr>
          <w:i/>
          <w:iCs/>
          <w:color w:val="CC3300"/>
          <w:lang w:eastAsia="ja-JP"/>
        </w:rPr>
        <w:t>DataTypes</w:t>
      </w:r>
      <w:proofErr w:type="spellEnd"/>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471" w:name="_Clause_c4"/>
      <w:bookmarkStart w:id="187" w:name="_Toc442691849"/>
      <w:bookmarkStart w:id="188" w:name="_Toc29911974"/>
      <w:bookmarkStart w:id="189" w:name="_Toc184116978"/>
      <w:bookmarkEnd w:id="78"/>
      <w:bookmarkEnd w:id="79"/>
      <w:bookmarkEnd w:id="80"/>
      <w:bookmarkEnd w:id="81"/>
      <w:bookmarkEnd w:id="82"/>
      <w:r w:rsidRPr="00EC120D">
        <w:lastRenderedPageBreak/>
        <w:t xml:space="preserve">General information to WoT Binding and OPC UA</w:t>
      </w:r>
      <w:r w:rsidRPr="00EC120D">
        <w:rPr>
          <w:color w:val="FF0000"/>
        </w:rPr>
        <w:t xml:space="preserve"/>
      </w:r>
      <w:r w:rsidRPr="00EC120D">
        <w:t/>
      </w:r>
      <w:bookmarkEnd w:id="187"/>
      <w:bookmarkEnd w:id="188"/>
      <w:bookmarkEnd w:id="189"/>
      <w:bookmarkEnd w:id="471"/>
    </w:p>
    <w:p w14:paraId="5E4E1B10" w14:textId="77777777" w:rsidR="00F95EC5" w:rsidRPr="00EC120D" w:rsidRDefault="00831FE3" w:rsidP="00F95EC5">
      <w:pPr>
        <w:pStyle w:val="Heading2"/>
        <w:ind w:left="0" w:firstLine="0"/>
      </w:pPr>
      <w:bookmarkStart w:id="472" w:name="_Clause_c4_1"/>
      <w:bookmarkStart w:id="190" w:name="_Toc442691850"/>
      <w:bookmarkStart w:id="191" w:name="_Toc29911975"/>
      <w:bookmarkStart w:id="192" w:name="_Toc184116979"/>
      <w:r w:rsidRPr="00EC120D">
        <w:t xml:space="preserve">Introduction to WoT Binding</w:t>
      </w:r>
      <w:bookmarkEnd w:id="190"/>
      <w:r w:rsidRPr="00EC120D">
        <w:rPr>
          <w:color w:val="FF0000"/>
        </w:rPr>
        <w:t/>
      </w:r>
      <w:bookmarkEnd w:id="191"/>
      <w:bookmarkEnd w:id="192"/>
      <w:bookmarkEnd w:id="472"/>
    </w:p>
    <w:p w14:paraId="59BD7E05">
      <w:pPr>
        <w:pStyle w:val="PARAGRAPH"/>
      </w:pPr>
      <w:r>
        <w:t xml:space="preserve">The W3C Web of Things (WoT) describes a device or a service by a Thing Description: a JSON-LD document that names its properties, actions and events and states which protocol operation reads, writes, observes or invokes each of them. A Thing Model is the reusable, instance-independent template a Thing Description is derived from. Which protocol an affordance actually speaks is supplied by a binding: a vocabulary that maps the abstract operations onto one concrete protocol.</w:t>
      </w:r>
    </w:p>
    <w:p w14:paraId="35956AED">
      <w:pPr>
        <w:pStyle w:val="PARAGRAPH"/>
      </w:pPr>
      <w:r>
        <w:t xml:space="preserve">This document is that binding for OPC UA. It defines the JSON-LD vocabulary bound to the prefix uav, with which a Thing Description addresses OPC UA Nodes, expresses the Read, Write, Observe and Call operations as OPC UA Services, and carries the parts of an address space — NodeClasses, Attributes, References and modelling rules — that a Thing Description otherwise has no way to say.</w:t>
      </w:r>
    </w:p>
    <w:p w14:paraId="01E1851B">
      <w:pPr>
        <w:pStyle w:val="PARAGRAPH"/>
      </w:pPr>
      <w:r>
        <w:t xml:space="preserve">Because the vocabulary covers the address space and not only the protocol, it is also a conversion format: a NodeSet2 file can be expressed as a Thing Model or Thing Description and recovered from it, with the exceptional cases that a semantic mapping cannot reach carried in an explicit, verifiable envelope.</w:t>
      </w:r>
    </w:p>
    <w:p w14:paraId="0FC17205" w14:textId="77777777" w:rsidR="00F95EC5" w:rsidRPr="00EC120D" w:rsidRDefault="00831FE3" w:rsidP="003C6085">
      <w:pPr>
        <w:pStyle w:val="Heading2"/>
      </w:pPr>
      <w:bookmarkStart w:id="473" w:name="_Clause_c4_2"/>
      <w:bookmarkStart w:id="193" w:name="_Toc442691851"/>
      <w:bookmarkStart w:id="194" w:name="_Toc29911976"/>
      <w:bookmarkStart w:id="195" w:name="_Toc184116980"/>
      <w:r w:rsidRPr="00EC120D">
        <w:t>Introduction to OPC Unified Architecture</w:t>
      </w:r>
      <w:bookmarkEnd w:id="193"/>
      <w:bookmarkEnd w:id="194"/>
      <w:bookmarkEnd w:id="195"/>
      <w:bookmarkEnd w:id="473"/>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6" w:name="_Toc29911977"/>
      <w:bookmarkStart w:id="197" w:name="_Toc184116981"/>
      <w:r w:rsidRPr="00EC120D">
        <w:t>What is OPC UA?</w:t>
      </w:r>
      <w:bookmarkEnd w:id="196"/>
      <w:bookmarkEnd w:id="197"/>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3D0BDFC0"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79147C" w:rsidRPr="00EC120D">
        <w:t>OPC 10000-2</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 xml:space="preserve">WoT Binding</w:t>
      </w:r>
      <w:r w:rsidRPr="00EC120D">
        <w:t>, OPC UA makes it easier for end users to access data via generic commercial applications.</w:t>
      </w:r>
    </w:p>
    <w:p w14:paraId="4EDB4123" w14:textId="39133CDD"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79147C" w:rsidRPr="00EC120D">
        <w:t>OPC 10000-1</w:t>
      </w:r>
      <w:r w:rsidRPr="00EC120D">
        <w:fldChar w:fldCharType="end"/>
      </w:r>
      <w:r w:rsidRPr="00EC120D">
        <w:t>.</w:t>
      </w:r>
    </w:p>
    <w:p w14:paraId="4C5EC06B" w14:textId="5129340C" w:rsidR="00F95EC5" w:rsidRPr="00EC120D" w:rsidRDefault="003C6085" w:rsidP="003C6085">
      <w:pPr>
        <w:pStyle w:val="Heading3"/>
      </w:pPr>
      <w:bookmarkStart w:id="198" w:name="_Toc184116982"/>
      <w:r w:rsidRPr="00EC120D">
        <w:t>Basics of OPC UA</w:t>
      </w:r>
      <w:bookmarkEnd w:id="198"/>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3BF23A54"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79147C" w:rsidRPr="004C388A">
        <w:t>OPC 10000-4</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539FB4D0"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79147C" w:rsidRPr="00EC120D">
        <w:t xml:space="preserve">Figure </w:t>
      </w:r>
      <w:r w:rsidR="0079147C">
        <w:rPr>
          <w:noProof/>
        </w:rPr>
        <w:t>1</w:t>
      </w:r>
      <w:r w:rsidRPr="00EC120D">
        <w:fldChar w:fldCharType="end"/>
      </w:r>
      <w:r w:rsidRPr="00EC120D">
        <w:t>.</w:t>
      </w:r>
    </w:p>
    <w:p w14:paraId="0BD1B04E" w14:textId="77777777" w:rsidR="003C6085" w:rsidRPr="004C388A" w:rsidRDefault="003C6085" w:rsidP="003C6085">
      <w:pPr>
        <w:pStyle w:val="Figure0"/>
        <w:rPr>
          <w:rFonts w:cs="Calibri"/>
          <w:lang w:val="en-GB"/>
        </w:rPr>
      </w:pPr>
      <w:r w:rsidRPr="004C388A">
        <w:rPr>
          <w:lang w:val="en-GB"/>
        </w:rPr>
        <w:object w:dxaOrig="7122" w:dyaOrig="5346" w14:anchorId="34BE9A3C">
          <v:shape id="_x0000_i1029" type="#_x0000_t75" style="width:317.85pt;height:233.6pt" o:ole="">
            <v:imagedata r:id="rId93" o:title=""/>
          </v:shape>
          <o:OLEObject Type="Embed" ProgID="PowerPoint.Slide.12" ShapeID="_x0000_i1029" DrawAspect="Content" ObjectID="_1798900207" r:id="rId94"/>
        </w:object>
      </w:r>
    </w:p>
    <w:p w14:paraId="06654834" w14:textId="45633056" w:rsidR="003C6085" w:rsidRPr="00EC120D" w:rsidRDefault="003C6085" w:rsidP="003C6085">
      <w:pPr>
        <w:pStyle w:val="FIGURE-title"/>
      </w:pPr>
      <w:bookmarkStart w:id="199" w:name="_Ref531777624"/>
      <w:bookmarkStart w:id="200" w:name="_Toc34394275"/>
      <w:bookmarkStart w:id="201" w:name="_Toc184117014"/>
      <w:r w:rsidRPr="00EC120D">
        <w:t xml:space="preserve">Figure </w:t>
      </w:r>
      <w:r w:rsidRPr="004C388A">
        <w:fldChar w:fldCharType="begin"/>
      </w:r>
      <w:r w:rsidRPr="004C388A">
        <w:instrText xml:space="preserve"> SEQ Figure \* ARABIC </w:instrText>
      </w:r>
      <w:r w:rsidRPr="004C388A">
        <w:fldChar w:fldCharType="separate"/>
      </w:r>
      <w:r w:rsidR="0079147C">
        <w:rPr>
          <w:noProof/>
        </w:rPr>
        <w:t>1</w:t>
      </w:r>
      <w:r w:rsidRPr="004C388A">
        <w:fldChar w:fldCharType="end"/>
      </w:r>
      <w:bookmarkEnd w:id="199"/>
      <w:r w:rsidRPr="00EC120D">
        <w:t xml:space="preserve"> – The </w:t>
      </w:r>
      <w:r w:rsidR="00A008E6" w:rsidRPr="00EC120D">
        <w:t xml:space="preserve">scope </w:t>
      </w:r>
      <w:r w:rsidRPr="00EC120D">
        <w:t xml:space="preserve">of OPC UA within an </w:t>
      </w:r>
      <w:bookmarkEnd w:id="200"/>
      <w:r w:rsidR="00A008E6" w:rsidRPr="00EC120D">
        <w:t>enterprise</w:t>
      </w:r>
      <w:bookmarkEnd w:id="201"/>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2" w:name="_Toc29911979"/>
      <w:bookmarkStart w:id="203" w:name="_Toc184116983"/>
      <w:r w:rsidRPr="00EC120D">
        <w:t>Information modelling in OPC UA</w:t>
      </w:r>
      <w:bookmarkEnd w:id="202"/>
      <w:bookmarkEnd w:id="203"/>
    </w:p>
    <w:p w14:paraId="16F8C7B1" w14:textId="49269D90" w:rsidR="003C6085" w:rsidRPr="00EC120D" w:rsidRDefault="003C6085" w:rsidP="003C6085">
      <w:pPr>
        <w:pStyle w:val="Heading4"/>
      </w:pPr>
      <w:r w:rsidRPr="00EC120D">
        <w:t>Concepts</w:t>
      </w:r>
    </w:p>
    <w:p w14:paraId="277B85E1" w14:textId="1B0DD35A"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proofErr w:type="spellStart"/>
      <w:r w:rsidRPr="00EC120D">
        <w:rPr>
          <w:i/>
        </w:rPr>
        <w:t>AddressSpace</w:t>
      </w:r>
      <w:proofErr w:type="spellEnd"/>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proofErr w:type="spellStart"/>
      <w:r w:rsidRPr="00EC120D">
        <w:rPr>
          <w:i/>
        </w:rPr>
        <w:t>DataType</w:t>
      </w:r>
      <w:proofErr w:type="spellEnd"/>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proofErr w:type="spellStart"/>
      <w:r w:rsidRPr="00EC120D">
        <w:rPr>
          <w:i/>
        </w:rPr>
        <w:t>NodeId</w:t>
      </w:r>
      <w:proofErr w:type="spellEnd"/>
      <w:r w:rsidRPr="00EC120D">
        <w:t xml:space="preserve"> and non-localized name called as </w:t>
      </w:r>
      <w:proofErr w:type="spellStart"/>
      <w:r w:rsidRPr="00EC120D">
        <w:rPr>
          <w:i/>
        </w:rPr>
        <w:t>BrowseName</w:t>
      </w:r>
      <w:proofErr w:type="spellEnd"/>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79147C" w:rsidRPr="00EC120D">
        <w:t xml:space="preserve">Figure </w:t>
      </w:r>
      <w:r w:rsidR="0079147C">
        <w:rPr>
          <w:noProof/>
        </w:rPr>
        <w:t>2</w:t>
      </w:r>
      <w:r w:rsidRPr="00EC120D">
        <w:fldChar w:fldCharType="end"/>
      </w:r>
      <w:r w:rsidRPr="00EC120D">
        <w:t>.</w:t>
      </w:r>
    </w:p>
    <w:commentRangeStart w:id="204"/>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30" type="#_x0000_t75" style="width:378.4pt;height:270.4pt" o:ole="">
            <v:imagedata r:id="rId95" o:title=""/>
          </v:shape>
          <o:OLEObject Type="Embed" ProgID="VisioViewer.Viewer.1" ShapeID="_x0000_i1030" DrawAspect="Content" ObjectID="_1798900208" r:id="rId96"/>
        </w:object>
      </w:r>
      <w:commentRangeEnd w:id="204"/>
      <w:r w:rsidRPr="00EC120D">
        <w:rPr>
          <w:rStyle w:val="CommentReference"/>
          <w:rFonts w:ascii="Arial" w:hAnsi="Arial"/>
          <w:spacing w:val="8"/>
          <w:lang w:val="en-GB"/>
        </w:rPr>
        <w:commentReference w:id="204"/>
      </w:r>
    </w:p>
    <w:p w14:paraId="4F308B6A" w14:textId="5FF10ED0" w:rsidR="003C6085" w:rsidRPr="00EC120D" w:rsidRDefault="003C6085" w:rsidP="003C6085">
      <w:pPr>
        <w:pStyle w:val="FIGURE-title"/>
      </w:pPr>
      <w:bookmarkStart w:id="205" w:name="_Ref495481497"/>
      <w:bookmarkStart w:id="206" w:name="_Toc34394276"/>
      <w:bookmarkStart w:id="207" w:name="_Toc184117015"/>
      <w:r w:rsidRPr="00EC120D">
        <w:t xml:space="preserve">Figure </w:t>
      </w:r>
      <w:r w:rsidRPr="004C388A">
        <w:fldChar w:fldCharType="begin"/>
      </w:r>
      <w:r w:rsidRPr="004C388A">
        <w:instrText xml:space="preserve"> SEQ Figure \* ARABIC </w:instrText>
      </w:r>
      <w:r w:rsidRPr="004C388A">
        <w:fldChar w:fldCharType="separate"/>
      </w:r>
      <w:r w:rsidR="0079147C">
        <w:rPr>
          <w:noProof/>
        </w:rPr>
        <w:t>2</w:t>
      </w:r>
      <w:r w:rsidRPr="004C388A">
        <w:fldChar w:fldCharType="end"/>
      </w:r>
      <w:bookmarkEnd w:id="205"/>
      <w:r w:rsidRPr="00EC120D">
        <w:t xml:space="preserve"> – A </w:t>
      </w:r>
      <w:r w:rsidR="00A008E6" w:rsidRPr="00EC120D">
        <w:t xml:space="preserve">basic </w:t>
      </w:r>
      <w:r w:rsidRPr="00EC120D">
        <w:t>Object in an OPC UA Address Space</w:t>
      </w:r>
      <w:bookmarkEnd w:id="206"/>
      <w:bookmarkEnd w:id="207"/>
      <w:r w:rsidRPr="00EC120D">
        <w:t xml:space="preserve"> </w:t>
      </w:r>
    </w:p>
    <w:p w14:paraId="14613847" w14:textId="77B5CFCD"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proofErr w:type="spellStart"/>
      <w:r w:rsidRPr="00EC120D">
        <w:rPr>
          <w:i/>
        </w:rPr>
        <w:t>TypeDefinition</w:t>
      </w:r>
      <w:proofErr w:type="spellEnd"/>
      <w:r w:rsidRPr="00EC120D">
        <w:t xml:space="preserve"> (</w:t>
      </w:r>
      <w:r w:rsidRPr="00EC120D">
        <w:rPr>
          <w:i/>
        </w:rPr>
        <w:t>ObjectType</w:t>
      </w:r>
      <w:r w:rsidRPr="00EC120D">
        <w:t xml:space="preserve"> or </w:t>
      </w:r>
      <w:proofErr w:type="spellStart"/>
      <w:r w:rsidRPr="00EC120D">
        <w:rPr>
          <w:i/>
        </w:rPr>
        <w:t>VariableType</w:t>
      </w:r>
      <w:proofErr w:type="spellEnd"/>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79147C" w:rsidRPr="00EC120D">
        <w:t xml:space="preserve">Figure </w:t>
      </w:r>
      <w:r w:rsidR="0079147C">
        <w:rPr>
          <w:noProof/>
        </w:rPr>
        <w:t>3</w:t>
      </w:r>
      <w:r w:rsidRPr="00EC120D">
        <w:fldChar w:fldCharType="end"/>
      </w:r>
      <w:r w:rsidRPr="00EC120D">
        <w:t xml:space="preserve"> illustrates the relationship between an instance and its </w:t>
      </w:r>
      <w:proofErr w:type="spellStart"/>
      <w:r w:rsidRPr="00EC120D">
        <w:rPr>
          <w:i/>
        </w:rPr>
        <w:t>TypeDefinition</w:t>
      </w:r>
      <w:proofErr w:type="spellEnd"/>
      <w:r w:rsidRPr="00EC120D">
        <w:t>.</w:t>
      </w:r>
    </w:p>
    <w:p w14:paraId="70B8BC4E" w14:textId="042AEA15"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79147C" w:rsidRPr="00EC120D">
        <w:t xml:space="preserve">Figure </w:t>
      </w:r>
      <w:r w:rsidR="0079147C">
        <w:rPr>
          <w:noProof/>
        </w:rPr>
        <w:t>3</w:t>
      </w:r>
      <w:r w:rsidRPr="00EC120D">
        <w:fldChar w:fldCharType="end"/>
      </w:r>
      <w:r w:rsidRPr="00EC120D">
        <w:t xml:space="preserve"> the </w:t>
      </w:r>
      <w:proofErr w:type="spellStart"/>
      <w:r w:rsidRPr="00EC120D">
        <w:t>PersonType</w:t>
      </w:r>
      <w:proofErr w:type="spellEnd"/>
      <w:r w:rsidRPr="00667BCF">
        <w:rPr>
          <w:i/>
        </w:rPr>
        <w:t xml:space="preserve"> ObjectType</w:t>
      </w:r>
      <w:r w:rsidRPr="00667BCF">
        <w:t xml:space="preserve"> defines two children: First Name and Last Name. All instances of </w:t>
      </w:r>
      <w:proofErr w:type="spellStart"/>
      <w:r w:rsidRPr="00667BCF">
        <w:t>PersonType</w:t>
      </w:r>
      <w:proofErr w:type="spellEnd"/>
      <w:r w:rsidRPr="00667BCF">
        <w:t xml:space="preserve"> are expected to have the same children with the same </w:t>
      </w:r>
      <w:proofErr w:type="spellStart"/>
      <w:r w:rsidRPr="00EC120D">
        <w:rPr>
          <w:i/>
        </w:rPr>
        <w:t>BrowseNames</w:t>
      </w:r>
      <w:proofErr w:type="spellEnd"/>
      <w:r w:rsidRPr="00EC120D">
        <w:t xml:space="preserve">. Within a type the </w:t>
      </w:r>
      <w:proofErr w:type="spellStart"/>
      <w:r w:rsidRPr="00EC120D">
        <w:rPr>
          <w:i/>
        </w:rPr>
        <w:t>BrowseNames</w:t>
      </w:r>
      <w:proofErr w:type="spellEnd"/>
      <w:r w:rsidRPr="00EC120D">
        <w:t xml:space="preserve"> uniquely identify the children. This means </w:t>
      </w:r>
      <w:r w:rsidRPr="00EC120D">
        <w:rPr>
          <w:i/>
        </w:rPr>
        <w:t>Client</w:t>
      </w:r>
      <w:r w:rsidRPr="00EC120D">
        <w:t xml:space="preserve"> applications can be designed to search for children based on the </w:t>
      </w:r>
      <w:proofErr w:type="spellStart"/>
      <w:r w:rsidRPr="00EC120D">
        <w:rPr>
          <w:i/>
        </w:rPr>
        <w:t>BrowseNames</w:t>
      </w:r>
      <w:proofErr w:type="spellEnd"/>
      <w:r w:rsidRPr="00EC120D">
        <w:t xml:space="preserve"> from the type instead of </w:t>
      </w:r>
      <w:proofErr w:type="spellStart"/>
      <w:r w:rsidRPr="00EC120D">
        <w:rPr>
          <w:i/>
        </w:rPr>
        <w:t>NodeIds</w:t>
      </w:r>
      <w:proofErr w:type="spellEnd"/>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284977FF"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79147C" w:rsidRPr="00EC120D">
        <w:t>OPC 10000-3</w:t>
      </w:r>
      <w:r w:rsidRPr="00EC120D">
        <w:fldChar w:fldCharType="end"/>
      </w:r>
      <w:r w:rsidRPr="00EC120D">
        <w:t xml:space="preserve">, but in general they allow the extension of a given type or the restriction of a </w:t>
      </w:r>
      <w:proofErr w:type="spellStart"/>
      <w:r w:rsidRPr="00EC120D">
        <w:rPr>
          <w:i/>
        </w:rPr>
        <w:t>DataType</w:t>
      </w:r>
      <w:proofErr w:type="spellEnd"/>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proofErr w:type="spellStart"/>
      <w:r w:rsidRPr="00EC120D">
        <w:rPr>
          <w:i/>
        </w:rPr>
        <w:t>DataTypes</w:t>
      </w:r>
      <w:proofErr w:type="spellEnd"/>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31" type="#_x0000_t75" style="width:342.4pt;height:353.85pt" o:ole="">
            <v:imagedata r:id="rId101" o:title=""/>
          </v:shape>
          <o:OLEObject Type="Embed" ProgID="VisioViewer.Viewer.1" ShapeID="_x0000_i1031" DrawAspect="Content" ObjectID="_1798900209" r:id="rId102"/>
        </w:object>
      </w:r>
    </w:p>
    <w:p w14:paraId="4274134E" w14:textId="637C62F6" w:rsidR="003C6085" w:rsidRPr="00EC120D" w:rsidRDefault="003C6085" w:rsidP="003C6085">
      <w:pPr>
        <w:pStyle w:val="FIGURE-title"/>
      </w:pPr>
      <w:bookmarkStart w:id="208" w:name="_Ref495481599"/>
      <w:bookmarkStart w:id="209" w:name="_Toc34394277"/>
      <w:bookmarkStart w:id="210" w:name="_Toc184117016"/>
      <w:r w:rsidRPr="00EC120D">
        <w:t xml:space="preserve">Figure </w:t>
      </w:r>
      <w:r w:rsidRPr="004C388A">
        <w:fldChar w:fldCharType="begin"/>
      </w:r>
      <w:r w:rsidRPr="004C388A">
        <w:instrText xml:space="preserve"> SEQ Figure \* ARABIC </w:instrText>
      </w:r>
      <w:r w:rsidRPr="004C388A">
        <w:fldChar w:fldCharType="separate"/>
      </w:r>
      <w:r w:rsidR="0079147C">
        <w:rPr>
          <w:noProof/>
        </w:rPr>
        <w:t>3</w:t>
      </w:r>
      <w:r w:rsidRPr="004C388A">
        <w:fldChar w:fldCharType="end"/>
      </w:r>
      <w:bookmarkEnd w:id="208"/>
      <w:r w:rsidRPr="00EC120D">
        <w:t xml:space="preserve"> – The </w:t>
      </w:r>
      <w:r w:rsidR="00A008E6" w:rsidRPr="00EC120D">
        <w:t xml:space="preserve">relationship </w:t>
      </w:r>
      <w:r w:rsidRPr="00EC120D">
        <w:t>between Type Definitions and Instances</w:t>
      </w:r>
      <w:bookmarkEnd w:id="209"/>
      <w:bookmarkEnd w:id="210"/>
      <w:r w:rsidRPr="00EC120D">
        <w:t xml:space="preserve"> </w:t>
      </w:r>
    </w:p>
    <w:p w14:paraId="7A156B1A" w14:textId="1EE0DC0B"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proofErr w:type="spellStart"/>
      <w:r w:rsidRPr="00EC120D">
        <w:rPr>
          <w:i/>
        </w:rPr>
        <w:t>ReferenceType</w:t>
      </w:r>
      <w:proofErr w:type="spellEnd"/>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proofErr w:type="spellStart"/>
      <w:r w:rsidRPr="00EC120D">
        <w:rPr>
          <w:i/>
        </w:rPr>
        <w:t>ReferenceType</w:t>
      </w:r>
      <w:proofErr w:type="spellEnd"/>
      <w:r w:rsidRPr="00EC120D">
        <w:t xml:space="preserve"> by creating subtypes of an existing </w:t>
      </w:r>
      <w:proofErr w:type="spellStart"/>
      <w:r w:rsidRPr="00EC120D">
        <w:rPr>
          <w:i/>
        </w:rPr>
        <w:t>ReferenceType</w:t>
      </w:r>
      <w:proofErr w:type="spellEnd"/>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79147C" w:rsidRPr="00EC120D">
        <w:t xml:space="preserve">Figure </w:t>
      </w:r>
      <w:r w:rsidR="0079147C">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32" type="#_x0000_t75" style="width:413.6pt;height:330.15pt" o:ole="">
            <v:imagedata r:id="rId103" o:title=""/>
          </v:shape>
          <o:OLEObject Type="Embed" ProgID="VisioViewer.Viewer.1" ShapeID="_x0000_i1032" DrawAspect="Content" ObjectID="_1798900210" r:id="rId104"/>
        </w:object>
      </w:r>
    </w:p>
    <w:p w14:paraId="72842122" w14:textId="276DD2A9" w:rsidR="003C6085" w:rsidRPr="00667BCF" w:rsidRDefault="003C6085" w:rsidP="003C6085">
      <w:pPr>
        <w:pStyle w:val="FIGURE-title"/>
      </w:pPr>
      <w:bookmarkStart w:id="211" w:name="_Ref495482128"/>
      <w:bookmarkStart w:id="212" w:name="_Toc34394278"/>
      <w:bookmarkStart w:id="213" w:name="_Toc184117017"/>
      <w:r w:rsidRPr="00EC120D">
        <w:t xml:space="preserve">Figure </w:t>
      </w:r>
      <w:r w:rsidRPr="004C388A">
        <w:fldChar w:fldCharType="begin"/>
      </w:r>
      <w:r w:rsidRPr="004C388A">
        <w:instrText xml:space="preserve"> SEQ Figure \* ARABIC </w:instrText>
      </w:r>
      <w:r w:rsidRPr="004C388A">
        <w:fldChar w:fldCharType="separate"/>
      </w:r>
      <w:r w:rsidR="0079147C">
        <w:rPr>
          <w:noProof/>
        </w:rPr>
        <w:t>4</w:t>
      </w:r>
      <w:r w:rsidRPr="004C388A">
        <w:fldChar w:fldCharType="end"/>
      </w:r>
      <w:bookmarkEnd w:id="211"/>
      <w:r w:rsidRPr="00EC120D">
        <w:t xml:space="preserve"> – Examples of References between Objects</w:t>
      </w:r>
      <w:bookmarkEnd w:id="212"/>
      <w:bookmarkEnd w:id="213"/>
      <w:r w:rsidRPr="00EC120D">
        <w:t xml:space="preserve"> </w:t>
      </w:r>
    </w:p>
    <w:p w14:paraId="51F818ED" w14:textId="3E874D57"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79147C" w:rsidRPr="00EC120D">
        <w:t xml:space="preserve">Figure </w:t>
      </w:r>
      <w:r w:rsidR="0079147C">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proofErr w:type="spellStart"/>
      <w:r w:rsidRPr="00EC120D">
        <w:rPr>
          <w:i/>
        </w:rPr>
        <w:t>AddressSpace</w:t>
      </w:r>
      <w:proofErr w:type="spellEnd"/>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33" type="#_x0000_t75" style="width:468pt;height:233.6pt" o:ole="">
            <v:imagedata r:id="rId105" o:title=""/>
          </v:shape>
          <o:OLEObject Type="Embed" ProgID="VisioViewer.Viewer.1" ShapeID="_x0000_i1033" DrawAspect="Content" ObjectID="_1798900211" r:id="rId106"/>
        </w:object>
      </w:r>
    </w:p>
    <w:p w14:paraId="16D9EC73" w14:textId="365CD63B" w:rsidR="003C6085" w:rsidRPr="00EC120D" w:rsidRDefault="003C6085" w:rsidP="003C6085">
      <w:pPr>
        <w:pStyle w:val="FIGURE-title"/>
      </w:pPr>
      <w:bookmarkStart w:id="214" w:name="_Ref495482154"/>
      <w:bookmarkStart w:id="215" w:name="_Toc34394279"/>
      <w:bookmarkStart w:id="216" w:name="_Toc184117018"/>
      <w:r w:rsidRPr="00EC120D">
        <w:t xml:space="preserve">Figure </w:t>
      </w:r>
      <w:r w:rsidRPr="004C388A">
        <w:fldChar w:fldCharType="begin"/>
      </w:r>
      <w:r w:rsidRPr="004C388A">
        <w:instrText xml:space="preserve"> SEQ Figure \* ARABIC </w:instrText>
      </w:r>
      <w:r w:rsidRPr="004C388A">
        <w:fldChar w:fldCharType="separate"/>
      </w:r>
      <w:r w:rsidR="0079147C">
        <w:rPr>
          <w:noProof/>
        </w:rPr>
        <w:t>5</w:t>
      </w:r>
      <w:r w:rsidRPr="004C388A">
        <w:fldChar w:fldCharType="end"/>
      </w:r>
      <w:bookmarkEnd w:id="214"/>
      <w:r w:rsidRPr="00EC120D">
        <w:t xml:space="preserve"> – The OPC UA Information</w:t>
      </w:r>
      <w:r w:rsidRPr="00667BCF">
        <w:t xml:space="preserve"> Model </w:t>
      </w:r>
      <w:bookmarkEnd w:id="215"/>
      <w:r w:rsidR="00A008E6" w:rsidRPr="00EC120D">
        <w:t>notation</w:t>
      </w:r>
      <w:bookmarkEnd w:id="216"/>
    </w:p>
    <w:p w14:paraId="4150B080" w14:textId="0ACF6C52"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79147C" w:rsidRPr="00EC120D">
        <w:t>OPC 10000-3</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79147C" w:rsidRPr="004C388A">
        <w:t>OPC 10000-5</w:t>
      </w:r>
      <w:r w:rsidRPr="00EC120D">
        <w:rPr>
          <w:rFonts w:cs="Calibri"/>
        </w:rPr>
        <w:fldChar w:fldCharType="end"/>
      </w:r>
      <w:r w:rsidRPr="00EC120D">
        <w:t>.</w:t>
      </w:r>
    </w:p>
    <w:p w14:paraId="4F8FE53B" w14:textId="17B261A3"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79147C" w:rsidRPr="004C388A">
        <w:t>OPC 10000-7</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proofErr w:type="spellStart"/>
      <w:r w:rsidRPr="00EC120D">
        <w:rPr>
          <w:i/>
        </w:rPr>
        <w:t>AddressSpace</w:t>
      </w:r>
      <w:proofErr w:type="spellEnd"/>
      <w:r w:rsidRPr="00EC120D">
        <w:t xml:space="preserve">. Namespaces are used to make this possible by eliminating naming and id conflicts between information from different sources. Each namespace in OPC UA has a globally unique string called a </w:t>
      </w:r>
      <w:proofErr w:type="spellStart"/>
      <w:r w:rsidRPr="00EC120D">
        <w:t>NamespaceUri</w:t>
      </w:r>
      <w:proofErr w:type="spellEnd"/>
      <w:r w:rsidRPr="00EC120D">
        <w:t xml:space="preserve"> which identifies a naming authority and a locally unique integer called a </w:t>
      </w:r>
      <w:proofErr w:type="spellStart"/>
      <w:r w:rsidRPr="00EC120D">
        <w:rPr>
          <w:i/>
          <w:iCs/>
        </w:rPr>
        <w:t>NamespaceIndex</w:t>
      </w:r>
      <w:proofErr w:type="spellEnd"/>
      <w:r w:rsidRPr="00EC120D">
        <w:t xml:space="preserve">, which is an index into the </w:t>
      </w:r>
      <w:r w:rsidRPr="00EC120D">
        <w:rPr>
          <w:i/>
        </w:rPr>
        <w:t>Server's</w:t>
      </w:r>
      <w:r w:rsidRPr="00EC120D">
        <w:t xml:space="preserve"> table of </w:t>
      </w:r>
      <w:proofErr w:type="spellStart"/>
      <w:r w:rsidRPr="00EC120D">
        <w:rPr>
          <w:i/>
          <w:iCs/>
        </w:rPr>
        <w:t>NamespaceUris</w:t>
      </w:r>
      <w:proofErr w:type="spellEnd"/>
      <w:r w:rsidRPr="00EC120D">
        <w:t xml:space="preserve">. The </w:t>
      </w:r>
      <w:proofErr w:type="spellStart"/>
      <w:r w:rsidRPr="00EC120D">
        <w:rPr>
          <w:i/>
          <w:iCs/>
        </w:rPr>
        <w:t>NamespaceIndex</w:t>
      </w:r>
      <w:proofErr w:type="spellEnd"/>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proofErr w:type="spellStart"/>
      <w:r w:rsidRPr="00EC120D">
        <w:rPr>
          <w:i/>
          <w:iCs/>
        </w:rPr>
        <w:t>NamespaceIndex</w:t>
      </w:r>
      <w:proofErr w:type="spellEnd"/>
      <w:r w:rsidRPr="00EC120D">
        <w:rPr>
          <w:i/>
          <w:iCs/>
        </w:rPr>
        <w:t> </w:t>
      </w:r>
      <w:r w:rsidRPr="00EC120D">
        <w:t xml:space="preserve">can change between </w:t>
      </w:r>
      <w:r w:rsidRPr="00EC120D">
        <w:rPr>
          <w:i/>
        </w:rPr>
        <w:t>Sessions</w:t>
      </w:r>
      <w:r w:rsidRPr="00EC120D">
        <w:t xml:space="preserve"> and still identify the same item even though the </w:t>
      </w:r>
      <w:proofErr w:type="spellStart"/>
      <w:r w:rsidRPr="00EC120D">
        <w:t>NamespaceUri's</w:t>
      </w:r>
      <w:proofErr w:type="spellEnd"/>
      <w:r w:rsidRPr="00EC120D">
        <w:t xml:space="preserve"> location in the table has changed. The </w:t>
      </w:r>
      <w:r w:rsidRPr="00EC120D">
        <w:rPr>
          <w:i/>
        </w:rPr>
        <w:t>Services</w:t>
      </w:r>
      <w:r w:rsidRPr="00EC120D">
        <w:t xml:space="preserve"> defined for OPC UA use the </w:t>
      </w:r>
      <w:proofErr w:type="spellStart"/>
      <w:r w:rsidRPr="00EC120D">
        <w:rPr>
          <w:i/>
          <w:iCs/>
        </w:rPr>
        <w:t>NamespaceIndex</w:t>
      </w:r>
      <w:proofErr w:type="spellEnd"/>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proofErr w:type="spellStart"/>
      <w:r w:rsidRPr="00EC120D">
        <w:rPr>
          <w:i/>
          <w:iCs/>
        </w:rPr>
        <w:t>NamespaceIndexes</w:t>
      </w:r>
      <w:proofErr w:type="spellEnd"/>
      <w:r w:rsidRPr="00EC120D">
        <w:t xml:space="preserve">: </w:t>
      </w:r>
      <w:proofErr w:type="spellStart"/>
      <w:r w:rsidRPr="00EC120D">
        <w:t>NodeIds</w:t>
      </w:r>
      <w:proofErr w:type="spellEnd"/>
      <w:r w:rsidRPr="00EC120D">
        <w:t xml:space="preserve"> and </w:t>
      </w:r>
      <w:proofErr w:type="spellStart"/>
      <w:r w:rsidRPr="00EC120D">
        <w:rPr>
          <w:i/>
          <w:iCs/>
        </w:rPr>
        <w:t>QualifiedNames</w:t>
      </w:r>
      <w:proofErr w:type="spellEnd"/>
      <w:r w:rsidRPr="00EC120D">
        <w:t xml:space="preserve">. </w:t>
      </w:r>
      <w:proofErr w:type="spellStart"/>
      <w:r w:rsidRPr="00EC120D">
        <w:t>NodeIds</w:t>
      </w:r>
      <w:proofErr w:type="spellEnd"/>
      <w:r w:rsidRPr="00EC120D">
        <w:t xml:space="preserve"> are locally unique (and sometimes globally unique) identifiers for </w:t>
      </w:r>
      <w:r w:rsidRPr="00EC120D">
        <w:rPr>
          <w:i/>
        </w:rPr>
        <w:t>Nodes</w:t>
      </w:r>
      <w:r w:rsidRPr="00EC120D">
        <w:t>. The same globally unique </w:t>
      </w:r>
      <w:proofErr w:type="spellStart"/>
      <w:r w:rsidRPr="00EC120D">
        <w:rPr>
          <w:i/>
          <w:iCs/>
        </w:rPr>
        <w:t>NodeId</w:t>
      </w:r>
      <w:proofErr w:type="spellEnd"/>
      <w:r w:rsidRPr="00EC120D">
        <w:rPr>
          <w:i/>
          <w:iCs/>
        </w:rPr>
        <w:t>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w:t>
      </w:r>
      <w:proofErr w:type="spellStart"/>
      <w:r w:rsidRPr="00EC120D">
        <w:t>of</w:t>
      </w:r>
      <w:proofErr w:type="spellEnd"/>
      <w:r w:rsidRPr="00EC120D">
        <w:t xml:space="preserve"> what the data means in these </w:t>
      </w:r>
      <w:r w:rsidRPr="00EC120D">
        <w:rPr>
          <w:i/>
        </w:rPr>
        <w:t>Nodes</w:t>
      </w:r>
      <w:r w:rsidRPr="00EC120D">
        <w:t xml:space="preserve">. OPC UA </w:t>
      </w:r>
      <w:r w:rsidRPr="00EC120D">
        <w:rPr>
          <w:i/>
        </w:rPr>
        <w:t>Information Models</w:t>
      </w:r>
      <w:r w:rsidRPr="00EC120D">
        <w:t xml:space="preserve"> generally define globally unique </w:t>
      </w:r>
      <w:proofErr w:type="spellStart"/>
      <w:r w:rsidRPr="00EC120D">
        <w:rPr>
          <w:i/>
        </w:rPr>
        <w:t>NodeIds</w:t>
      </w:r>
      <w:proofErr w:type="spellEnd"/>
      <w:r w:rsidRPr="00EC120D">
        <w:t xml:space="preserve"> for the </w:t>
      </w:r>
      <w:proofErr w:type="spellStart"/>
      <w:r w:rsidRPr="00EC120D">
        <w:rPr>
          <w:i/>
        </w:rPr>
        <w:t>TypeDefinitions</w:t>
      </w:r>
      <w:proofErr w:type="spellEnd"/>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proofErr w:type="spellStart"/>
      <w:r w:rsidRPr="00EC120D">
        <w:t>QualifiedNames</w:t>
      </w:r>
      <w:proofErr w:type="spellEnd"/>
      <w:r w:rsidRPr="00EC120D">
        <w:t xml:space="preserve"> are non-localized names qualified with a Namespace. They are used for the </w:t>
      </w:r>
      <w:proofErr w:type="spellStart"/>
      <w:r w:rsidRPr="00EC120D">
        <w:rPr>
          <w:i/>
        </w:rPr>
        <w:t>BrowseNames</w:t>
      </w:r>
      <w:proofErr w:type="spellEnd"/>
      <w:r w:rsidRPr="00EC120D">
        <w:t xml:space="preserve"> of </w:t>
      </w:r>
      <w:r w:rsidRPr="00EC120D">
        <w:rPr>
          <w:i/>
        </w:rPr>
        <w:t>Nodes</w:t>
      </w:r>
      <w:r w:rsidRPr="00EC120D">
        <w:t xml:space="preserve"> and allow the same names to be used by different information models without conflict. </w:t>
      </w:r>
      <w:proofErr w:type="spellStart"/>
      <w:r w:rsidRPr="00EC120D">
        <w:rPr>
          <w:i/>
        </w:rPr>
        <w:t>TypeDefinitions</w:t>
      </w:r>
      <w:proofErr w:type="spellEnd"/>
      <w:r w:rsidRPr="00EC120D">
        <w:t xml:space="preserve"> are not allowed to have children with duplicate </w:t>
      </w:r>
      <w:proofErr w:type="spellStart"/>
      <w:r w:rsidRPr="00EC120D">
        <w:rPr>
          <w:i/>
        </w:rPr>
        <w:t>BrowseNames</w:t>
      </w:r>
      <w:proofErr w:type="spellEnd"/>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proofErr w:type="spellStart"/>
      <w:r w:rsidRPr="00EC120D">
        <w:rPr>
          <w:i/>
        </w:rPr>
        <w:t>ObjectTypes</w:t>
      </w:r>
      <w:proofErr w:type="spellEnd"/>
      <w:r w:rsidRPr="00EC120D">
        <w:t xml:space="preserve">, </w:t>
      </w:r>
      <w:proofErr w:type="spellStart"/>
      <w:r w:rsidRPr="00EC120D">
        <w:rPr>
          <w:i/>
        </w:rPr>
        <w:t>VariableTypes</w:t>
      </w:r>
      <w:proofErr w:type="spellEnd"/>
      <w:r w:rsidRPr="00EC120D">
        <w:t xml:space="preserve">, </w:t>
      </w:r>
      <w:proofErr w:type="spellStart"/>
      <w:r w:rsidRPr="00EC120D">
        <w:rPr>
          <w:i/>
        </w:rPr>
        <w:t>DataTypes</w:t>
      </w:r>
      <w:proofErr w:type="spellEnd"/>
      <w:r w:rsidRPr="00EC120D">
        <w:t xml:space="preserve"> and </w:t>
      </w:r>
      <w:proofErr w:type="spellStart"/>
      <w:r w:rsidRPr="00EC120D">
        <w:rPr>
          <w:i/>
        </w:rPr>
        <w:t>ReferenceTypes</w:t>
      </w:r>
      <w:proofErr w:type="spellEnd"/>
      <w:r w:rsidRPr="00EC120D">
        <w:t xml:space="preserve"> that represent the concepts used in the vertical market, and potentially also well-defined Objects as entry points into the </w:t>
      </w:r>
      <w:proofErr w:type="spellStart"/>
      <w:r w:rsidRPr="00EC120D">
        <w:t>AddressSpace</w:t>
      </w:r>
      <w:proofErr w:type="spellEnd"/>
      <w:r w:rsidRPr="00EC120D">
        <w:t>.</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474" w:name="_Clause_c5"/>
      <w:bookmarkStart w:id="217" w:name="_Toc184116984"/>
      <w:r w:rsidRPr="00EC120D">
        <w:t xml:space="preserve">Use </w:t>
      </w:r>
      <w:r w:rsidR="00BE7277" w:rsidRPr="00EC120D">
        <w:t>c</w:t>
      </w:r>
      <w:r w:rsidRPr="00EC120D">
        <w:t>ases</w:t>
      </w:r>
      <w:bookmarkEnd w:id="217"/>
      <w:bookmarkEnd w:id="474"/>
    </w:p>
    <w:p w14:paraId="6B1F1702">
      <w:pPr>
        <w:pStyle w:val="PARAGRAPH"/>
      </w:pPr>
      <w:r>
        <w:t xml:space="preserve">This annex walks an implementer through both conversion directions for the pump example, step by step, using concise snippets rather than full files. The source files are </w:t>
      </w:r>
      <w:r>
        <w:rPr>
          <w:rStyle w:val="VARIABLE"/>
        </w:rPr>
        <w:t xml:space="preserve">examples/02-thing-model-pump.jsonld</w:t>
      </w:r>
      <w:r>
        <w:t xml:space="preserve"> (the </w:t>
      </w:r>
      <w:r>
        <w:rPr>
          <w:rStyle w:val="VARIABLE"/>
        </w:rPr>
        <w:t xml:space="preserve">PumpType</w:t>
      </w:r>
      <w:r>
        <w:t xml:space="preserve"> Thing Model) and </w:t>
      </w:r>
      <w:r>
        <w:rPr>
          <w:rStyle w:val="VARIABLE"/>
        </w:rPr>
        <w:t xml:space="preserve">examples/01-opcua-td-pump.jsonld</w:t>
      </w:r>
      <w:r>
        <w:t xml:space="preserve"> (a </w:t>
      </w:r>
      <w:r>
        <w:rPr>
          <w:rStyle w:val="VARIABLE"/>
        </w:rPr>
        <w:t xml:space="preserve">Pump</w:t>
      </w:r>
      <w:r>
        <w:t xml:space="preserve"> Thing Description).</w:t>
      </w:r>
    </w:p>
    <w:p w14:paraId="2A6D2F7F">
      <w:pPr>
        <w:pStyle w:val="Heading2"/>
      </w:pPr>
      <w:bookmarkStart w:id="475" w:name="_Clause_c5_1"/>
      <w:r>
        <w:t xml:space="preserve">Projecting a Thing Model to OPC UA types</w:t>
      </w:r>
      <w:bookmarkEnd w:id="475"/>
    </w:p>
    <w:p w14:paraId="2A5FAE80">
      <w:pPr>
        <w:pStyle w:val="PARAGRAPH"/>
      </w:pPr>
      <w:r>
        <w:rPr>
          <w:b/>
        </w:rPr>
        <w:t xml:space="preserve">Step 1 — Root type.</w:t>
      </w:r>
      <w:r>
        <w:t xml:space="preserve"> The TM root </w:t>
      </w:r>
      <w:r>
        <w:rPr>
          <w:rStyle w:val="VARIABLE"/>
        </w:rPr>
        <w:t xml:space="preserve">@type</w:t>
      </w:r>
      <w:r>
        <w:t xml:space="preserve"> selects the NodeClass. </w:t>
      </w:r>
      <w:r>
        <w:rPr>
          <w:rStyle w:val="VARIABLE"/>
        </w:rPr>
        <w:t xml:space="preserve">uav:objectType</w:t>
      </w:r>
      <w:r>
        <w:t xml:space="preserve"> → an </w:t>
      </w:r>
      <w:r>
        <w:rPr>
          <w:rStyle w:val="VARIABLE"/>
        </w:rPr>
        <w:t xml:space="preserve">ObjectType</w:t>
      </w:r>
      <w:r>
        <w:t xml:space="preserve">; </w:t>
      </w:r>
      <w:r>
        <w:rPr>
          <w:rStyle w:val="VARIABLE"/>
        </w:rPr>
        <w:t xml:space="preserve">uav:browseName</w:t>
      </w:r>
      <w:r>
        <w:t xml:space="preserve"> becomes its </w:t>
      </w:r>
      <w:r>
        <w:rPr>
          <w:rStyle w:val="VARIABLE"/>
        </w:rPr>
        <w:t xml:space="preserve">BrowseName</w:t>
      </w:r>
      <w:r>
        <w:t xml:space="preserve">, </w:t>
      </w:r>
      <w:r>
        <w:rPr>
          <w:rStyle w:val="VARIABLE"/>
        </w:rPr>
        <w:t xml:space="preserve">uav:nameNamespace</w:t>
      </w:r>
      <w:r>
        <w:t xml:space="preserve"> its namespace.</w:t>
      </w:r>
    </w:p>
    <w:p w14:paraId="35BF950E">
      <w:pPr>
        <w:pStyle w:val="CODE"/>
      </w:pPr>
      <w:r>
        <w:t xml:space="preserve">"@type": ["tm:ThingModel", "uav:objectType"],</w:t>
      </w:r>
    </w:p>
    <w:p w14:paraId="163C0CD2">
      <w:pPr>
        <w:pStyle w:val="CODE"/>
      </w:pPr>
      <w:r>
        <w:t xml:space="preserve">"uav:browseName": "pump:PumpType",</w:t>
      </w:r>
    </w:p>
    <w:p w14:paraId="4BFA4058">
      <w:pPr>
        <w:pStyle w:val="CODE"/>
      </w:pPr>
      <w:r>
        <w:t xml:space="preserve">"uav:isComposite": true</w:t>
      </w:r>
    </w:p>
    <w:p w14:paraId="24AEE5D9">
      <w:pPr>
        <w:pStyle w:val="PARAGRAPH"/>
      </w:pPr>
      <w:r>
        <w:t xml:space="preserve">→ </w:t>
      </w:r>
      <w:r>
        <w:rPr>
          <w:rStyle w:val="VARIABLE"/>
        </w:rPr>
        <w:t xml:space="preserve">ObjectType 1:PumpType</w:t>
      </w:r>
      <w:r>
        <w:t xml:space="preserve"> (composite; its parts follow from </w:t>
      </w:r>
      <w:r>
        <w:rPr>
          <w:rStyle w:val="VARIABLE"/>
        </w:rPr>
        <w:t xml:space="preserve">uav:contains</w:t>
      </w:r>
      <w:r>
        <w:t xml:space="preserve"> / links).</w:t>
      </w:r>
    </w:p>
    <w:p w14:paraId="2334D260">
      <w:pPr>
        <w:pStyle w:val="PARAGRAPH"/>
      </w:pPr>
      <w:r>
        <w:rPr>
          <w:b/>
        </w:rPr>
        <w:t xml:space="preserve">Step 2 — Property members → Variable declarations.</w:t>
      </w:r>
      <w:r>
        <w:t xml:space="preserve"> Each property becomes an instance-declaration </w:t>
      </w:r>
      <w:r>
        <w:rPr>
          <w:rStyle w:val="VARIABLE"/>
        </w:rPr>
        <w:t xml:space="preserve">Variable</w:t>
      </w:r>
      <w:r>
        <w:t xml:space="preserve">; </w:t>
      </w:r>
      <w:r>
        <w:rPr>
          <w:rStyle w:val="VARIABLE"/>
        </w:rPr>
        <w:t xml:space="preserve">type</w:t>
      </w:r>
      <w:r>
        <w:t xml:space="preserve"> → DataType, </w:t>
      </w:r>
      <w:r>
        <w:rPr>
          <w:rStyle w:val="VARIABLE"/>
        </w:rPr>
        <w:t xml:space="preserve">uav:modellingRule</w:t>
      </w:r>
      <w:r>
        <w:t xml:space="preserve"> → the modelling rule, unit/scaling from </w:t>
      </w:r>
      <w:r>
        <w:t xml:space="preserve">Section </w:t>
      </w:r>
      <w:r>
        <w:fldChar w:fldCharType="begin"/>
      </w:r>
      <w:r>
        <w:instrText xml:space="preserve"> REF _Clause_c6_3_5 \r \h </w:instrText>
      </w:r>
      <w:r>
        <w:fldChar w:fldCharType="separate"/>
      </w:r>
      <w:r>
        <w:rPr>
          <w:noProof/>
        </w:rPr>
        <w:t xml:space="preserve">6.3.5</w:t>
      </w:r>
      <w:r>
        <w:fldChar w:fldCharType="end"/>
      </w:r>
      <w:r>
        <w:t xml:space="preserve">.</w:t>
      </w:r>
    </w:p>
    <w:p w14:paraId="7BB6EEF6">
      <w:pPr>
        <w:pStyle w:val="CODE"/>
      </w:pPr>
      <w:r>
        <w:t xml:space="preserve">"pumpSpeed": { "@type": "uav:variableType",</w:t>
      </w:r>
    </w:p>
    <w:p w14:paraId="28685377">
      <w:pPr>
        <w:pStyle w:val="CODE"/>
      </w:pPr>
      <w:r>
        <w:t xml:space="preserve">  "uav:browseName": "pump:PumpSpeed",</w:t>
      </w:r>
    </w:p>
    <w:p w14:paraId="7C95B955">
      <w:pPr>
        <w:pStyle w:val="CODE"/>
      </w:pPr>
      <w:r>
        <w:t xml:space="preserve">  "type": "number", "uav:modellingRule": "Mandatory", "uav:scaleFactor": 0.1 }</w:t>
      </w:r>
    </w:p>
    <w:p w14:paraId="069DBBE5">
      <w:pPr>
        <w:pStyle w:val="PARAGRAPH"/>
      </w:pPr>
      <w:r>
        <w:t xml:space="preserve">→ </w:t>
      </w:r>
      <w:r>
        <w:rPr>
          <w:rStyle w:val="VARIABLE"/>
        </w:rPr>
        <w:t xml:space="preserve">Variable 1:PumpSpeed</w:t>
      </w:r>
      <w:r>
        <w:t xml:space="preserve"> (</w:t>
      </w:r>
      <w:r>
        <w:rPr>
          <w:rStyle w:val="VARIABLE"/>
        </w:rPr>
        <w:t xml:space="preserve">DataType Double</w:t>
      </w:r>
      <w:r>
        <w:t xml:space="preserve">, </w:t>
      </w:r>
      <w:r>
        <w:rPr>
          <w:rStyle w:val="VARIABLE"/>
        </w:rPr>
        <w:t xml:space="preserve">HasModellingRule Mandatory</w:t>
      </w:r>
      <w:r>
        <w:t xml:space="preserve">, scaling 0.1). A </w:t>
      </w:r>
      <w:r>
        <w:rPr>
          <w:rStyle w:val="VARIABLE"/>
        </w:rPr>
        <w:t xml:space="preserve">MandatoryPlaceholder</w:t>
      </w:r>
      <w:r>
        <w:t xml:space="preserve"> property (for example </w:t>
      </w:r>
      <w:r>
        <w:rPr>
          <w:rStyle w:val="VARIABLE"/>
        </w:rPr>
        <w:t xml:space="preserve">stage</w:t>
      </w:r>
      <w:r>
        <w:t xml:space="preserve">) becomes a placeholder declaration.</w:t>
      </w:r>
    </w:p>
    <w:p w14:paraId="5526A0AC">
      <w:pPr>
        <w:pStyle w:val="PARAGRAPH"/>
      </w:pPr>
      <w:r>
        <w:rPr>
          <w:b/>
        </w:rPr>
        <w:t xml:space="preserve">Step 3 — Action members → Method declarations.</w:t>
      </w:r>
      <w:r>
        <w:t xml:space="preserve"> </w:t>
      </w:r>
      <w:r>
        <w:rPr>
          <w:rStyle w:val="VARIABLE"/>
        </w:rPr>
        <w:t xml:space="preserve">uav:method</w:t>
      </w:r>
      <w:r>
        <w:t xml:space="preserve"> → a </w:t>
      </w:r>
      <w:r>
        <w:rPr>
          <w:rStyle w:val="VARIABLE"/>
        </w:rPr>
        <w:t xml:space="preserve">Method</w:t>
      </w:r>
      <w:r>
        <w:t xml:space="preserve">; its </w:t>
      </w:r>
      <w:r>
        <w:rPr>
          <w:rStyle w:val="VARIABLE"/>
        </w:rPr>
        <w:t xml:space="preserve">input</w:t>
      </w:r>
      <w:r>
        <w:t xml:space="preserve">/</w:t>
      </w:r>
      <w:r>
        <w:rPr>
          <w:rStyle w:val="VARIABLE"/>
        </w:rPr>
        <w:t xml:space="preserve">output</w:t>
      </w:r>
      <w:r>
        <w:t xml:space="preserve"> schemas become </w:t>
      </w:r>
      <w:r>
        <w:rPr>
          <w:rStyle w:val="VARIABLE"/>
        </w:rPr>
        <w:t xml:space="preserve">InputArguments</w:t>
      </w:r>
      <w:r>
        <w:t xml:space="preserve">/</w:t>
      </w:r>
      <w:r>
        <w:rPr>
          <w:rStyle w:val="VARIABLE"/>
        </w:rPr>
        <w:t xml:space="preserve">OutputArguments</w:t>
      </w:r>
      <w:r>
        <w:t xml:space="preserve">.</w:t>
      </w:r>
    </w:p>
    <w:p w14:paraId="31EC7EA4">
      <w:pPr>
        <w:pStyle w:val="CODE"/>
      </w:pPr>
      <w:r>
        <w:t xml:space="preserve">"reset": { "@type": "uav:method",</w:t>
      </w:r>
    </w:p>
    <w:p w14:paraId="4D6129DF">
      <w:pPr>
        <w:pStyle w:val="CODE"/>
      </w:pPr>
      <w:r>
        <w:t xml:space="preserve">  "uav:browseName": "pump:Reset",</w:t>
      </w:r>
    </w:p>
    <w:p w14:paraId="4079BF31">
      <w:pPr>
        <w:pStyle w:val="CODE"/>
      </w:pPr>
      <w:r>
        <w:t xml:space="preserve">  "uav:modellingRule": "Optional" }</w:t>
      </w:r>
    </w:p>
    <w:p w14:paraId="35F9B437">
      <w:pPr>
        <w:pStyle w:val="PARAGRAPH"/>
      </w:pPr>
      <w:r>
        <w:t xml:space="preserve">→ </w:t>
      </w:r>
      <w:r>
        <w:rPr>
          <w:rStyle w:val="VARIABLE"/>
        </w:rPr>
        <w:t xml:space="preserve">Method 1:Reset</w:t>
      </w:r>
      <w:r>
        <w:t xml:space="preserve"> (</w:t>
      </w:r>
      <w:r>
        <w:rPr>
          <w:rStyle w:val="VARIABLE"/>
        </w:rPr>
        <w:t xml:space="preserve">HasModellingRule Optional</w:t>
      </w:r>
      <w:r>
        <w:t xml:space="preserve">).</w:t>
      </w:r>
    </w:p>
    <w:p w14:paraId="6B27E1BE">
      <w:pPr>
        <w:pStyle w:val="PARAGRAPH"/>
      </w:pPr>
      <w:r>
        <w:rPr>
          <w:b/>
        </w:rPr>
        <w:t xml:space="preserve">Step 4 — Event members → EventTypes.</w:t>
      </w:r>
      <w:r>
        <w:t xml:space="preserve"> An affordance whose </w:t>
      </w:r>
      <w:r>
        <w:rPr>
          <w:rStyle w:val="VARIABLE"/>
        </w:rPr>
        <w:t xml:space="preserve">@type</w:t>
      </w:r>
      <w:r>
        <w:t xml:space="preserve"> includes </w:t>
      </w:r>
      <w:r>
        <w:rPr>
          <w:rStyle w:val="VARIABLE"/>
        </w:rPr>
        <w:t xml:space="preserve">uav:eventType</w:t>
      </w:r>
      <w:r>
        <w:t xml:space="preserve"> (equivalently </w:t>
      </w:r>
      <w:r>
        <w:rPr>
          <w:rStyle w:val="VARIABLE"/>
        </w:rPr>
        <w:t xml:space="preserve">uav:isEvent: true</w:t>
      </w:r>
      <w:r>
        <w:t xml:space="preserve">) projects an EventType derived from </w:t>
      </w:r>
      <w:r>
        <w:rPr>
          <w:rStyle w:val="VARIABLE"/>
        </w:rPr>
        <w:t xml:space="preserve">BaseEventType</w:t>
      </w:r>
      <w:r>
        <w:t xml:space="preserve">; its </w:t>
      </w:r>
      <w:r>
        <w:rPr>
          <w:rStyle w:val="VARIABLE"/>
        </w:rPr>
        <w:t xml:space="preserve">data</w:t>
      </w:r>
      <w:r>
        <w:t xml:space="preserve"> schema becomes the event fields (</w:t>
      </w:r>
      <w:r>
        <w:t xml:space="preserve">Section </w:t>
      </w:r>
      <w:r>
        <w:fldChar w:fldCharType="begin"/>
      </w:r>
      <w:r>
        <w:instrText xml:space="preserve"> REF _Clause_c6_5 \r \h </w:instrText>
      </w:r>
      <w:r>
        <w:fldChar w:fldCharType="separate"/>
      </w:r>
      <w:r>
        <w:rPr>
          <w:noProof/>
        </w:rPr>
        <w:t xml:space="preserve">6.5</w:t>
      </w:r>
      <w:r>
        <w:fldChar w:fldCharType="end"/>
      </w:r>
      <w:r>
        <w:t xml:space="preserve">).</w:t>
      </w:r>
    </w:p>
    <w:p w14:paraId="56426FD2">
      <w:pPr>
        <w:pStyle w:val="CODE"/>
      </w:pPr>
      <w:r>
        <w:t xml:space="preserve">"overTemperature": { "@type": "uav:eventType", "uav:isEvent": true,</w:t>
      </w:r>
    </w:p>
    <w:p w14:paraId="4418E5CA">
      <w:pPr>
        <w:pStyle w:val="CODE"/>
      </w:pPr>
      <w:r>
        <w:t xml:space="preserve">  "uav:browseName": "pump:OverTemperatureEventType" }</w:t>
      </w:r>
    </w:p>
    <w:p w14:paraId="0DCF9C53">
      <w:pPr>
        <w:pStyle w:val="PARAGRAPH"/>
      </w:pPr>
      <w:r>
        <w:t xml:space="preserve">→ </w:t>
      </w:r>
      <w:r>
        <w:rPr>
          <w:rStyle w:val="VARIABLE"/>
        </w:rPr>
        <w:t xml:space="preserve">EventType 1:OverTemperatureEventType</w:t>
      </w:r>
      <w:r>
        <w:t xml:space="preserve"> (a </w:t>
      </w:r>
      <w:r>
        <w:rPr>
          <w:rStyle w:val="VARIABLE"/>
        </w:rPr>
        <w:t xml:space="preserve">BaseEventType</w:t>
      </w:r>
      <w:r>
        <w:t xml:space="preserve"> subtype); </w:t>
      </w:r>
      <w:r>
        <w:rPr>
          <w:rStyle w:val="VARIABLE"/>
        </w:rPr>
        <w:t xml:space="preserve">subscribeevent</w:t>
      </w:r>
      <w:r>
        <w:t xml:space="preserve"> → an event MonitoredItem.</w:t>
      </w:r>
    </w:p>
    <w:p w14:paraId="22DB46CD">
      <w:pPr>
        <w:pStyle w:val="PARAGRAPH"/>
      </w:pPr>
      <w:r>
        <w:rPr>
          <w:b/>
        </w:rPr>
        <w:t xml:space="preserve">Step 5 — References.</w:t>
      </w:r>
      <w:r>
        <w:t xml:space="preserve"> </w:t>
      </w:r>
      <w:r>
        <w:rPr>
          <w:rStyle w:val="VARIABLE"/>
        </w:rPr>
        <w:t xml:space="preserve">links</w:t>
      </w:r>
      <w:r>
        <w:t xml:space="preserve"> become References: </w:t>
      </w:r>
      <w:r>
        <w:rPr>
          <w:rStyle w:val="VARIABLE"/>
        </w:rPr>
        <w:t xml:space="preserve">uav:componentModel</w:t>
      </w:r>
      <w:r>
        <w:t xml:space="preserve"> → </w:t>
      </w:r>
      <w:r>
        <w:rPr>
          <w:rStyle w:val="VARIABLE"/>
        </w:rPr>
        <w:t xml:space="preserve">HasComponent</w:t>
      </w:r>
      <w:r>
        <w:t xml:space="preserve"> (the </w:t>
      </w:r>
      <w:r>
        <w:rPr>
          <w:rStyle w:val="VARIABLE"/>
        </w:rPr>
        <w:t xml:space="preserve">Impeller</w:t>
      </w:r>
      <w:r>
        <w:t xml:space="preserve"> part), a compact ReferenceType model name in </w:t>
      </w:r>
      <w:r>
        <w:rPr>
          <w:rStyle w:val="VARIABLE"/>
        </w:rPr>
        <w:t xml:space="preserve">rel</w:t>
      </w:r>
      <w:r>
        <w:t xml:space="preserve"> → that exact ReferenceType with </w:t>
      </w:r>
      <w:r>
        <w:rPr>
          <w:rStyle w:val="VARIABLE"/>
        </w:rPr>
        <w:t xml:space="preserve">uav:refId</w:t>
      </w:r>
      <w:r>
        <w:t xml:space="preserve"> as fallback, </w:t>
      </w:r>
      <w:r>
        <w:rPr>
          <w:rStyle w:val="VARIABLE"/>
        </w:rPr>
        <w:t xml:space="preserve">uav:reference</w:t>
      </w:r>
      <w:r>
        <w:t xml:space="preserve">/</w:t>
      </w:r>
      <w:r>
        <w:rPr>
          <w:rStyle w:val="VARIABLE"/>
        </w:rPr>
        <w:t xml:space="preserve">uav:capability</w:t>
      </w:r>
      <w:r>
        <w:t xml:space="preserve"> → non-hierarchical/</w:t>
      </w:r>
      <w:r>
        <w:rPr>
          <w:rStyle w:val="VARIABLE"/>
        </w:rPr>
        <w:t xml:space="preserve">HasInterface</w:t>
      </w:r>
      <w:r>
        <w:t xml:space="preserve"> references, and </w:t>
      </w:r>
      <w:r>
        <w:rPr>
          <w:rStyle w:val="VARIABLE"/>
        </w:rPr>
        <w:t xml:space="preserve">uav:componentOf</w:t>
      </w:r>
      <w:r>
        <w:t xml:space="preserve"> → the parent </w:t>
      </w:r>
      <w:r>
        <w:rPr>
          <w:rStyle w:val="VARIABLE"/>
        </w:rPr>
        <w:t xml:space="preserve">HasComponent</w:t>
      </w:r>
      <w:r>
        <w:t xml:space="preserve"> (</w:t>
      </w:r>
      <w:r>
        <w:t xml:space="preserve">Section </w:t>
      </w:r>
      <w:r>
        <w:fldChar w:fldCharType="begin"/>
      </w:r>
      <w:r>
        <w:instrText xml:space="preserve"> REF _Clause_c6_3_2 \r \h </w:instrText>
      </w:r>
      <w:r>
        <w:fldChar w:fldCharType="separate"/>
      </w:r>
      <w:r>
        <w:rPr>
          <w:noProof/>
        </w:rPr>
        <w:t xml:space="preserve">6.3.2</w:t>
      </w:r>
      <w:r>
        <w:fldChar w:fldCharType="end"/>
      </w:r>
      <w:r>
        <w:t xml:space="preserve">). </w:t>
      </w:r>
      <w:r>
        <w:rPr>
          <w:rStyle w:val="VARIABLE"/>
        </w:rPr>
        <w:t xml:space="preserve">uav:contains</w:t>
      </w:r>
      <w:r>
        <w:t xml:space="preserve"> / </w:t>
      </w:r>
      <w:r>
        <w:rPr>
          <w:rStyle w:val="VARIABLE"/>
        </w:rPr>
        <w:t xml:space="preserve">uav:containedIn</w:t>
      </w:r>
      <w:r>
        <w:t xml:space="preserve"> rebuild the </w:t>
      </w:r>
      <w:r>
        <w:rPr>
          <w:rStyle w:val="VARIABLE"/>
        </w:rPr>
        <w:t xml:space="preserve">HasComponent</w:t>
      </w:r>
      <w:r>
        <w:t xml:space="preserve"> ownership tree. A component listed in </w:t>
      </w:r>
      <w:r>
        <w:rPr>
          <w:rStyle w:val="VARIABLE"/>
        </w:rPr>
        <w:t xml:space="preserve">uav:hasComponent</w:t>
      </w:r>
      <w:r>
        <w:t xml:space="preserve"> is recreated as a plain </w:t>
      </w:r>
      <w:r>
        <w:rPr>
          <w:rStyle w:val="VARIABLE"/>
        </w:rPr>
        <w:t xml:space="preserve">HasComponent</w:t>
      </w:r>
      <w:r>
        <w:t xml:space="preserve"> unless a matching link pins a subtype such as </w:t>
      </w:r>
      <w:r>
        <w:rPr>
          <w:rStyle w:val="VARIABLE"/>
        </w:rPr>
        <w:t xml:space="preserve">rel: "ua:HasOrderedComponent"</w:t>
      </w:r>
      <w:r>
        <w:t xml:space="preserve"> (</w:t>
      </w:r>
      <w:r>
        <w:rPr>
          <w:rStyle w:val="VARIABLE"/>
        </w:rPr>
        <w:t xml:space="preserve">uav:refId: "i=49"</w:t>
      </w:r>
      <w:r>
        <w:t xml:space="preserve">), in which case that exact subtype is emitted (</w:t>
      </w:r>
      <w:r>
        <w:t xml:space="preserve">Section </w:t>
      </w:r>
      <w:r>
        <w:fldChar w:fldCharType="begin"/>
      </w:r>
      <w:r>
        <w:instrText xml:space="preserve"> REF _Clause_c6_2_3 \r \h </w:instrText>
      </w:r>
      <w:r>
        <w:fldChar w:fldCharType="separate"/>
      </w:r>
      <w:r>
        <w:rPr>
          <w:noProof/>
        </w:rPr>
        <w:t xml:space="preserve">6.2.3</w:t>
      </w:r>
      <w:r>
        <w:fldChar w:fldCharType="end"/>
      </w:r>
      <w:r>
        <w:t xml:space="preserve">).</w:t>
      </w:r>
    </w:p>
    <w:p w14:paraId="1C76F056">
      <w:pPr>
        <w:pStyle w:val="PARAGRAPH"/>
      </w:pPr>
      <w:r>
        <w:rPr>
          <w:b/>
        </w:rPr>
        <w:t xml:space="preserve">Step 6 — Groups and modelling rules.</w:t>
      </w:r>
      <w:r>
        <w:t xml:space="preserve"> </w:t>
      </w:r>
      <w:r>
        <w:rPr>
          <w:rStyle w:val="VARIABLE"/>
        </w:rPr>
        <w:t xml:space="preserve">uav:propertyGroups</w:t>
      </w:r>
      <w:r>
        <w:t xml:space="preserve"> etc. become organizing folders over the members; the modelling rules from Step 2/3 govern how instances of </w:t>
      </w:r>
      <w:r>
        <w:rPr>
          <w:rStyle w:val="VARIABLE"/>
        </w:rPr>
        <w:t xml:space="preserve">PumpType</w:t>
      </w:r>
      <w:r>
        <w:t xml:space="preserve"> are built.</w:t>
      </w:r>
    </w:p>
    <w:p w14:paraId="66F121E8">
      <w:pPr>
        <w:pStyle w:val="Heading2"/>
      </w:pPr>
      <w:bookmarkStart w:id="476" w:name="_Clause_c5_2"/>
      <w:r>
        <w:t xml:space="preserve">Projecting a Thing Description to an OPC UA instance</w:t>
      </w:r>
      <w:bookmarkEnd w:id="476"/>
    </w:p>
    <w:p w14:paraId="3C2786B6">
      <w:pPr>
        <w:pStyle w:val="PARAGRAPH"/>
      </w:pPr>
      <w:r>
        <w:rPr>
          <w:b/>
        </w:rPr>
        <w:t xml:space="preserve">Step 1 — Root object.</w:t>
      </w:r>
      <w:r>
        <w:t xml:space="preserve"> </w:t>
      </w:r>
      <w:r>
        <w:rPr>
          <w:rStyle w:val="VARIABLE"/>
        </w:rPr>
        <w:t xml:space="preserve">uav:object</w:t>
      </w:r>
      <w:r>
        <w:t xml:space="preserve"> → an </w:t>
      </w:r>
      <w:r>
        <w:rPr>
          <w:rStyle w:val="VARIABLE"/>
        </w:rPr>
        <w:t xml:space="preserve">Object</w:t>
      </w:r>
      <w:r>
        <w:t xml:space="preserve">; a </w:t>
      </w:r>
      <w:r>
        <w:rPr>
          <w:rStyle w:val="VARIABLE"/>
        </w:rPr>
        <w:t xml:space="preserve">tm:instanceOf</w:t>
      </w:r>
      <w:r>
        <w:t xml:space="preserve">/</w:t>
      </w:r>
      <w:r>
        <w:rPr>
          <w:rStyle w:val="VARIABLE"/>
        </w:rPr>
        <w:t xml:space="preserve">links rel=type</w:t>
      </w:r>
      <w:r>
        <w:t xml:space="preserve"> to </w:t>
      </w:r>
      <w:r>
        <w:rPr>
          <w:rStyle w:val="VARIABLE"/>
        </w:rPr>
        <w:t xml:space="preserve">PumpType</w:t>
      </w:r>
      <w:r>
        <w:t xml:space="preserve"> sets its </w:t>
      </w:r>
      <w:r>
        <w:rPr>
          <w:rStyle w:val="VARIABLE"/>
        </w:rPr>
        <w:t xml:space="preserve">HasTypeDefinition</w:t>
      </w:r>
      <w:r>
        <w:t xml:space="preserve">.</w:t>
      </w:r>
    </w:p>
    <w:p w14:paraId="5790B069">
      <w:pPr>
        <w:pStyle w:val="CODE"/>
      </w:pPr>
      <w:r>
        <w:t xml:space="preserve">"@type": ["Thing", "uav:object"],</w:t>
      </w:r>
    </w:p>
    <w:p w14:paraId="4E2005A3">
      <w:pPr>
        <w:pStyle w:val="CODE"/>
      </w:pPr>
      <w:r>
        <w:t xml:space="preserve">"uav:browseName": "pump:Pump",</w:t>
      </w:r>
    </w:p>
    <w:p w14:paraId="37584E38">
      <w:pPr>
        <w:pStyle w:val="CODE"/>
      </w:pPr>
      <w:r>
        <w:t xml:space="preserve">"uav:id": "nsu=...;s=Pump"</w:t>
      </w:r>
    </w:p>
    <w:p w14:paraId="2130958B">
      <w:pPr>
        <w:pStyle w:val="PARAGRAPH"/>
      </w:pPr>
      <w:r>
        <w:t xml:space="preserve">→ </w:t>
      </w:r>
      <w:r>
        <w:rPr>
          <w:rStyle w:val="VARIABLE"/>
        </w:rPr>
        <w:t xml:space="preserve">Object 1:Pump</w:t>
      </w:r>
      <w:r>
        <w:t xml:space="preserve"> (</w:t>
      </w:r>
      <w:r>
        <w:rPr>
          <w:rStyle w:val="VARIABLE"/>
        </w:rPr>
        <w:t xml:space="preserve">HasTypeDefinition PumpType</w:t>
      </w:r>
      <w:r>
        <w:t xml:space="preserve">, </w:t>
      </w:r>
      <w:r>
        <w:rPr>
          <w:rStyle w:val="VARIABLE"/>
        </w:rPr>
        <w:t xml:space="preserve">NodeId</w:t>
      </w:r>
      <w:r>
        <w:t xml:space="preserve"> resolved from the </w:t>
      </w:r>
      <w:r>
        <w:rPr>
          <w:rStyle w:val="VARIABLE"/>
        </w:rPr>
        <w:t xml:space="preserve">uav:id</w:t>
      </w:r>
      <w:r>
        <w:t xml:space="preserve"> ExpandedNodeId; the </w:t>
      </w:r>
      <w:r>
        <w:rPr>
          <w:rStyle w:val="VARIABLE"/>
        </w:rPr>
        <w:t xml:space="preserve">nsu=</w:t>
      </w:r>
      <w:r>
        <w:t xml:space="preserve"> namespace URI is mapped to the Server's current namespace index at session time, </w:t>
      </w:r>
      <w:r>
        <w:t xml:space="preserve">Section </w:t>
      </w:r>
      <w:r>
        <w:fldChar w:fldCharType="begin"/>
      </w:r>
      <w:r>
        <w:instrText xml:space="preserve"> REF _Clause_c6_2_1_1 \r \h </w:instrText>
      </w:r>
      <w:r>
        <w:fldChar w:fldCharType="separate"/>
      </w:r>
      <w:r>
        <w:rPr>
          <w:noProof/>
        </w:rPr>
        <w:t xml:space="preserve">6.2.1.1</w:t>
      </w:r>
      <w:r>
        <w:fldChar w:fldCharType="end"/>
      </w:r>
      <w:r>
        <w:t xml:space="preserve">).</w:t>
      </w:r>
    </w:p>
    <w:p w14:paraId="161B5F1C">
      <w:pPr>
        <w:pStyle w:val="PARAGRAPH"/>
      </w:pPr>
      <w:r>
        <w:rPr>
          <w:b/>
        </w:rPr>
        <w:t xml:space="preserve">Step 2 — Properties → Variables with values and forms.</w:t>
      </w:r>
      <w:r>
        <w:t xml:space="preserve"> Each TD property is a </w:t>
      </w:r>
      <w:r>
        <w:rPr>
          <w:rStyle w:val="VARIABLE"/>
        </w:rPr>
        <w:t xml:space="preserve">Variable</w:t>
      </w:r>
      <w:r>
        <w:t xml:space="preserve">; </w:t>
      </w:r>
      <w:r>
        <w:rPr>
          <w:rStyle w:val="VARIABLE"/>
        </w:rPr>
        <w:t xml:space="preserve">readOnly</w:t>
      </w:r>
      <w:r>
        <w:t xml:space="preserve">/</w:t>
      </w:r>
      <w:r>
        <w:rPr>
          <w:rStyle w:val="VARIABLE"/>
        </w:rPr>
        <w:t xml:space="preserve">writeOnly</w:t>
      </w:r>
      <w:r>
        <w:t xml:space="preserve">/</w:t>
      </w:r>
      <w:r>
        <w:rPr>
          <w:rStyle w:val="VARIABLE"/>
        </w:rPr>
        <w:t xml:space="preserve">observable</w:t>
      </w:r>
      <w:r>
        <w:t xml:space="preserve"> set the </w:t>
      </w:r>
      <w:r>
        <w:rPr>
          <w:rStyle w:val="VARIABLE"/>
        </w:rPr>
        <w:t xml:space="preserve">AccessLevel</w:t>
      </w:r>
      <w:r>
        <w:t xml:space="preserve">; each </w:t>
      </w:r>
      <w:r>
        <w:rPr>
          <w:rStyle w:val="VARIABLE"/>
        </w:rPr>
        <w:t xml:space="preserve">form</w:t>
      </w:r>
      <w:r>
        <w:t xml:space="preserve"> compiles to a service call.</w:t>
      </w:r>
    </w:p>
    <w:p w14:paraId="7B854C54">
      <w:pPr>
        <w:pStyle w:val="CODE"/>
      </w:pPr>
      <w:r>
        <w:t xml:space="preserve">"pumpSpeed": { "@type": "uav:variable", "uav:id": "nsu=...;s=PumpSpeed", "readOnly": true,</w:t>
      </w:r>
    </w:p>
    <w:p w14:paraId="36F78CEE">
      <w:pPr>
        <w:pStyle w:val="CODE"/>
      </w:pPr>
      <w:r>
        <w:t xml:space="preserve">  "observable": true, "forms": [{ "op": ["readproperty","observeproperty"] }] }</w:t>
      </w:r>
    </w:p>
    <w:p w14:paraId="34A99B3E">
      <w:pPr>
        <w:pStyle w:val="PARAGRAPH"/>
      </w:pPr>
      <w:r>
        <w:t xml:space="preserve">→ </w:t>
      </w:r>
      <w:r>
        <w:rPr>
          <w:rStyle w:val="VARIABLE"/>
        </w:rPr>
        <w:t xml:space="preserve">Variable 1:PumpSpeed</w:t>
      </w:r>
      <w:r>
        <w:t xml:space="preserve"> (</w:t>
      </w:r>
      <w:r>
        <w:rPr>
          <w:rStyle w:val="VARIABLE"/>
        </w:rPr>
        <w:t xml:space="preserve">AccessLevel CurrentRead</w:t>
      </w:r>
      <w:r>
        <w:t xml:space="preserve">); </w:t>
      </w:r>
      <w:r>
        <w:rPr>
          <w:rStyle w:val="VARIABLE"/>
        </w:rPr>
        <w:t xml:space="preserve">readproperty</w:t>
      </w:r>
      <w:r>
        <w:t xml:space="preserve"> → Read, </w:t>
      </w:r>
      <w:r>
        <w:rPr>
          <w:rStyle w:val="VARIABLE"/>
        </w:rPr>
        <w:t xml:space="preserve">observeproperty</w:t>
      </w:r>
      <w:r>
        <w:t xml:space="preserve"> → a Subscription MonitoredItem. The operation advertises observation through the WoT binding; it does not define whether the Variable is technically monitorable in OPC UA, because any Variable may be monitored when the Server permits it.</w:t>
      </w:r>
    </w:p>
    <w:p w14:paraId="1A4C1B6A">
      <w:pPr>
        <w:pStyle w:val="PARAGRAPH"/>
      </w:pPr>
      <w:r>
        <w:rPr>
          <w:b/>
        </w:rPr>
        <w:t xml:space="preserve">Step 3 — Actions → Methods; events → event MonitoredItems.</w:t>
      </w:r>
      <w:r>
        <w:t xml:space="preserve"> </w:t>
      </w:r>
      <w:r>
        <w:rPr>
          <w:rStyle w:val="VARIABLE"/>
        </w:rPr>
        <w:t xml:space="preserve">uav:method</w:t>
      </w:r>
      <w:r>
        <w:t xml:space="preserve"> actions become callable </w:t>
      </w:r>
      <w:r>
        <w:rPr>
          <w:rStyle w:val="VARIABLE"/>
        </w:rPr>
        <w:t xml:space="preserve">Method</w:t>
      </w:r>
      <w:r>
        <w:t xml:space="preserve"> instances (</w:t>
      </w:r>
      <w:r>
        <w:rPr>
          <w:rStyle w:val="VARIABLE"/>
        </w:rPr>
        <w:t xml:space="preserve">invokeaction</w:t>
      </w:r>
      <w:r>
        <w:t xml:space="preserve"> → Call); events annotated </w:t>
      </w:r>
      <w:r>
        <w:rPr>
          <w:rStyle w:val="VARIABLE"/>
        </w:rPr>
        <w:t xml:space="preserve">@type uav:eventType</w:t>
      </w:r>
      <w:r>
        <w:t xml:space="preserve"> (with </w:t>
      </w:r>
      <w:r>
        <w:rPr>
          <w:rStyle w:val="VARIABLE"/>
        </w:rPr>
        <w:t xml:space="preserve">uav:isEvent: true</w:t>
      </w:r>
      <w:r>
        <w:t xml:space="preserve">) are subscribed via event MonitoredItems (</w:t>
      </w:r>
      <w:r>
        <w:rPr>
          <w:rStyle w:val="VARIABLE"/>
        </w:rPr>
        <w:t xml:space="preserve">subscribeevent</w:t>
      </w:r>
      <w:r>
        <w:t xml:space="preserve">).</w:t>
      </w:r>
    </w:p>
    <w:p w14:paraId="4ACC94B4">
      <w:pPr>
        <w:pStyle w:val="PARAGRAPH"/>
      </w:pPr>
      <w:r>
        <w:rPr>
          <w:b/>
        </w:rPr>
        <w:t xml:space="preserve">Step 4 — Parent placement.</w:t>
      </w:r>
      <w:r>
        <w:t xml:space="preserve"> With no parent link, the </w:t>
      </w:r>
      <w:r>
        <w:rPr>
          <w:rStyle w:val="VARIABLE"/>
        </w:rPr>
        <w:t xml:space="preserve">Object</w:t>
      </w:r>
      <w:r>
        <w:t xml:space="preserve"> is </w:t>
      </w:r>
      <w:r>
        <w:rPr>
          <w:rStyle w:val="VARIABLE"/>
        </w:rPr>
        <w:t xml:space="preserve">Organizes</w:t>
      </w:r>
      <w:r>
        <w:t xml:space="preserve">d under </w:t>
      </w:r>
      <w:r>
        <w:rPr>
          <w:rStyle w:val="VARIABLE"/>
        </w:rPr>
        <w:t xml:space="preserve">Objects</w:t>
      </w:r>
      <w:r>
        <w:t xml:space="preserve">; a </w:t>
      </w:r>
      <w:r>
        <w:rPr>
          <w:rStyle w:val="VARIABLE"/>
        </w:rPr>
        <w:t xml:space="preserve">rel: uav:componentOf</w:t>
      </w:r>
      <w:r>
        <w:t xml:space="preserve"> link makes it a </w:t>
      </w:r>
      <w:r>
        <w:rPr>
          <w:rStyle w:val="VARIABLE"/>
        </w:rPr>
        <w:t xml:space="preserve">HasComponent</w:t>
      </w:r>
      <w:r>
        <w:t xml:space="preserve"> child of the resolved parent (</w:t>
      </w:r>
      <w:r>
        <w:t xml:space="preserve">Section </w:t>
      </w:r>
      <w:r>
        <w:fldChar w:fldCharType="begin"/>
      </w:r>
      <w:r>
        <w:instrText xml:space="preserve"> REF _Clause_c6_3_2 \r \h </w:instrText>
      </w:r>
      <w:r>
        <w:fldChar w:fldCharType="separate"/>
      </w:r>
      <w:r>
        <w:rPr>
          <w:noProof/>
        </w:rPr>
        <w:t xml:space="preserve">6.3.2</w:t>
      </w:r>
      <w:r>
        <w:fldChar w:fldCharType="end"/>
      </w:r>
      <w:r>
        <w:t xml:space="preserve">).</w:t>
      </w:r>
    </w:p>
    <w:p w14:paraId="315DD5C0">
      <w:pPr>
        <w:pStyle w:val="Heading2"/>
      </w:pPr>
      <w:bookmarkStart w:id="477" w:name="_Clause_c5_3"/>
      <w:r>
        <w:t xml:space="preserve">Recovering a Thing Model or Thing Description from an address space</w:t>
      </w:r>
      <w:bookmarkEnd w:id="477"/>
    </w:p>
    <w:p w14:paraId="49AC45A8">
      <w:pPr>
        <w:pStyle w:val="PARAGRAPH"/>
      </w:pPr>
      <w:r>
        <w:t xml:space="preserve">The reverse is the mirror image; a converter walks the NodeSet2, emits the readable </w:t>
      </w:r>
      <w:r>
        <w:rPr>
          <w:rStyle w:val="VARIABLE"/>
        </w:rPr>
        <w:t xml:space="preserve">uav</w:t>
      </w:r>
      <w:r>
        <w:t xml:space="preserve"> terms, and emits the complete </w:t>
      </w:r>
      <w:r>
        <w:rPr>
          <w:rStyle w:val="VARIABLE"/>
        </w:rPr>
        <w:t xml:space="preserve">uav:nodes</w:t>
      </w:r>
      <w:r>
        <w:t xml:space="preserve"> projection. It does not emit </w:t>
      </w:r>
      <w:r>
        <w:rPr>
          <w:rStyle w:val="VARIABLE"/>
        </w:rPr>
        <w:t xml:space="preserve">uav:nodeSet</w:t>
      </w:r>
      <w:r>
        <w:t xml:space="preserve"> in the normal case.</w:t>
      </w:r>
    </w:p>
    <w:p w14:paraId="23A474CF">
      <w:pPr>
        <w:pStyle w:val="PARAGRAPH"/>
      </w:pPr>
      <w:r>
        <w:rPr>
          <w:b/>
        </w:rPr>
        <w:t xml:space="preserve">Step 1 — Classify the root.</w:t>
      </w:r>
      <w:r>
        <w:t xml:space="preserve"> An </w:t>
      </w:r>
      <w:r>
        <w:rPr>
          <w:rStyle w:val="VARIABLE"/>
        </w:rPr>
        <w:t xml:space="preserve">ObjectType</w:t>
      </w:r>
      <w:r>
        <w:t xml:space="preserve"> → a TM with </w:t>
      </w:r>
      <w:r>
        <w:rPr>
          <w:rStyle w:val="VARIABLE"/>
        </w:rPr>
        <w:t xml:space="preserve">@type uav:objectType</w:t>
      </w:r>
      <w:r>
        <w:t xml:space="preserve">; an </w:t>
      </w:r>
      <w:r>
        <w:rPr>
          <w:rStyle w:val="VARIABLE"/>
        </w:rPr>
        <w:t xml:space="preserve">Object</w:t>
      </w:r>
      <w:r>
        <w:t xml:space="preserve"> → a TD with </w:t>
      </w:r>
      <w:r>
        <w:rPr>
          <w:rStyle w:val="VARIABLE"/>
        </w:rPr>
        <w:t xml:space="preserve">@type uav:object</w:t>
      </w:r>
      <w:r>
        <w:t xml:space="preserve">. Emit </w:t>
      </w:r>
      <w:r>
        <w:rPr>
          <w:rStyle w:val="VARIABLE"/>
        </w:rPr>
        <w:t xml:space="preserve">uav:browseName</w:t>
      </w:r>
      <w:r>
        <w:t xml:space="preserve"> from </w:t>
      </w:r>
      <w:r>
        <w:rPr>
          <w:rStyle w:val="VARIABLE"/>
        </w:rPr>
        <w:t xml:space="preserve">BrowseName</w:t>
      </w:r>
      <w:r>
        <w:t xml:space="preserve">, </w:t>
      </w:r>
      <w:r>
        <w:rPr>
          <w:rStyle w:val="VARIABLE"/>
        </w:rPr>
        <w:t xml:space="preserve">title</w:t>
      </w:r>
      <w:r>
        <w:t xml:space="preserve"> from </w:t>
      </w:r>
      <w:r>
        <w:rPr>
          <w:rStyle w:val="VARIABLE"/>
        </w:rPr>
        <w:t xml:space="preserve">DisplayName</w:t>
      </w:r>
      <w:r>
        <w:t xml:space="preserve">, </w:t>
      </w:r>
      <w:r>
        <w:rPr>
          <w:rStyle w:val="VARIABLE"/>
        </w:rPr>
        <w:t xml:space="preserve">description</w:t>
      </w:r>
      <w:r>
        <w:t xml:space="preserve"> from </w:t>
      </w:r>
      <w:r>
        <w:rPr>
          <w:rStyle w:val="VARIABLE"/>
        </w:rPr>
        <w:t xml:space="preserve">Description</w:t>
      </w:r>
      <w:r>
        <w:t xml:space="preserve">.</w:t>
      </w:r>
    </w:p>
    <w:p w14:paraId="2D5A0A8C">
      <w:pPr>
        <w:pStyle w:val="PARAGRAPH"/>
      </w:pPr>
      <w:r>
        <w:rPr>
          <w:b/>
        </w:rPr>
        <w:t xml:space="preserve">Step 2 — Members → affordances.</w:t>
      </w:r>
      <w:r>
        <w:t xml:space="preserve"> Each </w:t>
      </w:r>
      <w:r>
        <w:rPr>
          <w:rStyle w:val="VARIABLE"/>
        </w:rPr>
        <w:t xml:space="preserve">HasComponent</w:t>
      </w:r>
      <w:r>
        <w:t xml:space="preserve">/</w:t>
      </w:r>
      <w:r>
        <w:rPr>
          <w:rStyle w:val="VARIABLE"/>
        </w:rPr>
        <w:t xml:space="preserve">HasProperty</w:t>
      </w:r>
      <w:r>
        <w:t xml:space="preserve"> </w:t>
      </w:r>
      <w:r>
        <w:rPr>
          <w:rStyle w:val="VARIABLE"/>
        </w:rPr>
        <w:t xml:space="preserve">Variable</w:t>
      </w:r>
      <w:r>
        <w:t xml:space="preserve"> → a property (</w:t>
      </w:r>
      <w:r>
        <w:rPr>
          <w:rStyle w:val="VARIABLE"/>
        </w:rPr>
        <w:t xml:space="preserve">uav:variable</w:t>
      </w:r>
      <w:r>
        <w:t xml:space="preserve">/</w:t>
      </w:r>
      <w:r>
        <w:rPr>
          <w:rStyle w:val="VARIABLE"/>
        </w:rPr>
        <w:t xml:space="preserve">uav:variableType</w:t>
      </w:r>
      <w:r>
        <w:t xml:space="preserve">); each </w:t>
      </w:r>
      <w:r>
        <w:rPr>
          <w:rStyle w:val="VARIABLE"/>
        </w:rPr>
        <w:t xml:space="preserve">Method</w:t>
      </w:r>
      <w:r>
        <w:t xml:space="preserve"> → an action; each </w:t>
      </w:r>
      <w:r>
        <w:rPr>
          <w:rStyle w:val="VARIABLE"/>
        </w:rPr>
        <w:t xml:space="preserve">GeneratesEvent</w:t>
      </w:r>
      <w:r>
        <w:t xml:space="preserve"> EventType → an event with </w:t>
      </w:r>
      <w:r>
        <w:rPr>
          <w:rStyle w:val="VARIABLE"/>
        </w:rPr>
        <w:t xml:space="preserve">@type uav:eventType</w:t>
      </w:r>
      <w:r>
        <w:t xml:space="preserve"> and </w:t>
      </w:r>
      <w:r>
        <w:rPr>
          <w:rStyle w:val="VARIABLE"/>
        </w:rPr>
        <w:t xml:space="preserve">uav:isEvent: true</w:t>
      </w:r>
      <w:r>
        <w:t xml:space="preserve">. Emit </w:t>
      </w:r>
      <w:r>
        <w:rPr>
          <w:rStyle w:val="VARIABLE"/>
        </w:rPr>
        <w:t xml:space="preserve">type</w:t>
      </w:r>
      <w:r>
        <w:t xml:space="preserve"> from </w:t>
      </w:r>
      <w:r>
        <w:rPr>
          <w:rStyle w:val="VARIABLE"/>
        </w:rPr>
        <w:t xml:space="preserve">DataType</w:t>
      </w:r>
      <w:r>
        <w:t xml:space="preserve"> + </w:t>
      </w:r>
      <w:r>
        <w:rPr>
          <w:rStyle w:val="VARIABLE"/>
        </w:rPr>
        <w:t xml:space="preserve">ValueRank</w:t>
      </w:r>
      <w:r>
        <w:t xml:space="preserve">, </w:t>
      </w:r>
      <w:r>
        <w:rPr>
          <w:rStyle w:val="VARIABLE"/>
        </w:rPr>
        <w:t xml:space="preserve">readOnly</w:t>
      </w:r>
      <w:r>
        <w:t xml:space="preserve">/</w:t>
      </w:r>
      <w:r>
        <w:rPr>
          <w:rStyle w:val="VARIABLE"/>
        </w:rPr>
        <w:t xml:space="preserve">observable</w:t>
      </w:r>
      <w:r>
        <w:t xml:space="preserve"> from </w:t>
      </w:r>
      <w:r>
        <w:rPr>
          <w:rStyle w:val="VARIABLE"/>
        </w:rPr>
        <w:t xml:space="preserve">AccessLevel</w:t>
      </w:r>
      <w:r>
        <w:t xml:space="preserve">, and </w:t>
      </w:r>
      <w:r>
        <w:rPr>
          <w:rStyle w:val="VARIABLE"/>
        </w:rPr>
        <w:t xml:space="preserve">uav:modellingRule</w:t>
      </w:r>
      <w:r>
        <w:t xml:space="preserve"> from the </w:t>
      </w:r>
      <w:r>
        <w:rPr>
          <w:rStyle w:val="VARIABLE"/>
        </w:rPr>
        <w:t xml:space="preserve">HasModellingRule</w:t>
      </w:r>
      <w:r>
        <w:t xml:space="preserve"> target. Emit every identity term (</w:t>
      </w:r>
      <w:r>
        <w:rPr>
          <w:rStyle w:val="VARIABLE"/>
        </w:rPr>
        <w:t xml:space="preserve">uav:id</w:t>
      </w:r>
      <w:r>
        <w:t xml:space="preserve">, </w:t>
      </w:r>
      <w:r>
        <w:rPr>
          <w:rStyle w:val="VARIABLE"/>
        </w:rPr>
        <w:t xml:space="preserve">uav:hasComponent</w:t>
      </w:r>
      <w:r>
        <w:t xml:space="preserve">, </w:t>
      </w:r>
      <w:r>
        <w:rPr>
          <w:rStyle w:val="VARIABLE"/>
        </w:rPr>
        <w:t xml:space="preserve">uav:componentOf</w:t>
      </w:r>
      <w:r>
        <w:t xml:space="preserve">) as an ExpandedNodeId, mapping each namespace index to its </w:t>
      </w:r>
      <w:r>
        <w:rPr>
          <w:rStyle w:val="VARIABLE"/>
        </w:rPr>
        <w:t xml:space="preserve">NamespaceUris</w:t>
      </w:r>
      <w:r>
        <w:t xml:space="preserve"> URI (</w:t>
      </w:r>
      <w:r>
        <w:t xml:space="preserve">Section </w:t>
      </w:r>
      <w:r>
        <w:fldChar w:fldCharType="begin"/>
      </w:r>
      <w:r>
        <w:instrText xml:space="preserve"> REF _Clause_c6_2_1_1 \r \h </w:instrText>
      </w:r>
      <w:r>
        <w:fldChar w:fldCharType="separate"/>
      </w:r>
      <w:r>
        <w:rPr>
          <w:noProof/>
        </w:rPr>
        <w:t xml:space="preserve">6.2.1.1</w:t>
      </w:r>
      <w:r>
        <w:fldChar w:fldCharType="end"/>
      </w:r>
      <w:r>
        <w:t xml:space="preserve">).</w:t>
      </w:r>
    </w:p>
    <w:p w14:paraId="407C5AAB">
      <w:pPr>
        <w:pStyle w:val="CODE"/>
      </w:pPr>
      <w:r>
        <w:t xml:space="preserve">Variable 1:PumpSpeed (DataType Double, CurrentRead, Mandatory)</w:t>
      </w:r>
    </w:p>
    <w:p w14:paraId="08FAAAC5">
      <w:pPr>
        <w:pStyle w:val="CODE"/>
      </w:pPr>
      <w:r>
        <w:t xml:space="preserve">→ "pumpSpeed": { "@type":"uav:variableType", "type":"number", "readOnly":true, "uav:modellingRule":"Mandatory" }</w:t>
      </w:r>
    </w:p>
    <w:p w14:paraId="5702E6E6">
      <w:pPr>
        <w:pStyle w:val="PARAGRAPH"/>
      </w:pPr>
      <w:r>
        <w:rPr>
          <w:b/>
        </w:rPr>
        <w:t xml:space="preserve">Step 3 — References → links / containment.</w:t>
      </w:r>
      <w:r>
        <w:t xml:space="preserve"> </w:t>
      </w:r>
      <w:r>
        <w:rPr>
          <w:rStyle w:val="VARIABLE"/>
        </w:rPr>
        <w:t xml:space="preserve">HasComponent</w:t>
      </w:r>
      <w:r>
        <w:t xml:space="preserve"> (forward) → </w:t>
      </w:r>
      <w:r>
        <w:rPr>
          <w:rStyle w:val="VARIABLE"/>
        </w:rPr>
        <w:t xml:space="preserve">uav:contains</w:t>
      </w:r>
      <w:r>
        <w:t xml:space="preserve"> / a </w:t>
      </w:r>
      <w:r>
        <w:rPr>
          <w:rStyle w:val="VARIABLE"/>
        </w:rPr>
        <w:t xml:space="preserve">uav:componentModel</w:t>
      </w:r>
      <w:r>
        <w:t xml:space="preserve"> link; </w:t>
      </w:r>
      <w:r>
        <w:rPr>
          <w:rStyle w:val="VARIABLE"/>
        </w:rPr>
        <w:t xml:space="preserve">HasComponent</w:t>
      </w:r>
      <w:r>
        <w:t xml:space="preserve"> (inverse) → a </w:t>
      </w:r>
      <w:r>
        <w:rPr>
          <w:rStyle w:val="VARIABLE"/>
        </w:rPr>
        <w:t xml:space="preserve">uav:componentOf</w:t>
      </w:r>
      <w:r>
        <w:t xml:space="preserve"> link; a typed Reference → a link whose </w:t>
      </w:r>
      <w:r>
        <w:rPr>
          <w:rStyle w:val="VARIABLE"/>
        </w:rPr>
        <w:t xml:space="preserve">rel</w:t>
      </w:r>
      <w:r>
        <w:t xml:space="preserve"> is the ReferenceType compact model name and whose </w:t>
      </w:r>
      <w:r>
        <w:rPr>
          <w:rStyle w:val="VARIABLE"/>
        </w:rPr>
        <w:t xml:space="preserve">uav:refId</w:t>
      </w:r>
      <w:r>
        <w:t xml:space="preserve"> is present when required. A </w:t>
      </w:r>
      <w:r>
        <w:rPr>
          <w:rStyle w:val="VARIABLE"/>
        </w:rPr>
        <w:t xml:space="preserve">HasComponent</w:t>
      </w:r>
      <w:r>
        <w:t xml:space="preserve"> </w:t>
      </w:r>
      <w:r>
        <w:rPr>
          <w:b/>
        </w:rPr>
        <w:t xml:space="preserve">subtype</w:t>
      </w:r>
      <w:r>
        <w:t xml:space="preserve"> such as </w:t>
      </w:r>
      <w:r>
        <w:rPr>
          <w:rStyle w:val="VARIABLE"/>
        </w:rPr>
        <w:t xml:space="preserve">HasOrderedComponent</w:t>
      </w:r>
      <w:r>
        <w:t xml:space="preserve"> is emitted both as a </w:t>
      </w:r>
      <w:r>
        <w:rPr>
          <w:rStyle w:val="VARIABLE"/>
        </w:rPr>
        <w:t xml:space="preserve">uav:hasComponent</w:t>
      </w:r>
      <w:r>
        <w:t xml:space="preserve"> entry (for discovery) and as a link carrying </w:t>
      </w:r>
      <w:r>
        <w:rPr>
          <w:rStyle w:val="VARIABLE"/>
        </w:rPr>
        <w:t xml:space="preserve">rel: "ua:HasOrderedComponent"</w:t>
      </w:r>
      <w:r>
        <w:t xml:space="preserve"> plus </w:t>
      </w:r>
      <w:r>
        <w:rPr>
          <w:rStyle w:val="VARIABLE"/>
        </w:rPr>
        <w:t xml:space="preserve">uav:refId: "i=49"</w:t>
      </w:r>
      <w:r>
        <w:t xml:space="preserve">, so the exact subtype survives the round trip (</w:t>
      </w:r>
      <w:r>
        <w:t xml:space="preserve">Section </w:t>
      </w:r>
      <w:r>
        <w:fldChar w:fldCharType="begin"/>
      </w:r>
      <w:r>
        <w:instrText xml:space="preserve"> REF _Clause_c6_2_3 \r \h </w:instrText>
      </w:r>
      <w:r>
        <w:fldChar w:fldCharType="separate"/>
      </w:r>
      <w:r>
        <w:rPr>
          <w:noProof/>
        </w:rPr>
        <w:t xml:space="preserve">6.2.3</w:t>
      </w:r>
      <w:r>
        <w:fldChar w:fldCharType="end"/>
      </w:r>
      <w:r>
        <w:t xml:space="preserve">). Other non-hierarchical References → </w:t>
      </w:r>
      <w:r>
        <w:rPr>
          <w:rStyle w:val="VARIABLE"/>
        </w:rPr>
        <w:t xml:space="preserve">uav:reference</w:t>
      </w:r>
      <w:r>
        <w:t xml:space="preserve">/</w:t>
      </w:r>
      <w:r>
        <w:rPr>
          <w:rStyle w:val="VARIABLE"/>
        </w:rPr>
        <w:t xml:space="preserve">uav:capability</w:t>
      </w:r>
      <w:r>
        <w:t xml:space="preserve">.</w:t>
      </w:r>
    </w:p>
    <w:p w14:paraId="702929AA">
      <w:pPr>
        <w:pStyle w:val="PARAGRAPH"/>
      </w:pPr>
      <w:r>
        <w:rPr>
          <w:b/>
        </w:rPr>
        <w:t xml:space="preserve">Step 4 — Units, scaling, groups, semantics.</w:t>
      </w:r>
      <w:r>
        <w:t xml:space="preserve"> An </w:t>
      </w:r>
      <w:r>
        <w:rPr>
          <w:rStyle w:val="VARIABLE"/>
        </w:rPr>
        <w:t xml:space="preserve">AnalogUnitType</w:t>
      </w:r>
      <w:r>
        <w:t xml:space="preserve"> </w:t>
      </w:r>
      <w:r>
        <w:rPr>
          <w:rStyle w:val="VARIABLE"/>
        </w:rPr>
        <w:t xml:space="preserve">EngineeringUnits</w:t>
      </w:r>
      <w:r>
        <w:t xml:space="preserve"> Property → </w:t>
      </w:r>
      <w:r>
        <w:rPr>
          <w:rStyle w:val="VARIABLE"/>
        </w:rPr>
        <w:t xml:space="preserve">uav:unitProperty</w:t>
      </w:r>
      <w:r>
        <w:t xml:space="preserve"> + a QUDT quantity kind; scaling Properties → </w:t>
      </w:r>
      <w:r>
        <w:rPr>
          <w:rStyle w:val="VARIABLE"/>
        </w:rPr>
        <w:t xml:space="preserve">uav:scaleFactor</w:t>
      </w:r>
      <w:r>
        <w:t xml:space="preserve"> / </w:t>
      </w:r>
      <w:r>
        <w:rPr>
          <w:rStyle w:val="VARIABLE"/>
        </w:rPr>
        <w:t xml:space="preserve">uav:decimalPlaces</w:t>
      </w:r>
      <w:r>
        <w:t xml:space="preserve">; organizing folders → </w:t>
      </w:r>
      <w:r>
        <w:rPr>
          <w:rStyle w:val="VARIABLE"/>
        </w:rPr>
        <w:t xml:space="preserve">uav:propertyGroups</w:t>
      </w:r>
      <w:r>
        <w:t xml:space="preserve">/</w:t>
      </w:r>
      <w:r>
        <w:rPr>
          <w:rStyle w:val="VARIABLE"/>
        </w:rPr>
        <w:t xml:space="preserve">memberOf</w:t>
      </w:r>
      <w:r>
        <w:t xml:space="preserve">; </w:t>
      </w:r>
      <w:r>
        <w:rPr>
          <w:rStyle w:val="VARIABLE"/>
        </w:rPr>
        <w:t xml:space="preserve">HasDictionaryEntry</w:t>
      </w:r>
      <w:r>
        <w:t xml:space="preserve">-style references → </w:t>
      </w:r>
      <w:r>
        <w:rPr>
          <w:rStyle w:val="VARIABLE"/>
        </w:rPr>
        <w:t xml:space="preserve">uav:semanticId</w:t>
      </w:r>
      <w:r>
        <w:t xml:space="preserve">.</w:t>
      </w:r>
    </w:p>
    <w:p w14:paraId="2CCB0A81">
      <w:pPr>
        <w:pStyle w:val="PARAGRAPH"/>
      </w:pPr>
      <w:r>
        <w:rPr>
          <w:b/>
        </w:rPr>
        <w:t xml:space="preserve">Step 5 — Test the readable mapping, then use structured fallback if needed.</w:t>
      </w:r>
      <w:r>
        <w:t xml:space="preserve"> Convert the readable TM back to UANodeSet and compare it with the source. If it is equivalent, omit </w:t>
      </w:r>
      <w:r>
        <w:rPr>
          <w:rStyle w:val="VARIABLE"/>
        </w:rPr>
        <w:t xml:space="preserve">uav:nodes</w:t>
      </w:r>
      <w:r>
        <w:t xml:space="preserve">. Otherwise emit </w:t>
      </w:r>
      <w:r>
        <w:rPr>
          <w:rStyle w:val="VARIABLE"/>
        </w:rPr>
        <w:t xml:space="preserve">uav:nodes</w:t>
      </w:r>
      <w:r>
        <w:t xml:space="preserve"> with </w:t>
      </w:r>
      <w:r>
        <w:rPr>
          <w:rStyle w:val="VARIABLE"/>
        </w:rPr>
        <w:t xml:space="preserve">@type: uav:NodeModel</w:t>
      </w:r>
      <w:r>
        <w:t xml:space="preserve">, profile </w:t>
      </w:r>
      <w:r>
        <w:rPr>
          <w:rStyle w:val="VARIABLE"/>
        </w:rPr>
        <w:t xml:space="preserve">1.0</w:t>
      </w:r>
      <w:r>
        <w:t xml:space="preserve">, the namespace/model/alias tables, and complete records for every node. Values and XML extensions are individual XML fragments. Reconstruct this projection and compare it with the source before reporting success.</w:t>
      </w:r>
    </w:p>
    <w:p w14:paraId="5605D730">
      <w:pPr>
        <w:pStyle w:val="PARAGRAPH"/>
      </w:pPr>
      <w:r>
        <w:rPr>
          <w:b/>
        </w:rPr>
        <w:t xml:space="preserve">Step 6 — Use the envelope only by exception.</w:t>
      </w:r>
      <w:r>
        <w:t xml:space="preserve"> Do not emit </w:t>
      </w:r>
      <w:r>
        <w:rPr>
          <w:rStyle w:val="VARIABLE"/>
        </w:rPr>
        <w:t xml:space="preserve">uav:nodeSet</w:t>
      </w:r>
      <w:r>
        <w:t xml:space="preserve"> when Step 5 is complete. Emit it only when the caller explicitly requests byte-exact archival or when a future/unsupported construct demonstrably cannot be represented by the supported native profile, and report that fallback.</w:t>
      </w:r>
    </w:p>
    <w:p w14:paraId="616723FE">
      <w:pPr>
        <w:pStyle w:val="PARAGRAPH"/>
      </w:pPr>
      <w:r>
        <w:rPr>
          <w:b/>
        </w:rPr>
        <w:t xml:space="preserve">Roundtrip check.</w:t>
      </w:r>
      <w:r>
        <w:t xml:space="preserve"> Converting </w:t>
      </w:r>
      <w:r>
        <w:rPr>
          <w:rStyle w:val="VARIABLE"/>
        </w:rPr>
        <w:t xml:space="preserve">PumpType</w:t>
      </w:r>
      <w:r>
        <w:t xml:space="preserve"> to a TM and back with </w:t>
      </w:r>
      <w:r>
        <w:rPr>
          <w:rStyle w:val="VARIABLE"/>
        </w:rPr>
        <w:t xml:space="preserve">uav:nodeSet</w:t>
      </w:r>
      <w:r>
        <w:t xml:space="preserve"> forbidden reproduces every member declaration, modelling rule, unit, reference, value, DataType definition, permission, alias and extension. This envelope-free check is the conformance proof; an optional archival check may separately verify byte identity.</w:t>
      </w:r>
    </w:p>
    <w:p w14:paraId="1C9E1362" w14:textId="11C9A06E" w:rsidR="000E4B7A" w:rsidRPr="00EC120D" w:rsidRDefault="000E4B7A" w:rsidP="000E4B7A">
      <w:pPr>
        <w:pStyle w:val="Heading1"/>
      </w:pPr>
      <w:bookmarkStart w:id="478" w:name="_Clause_c6"/>
      <w:bookmarkStart w:id="218" w:name="_Toc442691855"/>
      <w:bookmarkStart w:id="219" w:name="_Toc29911984"/>
      <w:bookmarkStart w:id="220" w:name="_Toc184116985"/>
      <w:r w:rsidRPr="00EC120D">
        <w:rPr>
          <w:color w:val="FF0000"/>
        </w:rPr>
        <w:lastRenderedPageBreak/>
        <w:t>WoT Binding information model overview</w:t>
      </w:r>
      <w:r w:rsidRPr="00EC120D">
        <w:t xml:space="preserve"/>
      </w:r>
      <w:bookmarkEnd w:id="218"/>
      <w:bookmarkEnd w:id="219"/>
      <w:bookmarkEnd w:id="220"/>
      <w:bookmarkEnd w:id="478"/>
    </w:p>
    <w:p w14:paraId="7567821C">
      <w:pPr>
        <w:pStyle w:val="PARAGRAPH"/>
      </w:pPr>
      <w:r>
        <w:t xml:space="preserve">The terms this specification adds to a Thing Description are identified by the namespace</w:t>
      </w:r>
    </w:p>
    <w:p w14:paraId="6CC02D51">
      <w:pPr>
        <w:pStyle w:val="CODE"/>
      </w:pPr>
      <w:r>
        <w:t xml:space="preserve">http://opcfoundation.org/UA/WoT-Binding/</w:t>
      </w:r>
    </w:p>
    <w:p w14:paraId="425F9C7A">
      <w:pPr>
        <w:pStyle w:val="PARAGRAPH"/>
      </w:pPr>
      <w:r>
        <w:t xml:space="preserve">and the prefix </w:t>
      </w:r>
      <w:r>
        <w:rPr>
          <w:b/>
        </w:rPr>
        <w:t xml:space="preserve">uav</w:t>
      </w:r>
      <w:r>
        <w:t xml:space="preserve"> is bound to that namespace. Both the namespace URI and the prefix are preserved unchanged from the published baseline. A conforming document </w:t>
      </w:r>
      <w:r>
        <w:rPr>
          <w:b/>
        </w:rPr>
        <w:t xml:space="preserve">shall</w:t>
      </w:r>
      <w:r>
        <w:t xml:space="preserve"> bind </w:t>
      </w:r>
      <w:r>
        <w:rPr>
          <w:rStyle w:val="VARIABLE"/>
        </w:rPr>
        <w:t xml:space="preserve">uav</w:t>
      </w:r>
      <w:r>
        <w:t xml:space="preserve"> to exactly this URI and </w:t>
      </w:r>
      <w:r>
        <w:rPr>
          <w:b/>
        </w:rPr>
        <w:t xml:space="preserve">shall not</w:t>
      </w:r>
      <w:r>
        <w:t xml:space="preserve"> rebind the prefix to any other namespace.</w:t>
      </w:r>
    </w:p>
    <w:p w14:paraId="167C9651">
      <w:pPr>
        <w:pStyle w:val="Heading2"/>
      </w:pPr>
      <w:bookmarkStart w:id="479" w:name="_Clause_c6_1"/>
      <w:r>
        <w:t xml:space="preserve">JSON-LD conventions</w:t>
      </w:r>
      <w:bookmarkEnd w:id="479"/>
    </w:p>
    <w:p w14:paraId="08C58180">
      <w:pPr>
        <w:pStyle w:val="Heading2"/>
      </w:pPr>
      <w:bookmarkStart w:id="480" w:name="_Clause_c6_2"/>
      <w:r>
        <w:t xml:space="preserve">Preserved OPC 10101 vocabulary and service mappings</w:t>
      </w:r>
      <w:bookmarkEnd w:id="480"/>
    </w:p>
    <w:p w14:paraId="441BA7E9">
      <w:pPr>
        <w:pStyle w:val="PARAGRAPH"/>
      </w:pPr>
      <w:r>
        <w:t xml:space="preserve">This section defines the preserved OPC 10101 vocabulary and its service, URI, access-level, and security mappings.</w:t>
      </w:r>
    </w:p>
    <w:p w14:paraId="59EF301A">
      <w:pPr>
        <w:pStyle w:val="Heading3"/>
      </w:pPr>
      <w:bookmarkStart w:id="481" w:name="_Clause_c6_2_1"/>
      <w:r>
        <w:t xml:space="preserve">Node and path terms</w:t>
      </w:r>
      <w:bookmarkEnd w:id="481"/>
    </w:p>
    <w:p w14:paraId="7DD68A69">
      <w:pPr>
        <w:pStyle w:val="TABLE-title"/>
        <w:keepNext/>
      </w:pPr>
      <w:bookmarkStart w:id="482" w:name="_Tab_node_and_path_terms_tab1"/>
      <w:r>
        <w:t xml:space="preserve">Table </w:t>
      </w:r>
      <w:r>
        <w:fldChar w:fldCharType="begin"/>
      </w:r>
      <w:r>
        <w:instrText xml:space="preserve"> SEQ Table \* ARABIC </w:instrText>
      </w:r>
      <w:r>
        <w:fldChar w:fldCharType="separate"/>
      </w:r>
      <w:r>
        <w:rPr>
          <w:noProof/>
        </w:rPr>
        <w:t xml:space="preserve">1</w:t>
      </w:r>
      <w:r>
        <w:fldChar w:fldCharType="end"/>
      </w:r>
      <w:r>
        <w:t xml:space="preserve"> – Node and path terms</w:t>
      </w:r>
      <w:bookmarkEnd w:id="4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7CD0930B">
            <w:pPr>
              <w:pStyle w:val="TableText"/>
            </w:pPr>
            <w:r>
              <w:t xml:space="preserve">Term</w:t>
            </w:r>
          </w:p>
        </w:tc>
        <w:tc>
          <w:tcPr>
            <w:tcW w:w="2231" w:type="dxa"/>
            <w:tcBorders>
              <w:top w:val="single" w:sz="4" w:space="0" w:color="auto"/>
              <w:left w:val="single" w:sz="4" w:space="0" w:color="auto"/>
              <w:bottom w:val="double" w:sz="4" w:space="0" w:color="auto"/>
              <w:right w:val="single" w:sz="4" w:space="0" w:color="auto"/>
            </w:tcBorders>
          </w:tcPr>
          <w:p w14:paraId="0EFF20F5">
            <w:pPr>
              <w:pStyle w:val="TableText"/>
            </w:pPr>
            <w:r>
              <w:t xml:space="preserve">Where used</w:t>
            </w:r>
          </w:p>
        </w:tc>
        <w:tc>
          <w:tcPr>
            <w:tcW w:w="2231" w:type="dxa"/>
            <w:tcBorders>
              <w:top w:val="single" w:sz="4" w:space="0" w:color="auto"/>
              <w:left w:val="single" w:sz="4" w:space="0" w:color="auto"/>
              <w:bottom w:val="double" w:sz="4" w:space="0" w:color="auto"/>
              <w:right w:val="single" w:sz="4" w:space="0" w:color="auto"/>
            </w:tcBorders>
          </w:tcPr>
          <w:p w14:paraId="17F46A1C">
            <w:pPr>
              <w:pStyle w:val="TableText"/>
            </w:pPr>
            <w:r>
              <w:t xml:space="preserve">Type</w:t>
            </w:r>
          </w:p>
        </w:tc>
        <w:tc>
          <w:tcPr>
            <w:tcW w:w="2233" w:type="dxa"/>
            <w:tcBorders>
              <w:top w:val="single" w:sz="4" w:space="0" w:color="auto"/>
              <w:left w:val="single" w:sz="4" w:space="0" w:color="auto"/>
              <w:bottom w:val="double" w:sz="4" w:space="0" w:color="auto"/>
              <w:right w:val="single" w:sz="4" w:space="0" w:color="auto"/>
            </w:tcBorders>
          </w:tcPr>
          <w:p w14:paraId="2C038027">
            <w:pPr>
              <w:pStyle w:val="TableText"/>
            </w:pPr>
            <w:r>
              <w:t xml:space="preserve">Meaning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CFD3708">
            <w:pPr>
              <w:pStyle w:val="TableText"/>
            </w:pPr>
            <w:r>
              <w:rPr>
                <w:rStyle w:val="VARIABLE"/>
              </w:rPr>
              <w:t xml:space="preserve">uav:id</w:t>
            </w:r>
          </w:p>
        </w:tc>
        <w:tc>
          <w:tcPr>
            <w:tcW w:w="2231" w:type="dxa"/>
            <w:tcBorders>
              <w:top w:val="single" w:sz="4" w:space="0" w:color="auto"/>
              <w:left w:val="single" w:sz="4" w:space="0" w:color="auto"/>
              <w:bottom w:val="single" w:sz="4" w:space="0" w:color="auto"/>
              <w:right w:val="single" w:sz="4" w:space="0" w:color="auto"/>
            </w:tcBorders>
          </w:tcPr>
          <w:p w14:paraId="2BF57E6F">
            <w:pPr>
              <w:pStyle w:val="TableText"/>
            </w:pPr>
            <w:r>
              <w:t xml:space="preserve">in </w:t>
            </w:r>
            <w:r>
              <w:rPr>
                <w:rStyle w:val="VARIABLE"/>
              </w:rPr>
              <w:t xml:space="preserve">href</w:t>
            </w:r>
            <w:r>
              <w:t xml:space="preserve"> context and on an affordance</w:t>
            </w:r>
          </w:p>
        </w:tc>
        <w:tc>
          <w:tcPr>
            <w:tcW w:w="2231" w:type="dxa"/>
            <w:tcBorders>
              <w:top w:val="single" w:sz="4" w:space="0" w:color="auto"/>
              <w:left w:val="single" w:sz="4" w:space="0" w:color="auto"/>
              <w:bottom w:val="single" w:sz="4" w:space="0" w:color="auto"/>
              <w:right w:val="single" w:sz="4" w:space="0" w:color="auto"/>
            </w:tcBorders>
          </w:tcPr>
          <w:p w14:paraId="605CE4D4">
            <w:pPr>
              <w:pStyle w:val="TableText"/>
            </w:pPr>
            <w:r>
              <w:t xml:space="preserve">string</w:t>
            </w:r>
          </w:p>
        </w:tc>
        <w:tc>
          <w:tcPr>
            <w:tcW w:w="2233" w:type="dxa"/>
            <w:tcBorders>
              <w:top w:val="single" w:sz="4" w:space="0" w:color="auto"/>
              <w:left w:val="single" w:sz="4" w:space="0" w:color="auto"/>
              <w:bottom w:val="single" w:sz="4" w:space="0" w:color="auto"/>
              <w:right w:val="single" w:sz="4" w:space="0" w:color="auto"/>
            </w:tcBorders>
          </w:tcPr>
          <w:p w14:paraId="587AA771">
            <w:pPr>
              <w:pStyle w:val="TableText"/>
            </w:pPr>
            <w:r>
              <w:t xml:space="preserve">The identity of the UA Node an affordance targets, given as an </w:t>
            </w:r>
            <w:r>
              <w:rPr>
                <w:b/>
              </w:rPr>
              <w:t xml:space="preserve">ExpandedNodeId</w:t>
            </w:r>
            <w:r>
              <w:t xml:space="preserve"> in the string form of OPC 10000-6 (</w:t>
            </w:r>
            <w:r>
              <w:t xml:space="preserve">Section </w:t>
            </w:r>
            <w:r>
              <w:t xml:space="preserve">5.1.1</w:t>
            </w:r>
            <w:r>
              <w:t xml:space="preserv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7CA5D1E">
            <w:pPr>
              <w:pStyle w:val="TableText"/>
            </w:pPr>
            <w:r>
              <w:rPr>
                <w:rStyle w:val="VARIABLE"/>
              </w:rPr>
              <w:t xml:space="preserve">uav:browsePath</w:t>
            </w:r>
          </w:p>
        </w:tc>
        <w:tc>
          <w:tcPr>
            <w:tcW w:w="2231" w:type="dxa"/>
            <w:tcBorders>
              <w:top w:val="single" w:sz="4" w:space="0" w:color="auto"/>
              <w:left w:val="single" w:sz="4" w:space="0" w:color="auto"/>
              <w:bottom w:val="single" w:sz="4" w:space="0" w:color="auto"/>
              <w:right w:val="single" w:sz="4" w:space="0" w:color="auto"/>
            </w:tcBorders>
          </w:tcPr>
          <w:p w14:paraId="0DCAD545">
            <w:pPr>
              <w:pStyle w:val="TableText"/>
            </w:pPr>
            <w:r>
              <w:t xml:space="preserve">in a form, or on an affordance</w:t>
            </w:r>
          </w:p>
        </w:tc>
        <w:tc>
          <w:tcPr>
            <w:tcW w:w="2231" w:type="dxa"/>
            <w:tcBorders>
              <w:top w:val="single" w:sz="4" w:space="0" w:color="auto"/>
              <w:left w:val="single" w:sz="4" w:space="0" w:color="auto"/>
              <w:bottom w:val="single" w:sz="4" w:space="0" w:color="auto"/>
              <w:right w:val="single" w:sz="4" w:space="0" w:color="auto"/>
            </w:tcBorders>
          </w:tcPr>
          <w:p w14:paraId="4D3F643E">
            <w:pPr>
              <w:pStyle w:val="TableText"/>
            </w:pPr>
            <w:r>
              <w:t xml:space="preserve">string</w:t>
            </w:r>
          </w:p>
        </w:tc>
        <w:tc>
          <w:tcPr>
            <w:tcW w:w="2233" w:type="dxa"/>
            <w:tcBorders>
              <w:top w:val="single" w:sz="4" w:space="0" w:color="auto"/>
              <w:left w:val="single" w:sz="4" w:space="0" w:color="auto"/>
              <w:bottom w:val="single" w:sz="4" w:space="0" w:color="auto"/>
              <w:right w:val="single" w:sz="4" w:space="0" w:color="auto"/>
            </w:tcBorders>
          </w:tcPr>
          <w:p w14:paraId="11BC1D6E">
            <w:pPr>
              <w:pStyle w:val="TableText"/>
            </w:pPr>
            <w:r>
              <w:t xml:space="preserve">The browse path of a UA Node as a string, following OPC 10000-4 Annex A.2 and starting at the root of the AddressSpace. Non-base path elements use a context prefix (preferred) or the NamespaceUri form, for example </w:t>
            </w:r>
            <w:r>
              <w:rPr>
                <w:rStyle w:val="VARIABLE"/>
              </w:rPr>
              <w:t xml:space="preserve">/Objects/pump:Machine/pump:Pressure</w:t>
            </w:r>
            <w:r>
              <w:t xml:space="preserv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818043F">
            <w:pPr>
              <w:pStyle w:val="TableText"/>
            </w:pPr>
            <w:r>
              <w:rPr>
                <w:rStyle w:val="VARIABLE"/>
              </w:rPr>
              <w:t xml:space="preserve">uav:browseName</w:t>
            </w:r>
          </w:p>
        </w:tc>
        <w:tc>
          <w:tcPr>
            <w:tcW w:w="2231" w:type="dxa"/>
            <w:tcBorders>
              <w:top w:val="single" w:sz="4" w:space="0" w:color="auto"/>
              <w:left w:val="single" w:sz="4" w:space="0" w:color="auto"/>
              <w:bottom w:val="single" w:sz="4" w:space="0" w:color="auto"/>
              <w:right w:val="single" w:sz="4" w:space="0" w:color="auto"/>
            </w:tcBorders>
          </w:tcPr>
          <w:p w14:paraId="282E87DE">
            <w:pPr>
              <w:pStyle w:val="TableText"/>
            </w:pPr>
            <w:r>
              <w:t xml:space="preserve">at Thing level, on a property, or on an action</w:t>
            </w:r>
          </w:p>
        </w:tc>
        <w:tc>
          <w:tcPr>
            <w:tcW w:w="2231" w:type="dxa"/>
            <w:tcBorders>
              <w:top w:val="single" w:sz="4" w:space="0" w:color="auto"/>
              <w:left w:val="single" w:sz="4" w:space="0" w:color="auto"/>
              <w:bottom w:val="single" w:sz="4" w:space="0" w:color="auto"/>
              <w:right w:val="single" w:sz="4" w:space="0" w:color="auto"/>
            </w:tcBorders>
          </w:tcPr>
          <w:p w14:paraId="2E7301AC">
            <w:pPr>
              <w:pStyle w:val="TableText"/>
            </w:pPr>
            <w:r>
              <w:t xml:space="preserve">string</w:t>
            </w:r>
          </w:p>
        </w:tc>
        <w:tc>
          <w:tcPr>
            <w:tcW w:w="2233" w:type="dxa"/>
            <w:tcBorders>
              <w:top w:val="single" w:sz="4" w:space="0" w:color="auto"/>
              <w:left w:val="single" w:sz="4" w:space="0" w:color="auto"/>
              <w:bottom w:val="single" w:sz="4" w:space="0" w:color="auto"/>
              <w:right w:val="single" w:sz="4" w:space="0" w:color="auto"/>
            </w:tcBorders>
          </w:tcPr>
          <w:p w14:paraId="326C4465">
            <w:pPr>
              <w:pStyle w:val="TableText"/>
            </w:pPr>
            <w:r>
              <w:t xml:space="preserve">The originating </w:t>
            </w:r>
            <w:r>
              <w:rPr>
                <w:rStyle w:val="VARIABLE"/>
              </w:rPr>
              <w:t xml:space="preserve">BrowseName</w:t>
            </w:r>
            <w:r>
              <w:t xml:space="preserve"> of the UA Node, encoded as a portable OPC 10000-6 QualifiedName string (</w:t>
            </w:r>
            <w:r>
              <w:t xml:space="preserve">Section </w:t>
            </w:r>
            <w:r>
              <w:t xml:space="preserve">5.1.3</w:t>
            </w:r>
            <w:r>
              <w:t xml:space="preserve">).</w:t>
            </w:r>
          </w:p>
        </w:tc>
      </w:tr>
    </w:tbl>
    <w:p w14:paraId="522E943D">
      <w:pPr>
        <w:pStyle w:val="spacer"/>
      </w:pPr>
    </w:p>
    <w:p w14:paraId="3945C80D">
      <w:pPr>
        <w:pStyle w:val="Heading4"/>
      </w:pPr>
      <w:bookmarkStart w:id="483" w:name="_Clause_c6_2_1_1"/>
      <w:r>
        <w:t xml:space="preserve">Portable identity</w:t>
      </w:r>
      <w:bookmarkEnd w:id="483"/>
    </w:p>
    <w:p w14:paraId="1C00D947">
      <w:pPr>
        <w:pStyle w:val="PARAGRAPH"/>
      </w:pPr>
      <w:r>
        <w:t xml:space="preserve">A persisted or interchanged Thing Description or Thing Model </w:t>
      </w:r>
      <w:r>
        <w:rPr>
          <w:b/>
        </w:rPr>
        <w:t xml:space="preserve">shall</w:t>
      </w:r>
      <w:r>
        <w:t xml:space="preserve"> identify UA Nodes and types portably, so that a document keeps referring to the same Nodes even after a Server reorders its namespace table. Every NodeId-valued term — </w:t>
      </w:r>
      <w:r>
        <w:rPr>
          <w:rStyle w:val="VARIABLE"/>
        </w:rPr>
        <w:t xml:space="preserve">uav:id</w:t>
      </w:r>
      <w:r>
        <w:t xml:space="preserve">, each entry of </w:t>
      </w:r>
      <w:r>
        <w:rPr>
          <w:rStyle w:val="VARIABLE"/>
        </w:rPr>
        <w:t xml:space="preserve">uav:hasComponent</w:t>
      </w:r>
      <w:r>
        <w:t xml:space="preserve"> and </w:t>
      </w:r>
      <w:r>
        <w:rPr>
          <w:rStyle w:val="VARIABLE"/>
        </w:rPr>
        <w:t xml:space="preserve">uav:componentOf</w:t>
      </w:r>
      <w:r>
        <w:t xml:space="preserve">, </w:t>
      </w:r>
      <w:r>
        <w:rPr>
          <w:rStyle w:val="VARIABLE"/>
        </w:rPr>
        <w:t xml:space="preserve">uav:mapToNodeId</w:t>
      </w:r>
      <w:r>
        <w:t xml:space="preserve">, </w:t>
      </w:r>
      <w:r>
        <w:rPr>
          <w:rStyle w:val="VARIABLE"/>
        </w:rPr>
        <w:t xml:space="preserve">uav:mapToType</w:t>
      </w:r>
      <w:r>
        <w:t xml:space="preserve">, and </w:t>
      </w:r>
      <w:r>
        <w:rPr>
          <w:rStyle w:val="VARIABLE"/>
        </w:rPr>
        <w:t xml:space="preserve">uav:refId</w:t>
      </w:r>
      <w:r>
        <w:t xml:space="preserve"> (</w:t>
      </w:r>
      <w:r>
        <w:t xml:space="preserve">Section </w:t>
      </w:r>
      <w:r>
        <w:fldChar w:fldCharType="begin"/>
      </w:r>
      <w:r>
        <w:instrText xml:space="preserve"> REF _Clause_c6_3_2 \r \h </w:instrText>
      </w:r>
      <w:r>
        <w:fldChar w:fldCharType="separate"/>
      </w:r>
      <w:r>
        <w:rPr>
          <w:noProof/>
        </w:rPr>
        <w:t xml:space="preserve">6.3.2</w:t>
      </w:r>
      <w:r>
        <w:fldChar w:fldCharType="end"/>
      </w:r>
      <w:r>
        <w:t xml:space="preserve">) — </w:t>
      </w:r>
      <w:r>
        <w:rPr>
          <w:b/>
        </w:rPr>
        <w:t xml:space="preserve">shall</w:t>
      </w:r>
      <w:r>
        <w:t xml:space="preserve"> be written as an OPC 10000-6 </w:t>
      </w:r>
      <w:r>
        <w:rPr>
          <w:b/>
        </w:rPr>
        <w:t xml:space="preserve">ExpandedNodeId</w:t>
      </w:r>
      <w:r>
        <w:t xml:space="preserve"> string that names its namespace by URI:</w:t>
      </w:r>
    </w:p>
    <w:p w14:paraId="6548EA5D">
      <w:pPr>
        <w:pStyle w:val="CODE"/>
      </w:pPr>
      <w:r>
        <w:t xml:space="preserve">nsu=http://opcfoundation.org/UA/WoT-Binding/;&lt;idtype&gt;=&lt;id&gt;</w:t>
      </w:r>
    </w:p>
    <w:p w14:paraId="30CDFD6F">
      <w:pPr>
        <w:pStyle w:val="PARAGRAPH"/>
      </w:pPr>
      <w:r>
        <w:t xml:space="preserve">for example </w:t>
      </w:r>
      <w:r>
        <w:rPr>
          <w:rStyle w:val="VARIABLE"/>
        </w:rPr>
        <w:t xml:space="preserve">nsu=http://example.com/demo/pump;s=Pump</w:t>
      </w:r>
      <w:r>
        <w:t xml:space="preserve"> or </w:t>
      </w:r>
      <w:r>
        <w:rPr>
          <w:rStyle w:val="VARIABLE"/>
        </w:rPr>
        <w:t xml:space="preserve">nsu=http://example.com/demo/pump;i=1001</w:t>
      </w:r>
      <w:r>
        <w:t xml:space="preserve">. For a Node in the base OPC UA namespace (namespace 0) the canonical namespace-0 form </w:t>
      </w:r>
      <w:r>
        <w:rPr>
          <w:rStyle w:val="VARIABLE"/>
        </w:rPr>
        <w:t xml:space="preserve">i=&lt;id&gt;</w:t>
      </w:r>
      <w:r>
        <w:t xml:space="preserve"> </w:t>
      </w:r>
      <w:r>
        <w:rPr>
          <w:b/>
        </w:rPr>
        <w:t xml:space="preserve">may</w:t>
      </w:r>
      <w:r>
        <w:t xml:space="preserve"> be used without an </w:t>
      </w:r>
      <w:r>
        <w:rPr>
          <w:rStyle w:val="VARIABLE"/>
        </w:rPr>
        <w:t xml:space="preserve">nsu=</w:t>
      </w:r>
      <w:r>
        <w:t xml:space="preserve"> prefix, for example the </w:t>
      </w:r>
      <w:r>
        <w:rPr>
          <w:rStyle w:val="VARIABLE"/>
        </w:rPr>
        <w:t xml:space="preserve">HasOrderedComponent</w:t>
      </w:r>
      <w:r>
        <w:t xml:space="preserve"> ReferenceType </w:t>
      </w:r>
      <w:r>
        <w:rPr>
          <w:rStyle w:val="VARIABLE"/>
        </w:rPr>
        <w:t xml:space="preserve">i=49</w:t>
      </w:r>
      <w:r>
        <w:t xml:space="preserve">.</w:t>
      </w:r>
    </w:p>
    <w:p w14:paraId="47550F3E">
      <w:pPr>
        <w:pStyle w:val="PARAGRAPH"/>
      </w:pPr>
      <w:r>
        <w:t xml:space="preserve">A document </w:t>
      </w:r>
      <w:r>
        <w:rPr>
          <w:b/>
        </w:rPr>
        <w:t xml:space="preserve">shall not</w:t>
      </w:r>
      <w:r>
        <w:t xml:space="preserve"> use the session-local </w:t>
      </w:r>
      <w:r>
        <w:rPr>
          <w:rStyle w:val="VARIABLE"/>
        </w:rPr>
        <w:t xml:space="preserve">ns=&lt;index&gt;</w:t>
      </w:r>
      <w:r>
        <w:t xml:space="preserve"> form in any of these terms, because the namespace index is only meaningful within a single Server session and is invalidated by a namespace-table reordering. A client resolves each </w:t>
      </w:r>
      <w:r>
        <w:rPr>
          <w:rStyle w:val="VARIABLE"/>
        </w:rPr>
        <w:t xml:space="preserve">nsu=http://opcfoundation.org/UA/WoT-Binding/</w:t>
      </w:r>
      <w:r>
        <w:t xml:space="preserve"> to the target Server's current namespace index at session establishment, reading the Server </w:t>
      </w:r>
      <w:r>
        <w:rPr>
          <w:rStyle w:val="VARIABLE"/>
        </w:rPr>
        <w:t xml:space="preserve">NamespaceArray</w:t>
      </w:r>
      <w:r>
        <w:t xml:space="preserve"> (OPC 10000-5), before issuing a request. Namespace indexes still appear legitimately inside </w:t>
      </w:r>
      <w:r>
        <w:rPr>
          <w:rStyle w:val="VARIABLE"/>
        </w:rPr>
        <w:t xml:space="preserve">uav:nodes</w:t>
      </w:r>
      <w:r>
        <w:t xml:space="preserve"> and the canonical NodeSet2 XML carried by </w:t>
      </w:r>
      <w:r>
        <w:rPr>
          <w:rStyle w:val="VARIABLE"/>
        </w:rPr>
        <w:t xml:space="preserve">uav:nodeSet</w:t>
      </w:r>
      <w:r>
        <w:t xml:space="preserve">; each representation resolves them through its own </w:t>
      </w:r>
      <w:r>
        <w:rPr>
          <w:rStyle w:val="VARIABLE"/>
        </w:rPr>
        <w:t xml:space="preserve">NamespaceUris</w:t>
      </w:r>
      <w:r>
        <w:t xml:space="preserve"> table.</w:t>
      </w:r>
    </w:p>
    <w:p w14:paraId="33860F05">
      <w:pPr>
        <w:pStyle w:val="Heading4"/>
      </w:pPr>
      <w:bookmarkStart w:id="484" w:name="_Clause_c6_2_1_2"/>
      <w:r>
        <w:t xml:space="preserve">NamespaceUri-qualified model names</w:t>
      </w:r>
      <w:bookmarkEnd w:id="484"/>
    </w:p>
    <w:p w14:paraId="1CD82EC3">
      <w:pPr>
        <w:pStyle w:val="PARAGRAPH"/>
      </w:pPr>
      <w:r>
        <w:t xml:space="preserve">An OPC UA model-definition concept — for example a ReferenceType, ObjectType, VariableType, EventType, or DataType — may additionally be described by its NamespaceUri-qualified BrowseName. This Binding writes that semantic lookup hint as a </w:t>
      </w:r>
      <w:r>
        <w:rPr>
          <w:b/>
        </w:rPr>
        <w:t xml:space="preserve">compact model name</w:t>
      </w:r>
      <w:r>
        <w:t xml:space="preserve">:</w:t>
      </w:r>
    </w:p>
    <w:p w14:paraId="2F74113A">
      <w:pPr>
        <w:pStyle w:val="CODE"/>
      </w:pPr>
      <w:r>
        <w:t xml:space="preserve">&lt;prefix&gt;:&lt;BrowseName&gt;</w:t>
      </w:r>
    </w:p>
    <w:p w14:paraId="51DDE149">
      <w:pPr>
        <w:pStyle w:val="PARAGRAPH"/>
      </w:pPr>
      <w:r>
        <w:t xml:space="preserve">The non-numeric </w:t>
      </w:r>
      <w:r>
        <w:rPr>
          <w:rStyle w:val="VARIABLE"/>
        </w:rPr>
        <w:t xml:space="preserve">prefix</w:t>
      </w:r>
      <w:r>
        <w:t xml:space="preserve"> </w:t>
      </w:r>
      <w:r>
        <w:rPr>
          <w:b/>
        </w:rPr>
        <w:t xml:space="preserve">shall</w:t>
      </w:r>
      <w:r>
        <w:t xml:space="preserve"> be bound in the active </w:t>
      </w:r>
      <w:r>
        <w:rPr>
          <w:rStyle w:val="VARIABLE"/>
        </w:rPr>
        <w:t xml:space="preserve">@context</w:t>
      </w:r>
      <w:r>
        <w:t xml:space="preserve"> to the exact NamespaceUri that qualifies the BrowseName. The prefix </w:t>
      </w:r>
      <w:r>
        <w:rPr>
          <w:rStyle w:val="VARIABLE"/>
        </w:rPr>
        <w:t xml:space="preserve">ua</w:t>
      </w:r>
      <w:r>
        <w:t xml:space="preserve"> is reserved for </w:t>
      </w:r>
      <w:r>
        <w:rPr>
          <w:rStyle w:val="VARIABLE"/>
        </w:rPr>
        <w:t xml:space="preserve">http://opcfoundation.org/UA/</w:t>
      </w:r>
      <w:r>
        <w:t xml:space="preserve">; for example </w:t>
      </w:r>
      <w:r>
        <w:rPr>
          <w:rStyle w:val="VARIABLE"/>
        </w:rPr>
        <w:t xml:space="preserve">ua:HasOrderedComponent</w:t>
      </w:r>
      <w:r>
        <w:t xml:space="preserve"> denotes the ReferenceType whose BrowseName is </w:t>
      </w:r>
      <w:r>
        <w:rPr>
          <w:rStyle w:val="VARIABLE"/>
        </w:rPr>
        <w:t xml:space="preserve">HasOrderedComponent</w:t>
      </w:r>
      <w:r>
        <w:t xml:space="preserve"> in the base OPC UA namespace. A companion model may use a domain prefix such as </w:t>
      </w:r>
      <w:r>
        <w:rPr>
          <w:rStyle w:val="VARIABLE"/>
        </w:rPr>
        <w:t xml:space="preserve">isa:MaterialClassType</w:t>
      </w:r>
      <w:r>
        <w:t xml:space="preserve"> when </w:t>
      </w:r>
      <w:r>
        <w:rPr>
          <w:rStyle w:val="VARIABLE"/>
        </w:rPr>
        <w:t xml:space="preserve">isa</w:t>
      </w:r>
      <w:r>
        <w:t xml:space="preserve"> is bound to that model's NamespaceUri.</w:t>
      </w:r>
    </w:p>
    <w:p w14:paraId="4554AF6D">
      <w:pPr>
        <w:pStyle w:val="PARAGRAPH"/>
      </w:pPr>
      <w:r>
        <w:t xml:space="preserve">For example, the </w:t>
      </w:r>
      <w:r>
        <w:rPr>
          <w:rStyle w:val="VARIABLE"/>
        </w:rPr>
        <w:t xml:space="preserve">pump:</w:t>
      </w:r>
      <w:r>
        <w:t xml:space="preserve"> names used throughout this specification come from this context binding:</w:t>
      </w:r>
    </w:p>
    <w:p w14:paraId="54BE3714">
      <w:pPr>
        <w:pStyle w:val="CODE"/>
      </w:pPr>
      <w:r>
        <w:t xml:space="preserve">"@context": [</w:t>
      </w:r>
    </w:p>
    <w:p w14:paraId="32AFC662">
      <w:pPr>
        <w:pStyle w:val="CODE"/>
      </w:pPr>
      <w:r>
        <w:t xml:space="preserve">  "https://www.w3.org/2022/wot/td/v1.1",</w:t>
      </w:r>
    </w:p>
    <w:p w14:paraId="4D5170F5">
      <w:pPr>
        <w:pStyle w:val="CODE"/>
      </w:pPr>
      <w:r>
        <w:t xml:space="preserve">  { "pump": "http://example.com/demo/pump" }</w:t>
      </w:r>
    </w:p>
    <w:p w14:paraId="7ED82C41">
      <w:pPr>
        <w:pStyle w:val="CODE"/>
      </w:pPr>
      <w:r>
        <w:t xml:space="preserve">]</w:t>
      </w:r>
    </w:p>
    <w:p w14:paraId="572855AD">
      <w:pPr>
        <w:pStyle w:val="PARAGRAPH"/>
      </w:pPr>
      <w:r>
        <w:t xml:space="preserve">A compact model name is a Binding string convention resolved through JSON-LD context prefix bindings; it is not a NodeId and is not authoritative identity. This specification uses it directly as the </w:t>
      </w:r>
      <w:r>
        <w:rPr>
          <w:rStyle w:val="VARIABLE"/>
        </w:rPr>
        <w:t xml:space="preserve">rel</w:t>
      </w:r>
      <w:r>
        <w:t xml:space="preserve"> of a typed Reference and in </w:t>
      </w:r>
      <w:r>
        <w:rPr>
          <w:rStyle w:val="VARIABLE"/>
        </w:rPr>
        <w:t xml:space="preserve">uav:mapToTypeName</w:t>
      </w:r>
      <w:r>
        <w:t xml:space="preserve"> and </w:t>
      </w:r>
      <w:r>
        <w:rPr>
          <w:rStyle w:val="VARIABLE"/>
        </w:rPr>
        <w:t xml:space="preserve">uav:congruentTypeName</w:t>
      </w:r>
      <w:r>
        <w:t xml:space="preserve">. It </w:t>
      </w:r>
      <w:r>
        <w:rPr>
          <w:b/>
        </w:rPr>
        <w:t xml:space="preserve">shall not</w:t>
      </w:r>
      <w:r>
        <w:t xml:space="preserve"> replace an ExpandedNodeId for an arbitrary Object, Variable, Method, or other instance Node, because multiple instances may have the same NamespaceUri-qualified BrowseName.</w:t>
      </w:r>
    </w:p>
    <w:p w14:paraId="3E9A1BC5">
      <w:pPr>
        <w:pStyle w:val="PARAGRAPH"/>
      </w:pPr>
      <w:r>
        <w:t xml:space="preserve">An author:</w:t>
      </w:r>
    </w:p>
    <w:p w14:paraId="4264FC69">
      <w:pPr>
        <w:pStyle w:val="ListNumber"/>
        <w:numPr>
          <w:ilvl w:val="0"/>
          <w:numId w:val="21"/>
        </w:numPr>
      </w:pPr>
      <w:r>
        <w:rPr>
          <w:b/>
        </w:rPr>
        <w:t xml:space="preserve">shall</w:t>
      </w:r>
      <w:r>
        <w:t xml:space="preserve"> bind the prefix to the defining NamespaceUri and </w:t>
      </w:r>
      <w:r>
        <w:rPr>
          <w:b/>
        </w:rPr>
        <w:t xml:space="preserve">shall not</w:t>
      </w:r>
      <w:r>
        <w:t xml:space="preserve"> use a numeric prefix (numeric </w:t>
      </w:r>
      <w:r>
        <w:rPr>
          <w:rStyle w:val="VARIABLE"/>
        </w:rPr>
        <w:t xml:space="preserve">namespaceIndex:name</w:t>
      </w:r>
      <w:r>
        <w:t xml:space="preserve"> remains the lexical form of </w:t>
      </w:r>
      <w:r>
        <w:rPr>
          <w:rStyle w:val="VARIABLE"/>
        </w:rPr>
        <w:t xml:space="preserve">uav:browseName</w:t>
      </w:r>
      <w:r>
        <w:t xml:space="preserve">);</w:t>
      </w:r>
    </w:p>
    <w:p w14:paraId="50E02B36">
      <w:pPr>
        <w:pStyle w:val="ListNumber"/>
        <w:numPr>
          <w:ilvl w:val="0"/>
          <w:numId w:val="21"/>
        </w:numPr>
      </w:pPr>
      <w:r>
        <w:rPr>
          <w:b/>
        </w:rPr>
        <w:t xml:space="preserve">should</w:t>
      </w:r>
      <w:r>
        <w:t xml:space="preserve"> provide the compact model name whenever it makes a model concept easier to understand;</w:t>
      </w:r>
    </w:p>
    <w:p w14:paraId="32836BCC">
      <w:pPr>
        <w:pStyle w:val="ListNumber"/>
        <w:numPr>
          <w:ilvl w:val="0"/>
          <w:numId w:val="21"/>
        </w:numPr>
      </w:pPr>
      <w:r>
        <w:rPr>
          <w:b/>
        </w:rPr>
        <w:t xml:space="preserve">shall</w:t>
      </w:r>
      <w:r>
        <w:t xml:space="preserve"> also provide the definitive ExpandedNodeId where this specification requires one (</w:t>
      </w:r>
      <w:r>
        <w:rPr>
          <w:rStyle w:val="VARIABLE"/>
        </w:rPr>
        <w:t xml:space="preserve">uav:mapToType</w:t>
      </w:r>
      <w:r>
        <w:t xml:space="preserve">) or where lookup may be unavailable or ambiguous;</w:t>
      </w:r>
    </w:p>
    <w:p w14:paraId="7F78CA65">
      <w:pPr>
        <w:pStyle w:val="ListNumber"/>
        <w:numPr>
          <w:ilvl w:val="0"/>
          <w:numId w:val="21"/>
        </w:numPr>
      </w:pPr>
      <w:r>
        <w:rPr>
          <w:b/>
        </w:rPr>
        <w:t xml:space="preserve">shall not</w:t>
      </w:r>
      <w:r>
        <w:t xml:space="preserve"> assume that textual equality of two compact names proves identity, because different documents may bind different prefixes to the same NamespaceUri.</w:t>
      </w:r>
    </w:p>
    <w:p w14:paraId="5000338D">
      <w:pPr>
        <w:pStyle w:val="PARAGRAPH"/>
      </w:pPr>
      <w:r>
        <w:t xml:space="preserve">A consumer resolves the prefix to a NamespaceUri, searches the loaded model definitions for the expected NodeClass and that NamespaceUri-qualified BrowseName, and uses the result only when exactly one candidate exists. If no candidate or more than one candidate exists, the consumer </w:t>
      </w:r>
      <w:r>
        <w:rPr>
          <w:b/>
        </w:rPr>
        <w:t xml:space="preserve">shall</w:t>
      </w:r>
      <w:r>
        <w:t xml:space="preserve"> use the accompanying ExpandedNodeId; if no definitive identifier is available, it </w:t>
      </w:r>
      <w:r>
        <w:rPr>
          <w:b/>
        </w:rPr>
        <w:t xml:space="preserve">shall</w:t>
      </w:r>
      <w:r>
        <w:t xml:space="preserve"> report an unresolved or ambiguous model concept and </w:t>
      </w:r>
      <w:r>
        <w:rPr>
          <w:b/>
        </w:rPr>
        <w:t xml:space="preserve">shall not</w:t>
      </w:r>
      <w:r>
        <w:t xml:space="preserve"> invent a NodeId. When the compact model name and ExpandedNodeId resolve to different Nodes, the document is invalid.</w:t>
      </w:r>
    </w:p>
    <w:p w14:paraId="47CE7FB2">
      <w:pPr>
        <w:pStyle w:val="PARAGRAPH"/>
      </w:pPr>
      <w:r>
        <w:rPr>
          <w:rStyle w:val="VARIABLE"/>
        </w:rPr>
        <w:t xml:space="preserve">uav:semanticId</w:t>
      </w:r>
      <w:r>
        <w:t xml:space="preserve"> identifies external/domain semantics, while a compact model name identifies an OPC UA model-definition Node. </w:t>
      </w:r>
      <w:r>
        <w:rPr>
          <w:rStyle w:val="VARIABLE"/>
        </w:rPr>
        <w:t xml:space="preserve">uav:nameNamespace</w:t>
      </w:r>
      <w:r>
        <w:t xml:space="preserve"> declares the naming namespace of the type being authored; it does not by itself identify another model concept.</w:t>
      </w:r>
    </w:p>
    <w:p w14:paraId="0BB0EDEA">
      <w:pPr>
        <w:pStyle w:val="Heading4"/>
      </w:pPr>
      <w:bookmarkStart w:id="485" w:name="_Clause_c6_2_1_3"/>
      <w:r>
        <w:t xml:space="preserve">Portable QualifiedName</w:t>
      </w:r>
      <w:bookmarkEnd w:id="485"/>
    </w:p>
    <w:p w14:paraId="5F8D067D">
      <w:pPr>
        <w:pStyle w:val="PARAGRAPH"/>
      </w:pPr>
      <w:r>
        <w:rPr>
          <w:rStyle w:val="VARIABLE"/>
        </w:rPr>
        <w:t xml:space="preserve">uav:browseName</w:t>
      </w:r>
      <w:r>
        <w:t xml:space="preserve"> is a QualifiedName. In WoT documents, the preferred portable presentation is the context-prefix form:</w:t>
      </w:r>
    </w:p>
    <w:p w14:paraId="134299BD">
      <w:pPr>
        <w:pStyle w:val="CODE"/>
      </w:pPr>
      <w:r>
        <w:t xml:space="preserve">&lt;prefix&gt;:&lt;name&gt;</w:t>
      </w:r>
    </w:p>
    <w:p w14:paraId="62B67700">
      <w:pPr>
        <w:pStyle w:val="PARAGRAPH"/>
      </w:pPr>
      <w:r>
        <w:t xml:space="preserve">where the non-numeric prefix is bound by </w:t>
      </w:r>
      <w:r>
        <w:rPr>
          <w:rStyle w:val="VARIABLE"/>
        </w:rPr>
        <w:t xml:space="preserve">@context</w:t>
      </w:r>
      <w:r>
        <w:t xml:space="preserve"> to the QualifiedName NamespaceUri. A consumer </w:t>
      </w:r>
      <w:r>
        <w:rPr>
          <w:b/>
        </w:rPr>
        <w:t xml:space="preserve">shall</w:t>
      </w:r>
      <w:r>
        <w:t xml:space="preserve"> resolve that prefix before constructing the OPC UA QualifiedName; it shall not pass the compact presentation unchanged to an OPC 10000-6 decoder.</w:t>
      </w:r>
    </w:p>
    <w:p w14:paraId="2FF8B12D">
      <w:pPr>
        <w:pStyle w:val="PARAGRAPH"/>
      </w:pPr>
      <w:r>
        <w:t xml:space="preserve">The normative OPC 10000-6 </w:t>
      </w:r>
      <w:r>
        <w:t xml:space="preserve">Section </w:t>
      </w:r>
      <w:r>
        <w:t xml:space="preserve">5.1.12</w:t>
      </w:r>
      <w:r>
        <w:t xml:space="preserve"> string encoding is also allowed. A BrowseName in the base OPC UA namespace uses the bare </w:t>
      </w:r>
      <w:r>
        <w:rPr>
          <w:rStyle w:val="VARIABLE"/>
        </w:rPr>
        <w:t xml:space="preserve">&lt;name&gt;</w:t>
      </w:r>
      <w:r>
        <w:t xml:space="preserve"> form. A BrowseName in any other namespace uses:</w:t>
      </w:r>
    </w:p>
    <w:p w14:paraId="3F9582AC">
      <w:pPr>
        <w:pStyle w:val="CODE"/>
      </w:pPr>
      <w:r>
        <w:t xml:space="preserve">nsu=&lt;percent-encoded NamespaceUri&gt;;&lt;name&gt;</w:t>
      </w:r>
    </w:p>
    <w:p w14:paraId="4B9BD896">
      <w:pPr>
        <w:pStyle w:val="PARAGRAPH"/>
      </w:pPr>
      <w:r>
        <w:t xml:space="preserve">For example:</w:t>
      </w:r>
    </w:p>
    <w:p w14:paraId="64170C04">
      <w:pPr>
        <w:pStyle w:val="CODE"/>
      </w:pPr>
      <w:r>
        <w:t xml:space="preserve">InputArguments</w:t>
      </w:r>
    </w:p>
    <w:p w14:paraId="4AAC7C40">
      <w:pPr>
        <w:pStyle w:val="CODE"/>
      </w:pPr>
      <w:r>
        <w:t xml:space="preserve">pump:OverTemperatureEventType</w:t>
      </w:r>
    </w:p>
    <w:p w14:paraId="17B7D765">
      <w:pPr>
        <w:pStyle w:val="CODE"/>
      </w:pPr>
      <w:r>
        <w:t xml:space="preserve">nsu=http://example.com/demo/pump;OverTemperatureEventType</w:t>
      </w:r>
    </w:p>
    <w:p w14:paraId="62AA1A1E">
      <w:pPr>
        <w:pStyle w:val="PARAGRAPH"/>
      </w:pPr>
      <w:r>
        <w:t xml:space="preserve">Semicolons in the NamespaceUri </w:t>
      </w:r>
      <w:r>
        <w:rPr>
          <w:b/>
        </w:rPr>
        <w:t xml:space="preserve">shall</w:t>
      </w:r>
      <w:r>
        <w:t xml:space="preserve"> be percent-encoded as </w:t>
      </w:r>
      <w:r>
        <w:rPr>
          <w:rStyle w:val="VARIABLE"/>
        </w:rPr>
        <w:t xml:space="preserve">%3B</w:t>
      </w:r>
      <w:r>
        <w:t xml:space="preserve">; the name follows the delimiter semicolon and is otherwise retained as the QualifiedName </w:t>
      </w:r>
      <w:r>
        <w:rPr>
          <w:rStyle w:val="VARIABLE"/>
        </w:rPr>
        <w:t xml:space="preserve">Name</w:t>
      </w:r>
      <w:r>
        <w:t xml:space="preserve">. The numeric </w:t>
      </w:r>
      <w:r>
        <w:rPr>
          <w:rStyle w:val="VARIABLE"/>
        </w:rPr>
        <w:t xml:space="preserve">&lt;namespaceIndex&gt;:&lt;name&gt;</w:t>
      </w:r>
      <w:r>
        <w:t xml:space="preserve"> form (for example </w:t>
      </w:r>
      <w:r>
        <w:rPr>
          <w:rStyle w:val="VARIABLE"/>
        </w:rPr>
        <w:t xml:space="preserve">1:PumpType</w:t>
      </w:r>
      <w:r>
        <w:t xml:space="preserve">) </w:t>
      </w:r>
      <w:r>
        <w:rPr>
          <w:b/>
        </w:rPr>
        <w:t xml:space="preserve">shall not</w:t>
      </w:r>
      <w:r>
        <w:t xml:space="preserve"> be used in persisted readable </w:t>
      </w:r>
      <w:r>
        <w:rPr>
          <w:rStyle w:val="VARIABLE"/>
        </w:rPr>
        <w:t xml:space="preserve">uav:browseName</w:t>
      </w:r>
      <w:r>
        <w:t xml:space="preserve"> values because a namespace index is session/document local.</w:t>
      </w:r>
    </w:p>
    <w:p w14:paraId="05AC0A12">
      <w:pPr>
        <w:pStyle w:val="PARAGRAPH"/>
      </w:pPr>
      <w:r>
        <w:t xml:space="preserve">The same compact lexical form is used for model concepts (</w:t>
      </w:r>
      <w:r>
        <w:t xml:space="preserve">Section </w:t>
      </w:r>
      <w:r>
        <w:fldChar w:fldCharType="begin"/>
      </w:r>
      <w:r>
        <w:instrText xml:space="preserve"> REF _Clause_c6_2_1_2 \r \h </w:instrText>
      </w:r>
      <w:r>
        <w:fldChar w:fldCharType="separate"/>
      </w:r>
      <w:r>
        <w:rPr>
          <w:noProof/>
        </w:rPr>
        <w:t xml:space="preserve">6.2.1.2</w:t>
      </w:r>
      <w:r>
        <w:fldChar w:fldCharType="end"/>
      </w:r>
      <w:r>
        <w:t xml:space="preserve">), but the containing term disambiguates the meaning: in </w:t>
      </w:r>
      <w:r>
        <w:rPr>
          <w:rStyle w:val="VARIABLE"/>
        </w:rPr>
        <w:t xml:space="preserve">uav:browseName</w:t>
      </w:r>
      <w:r>
        <w:t xml:space="preserve"> it is a QualifiedName presentation; in a typed link </w:t>
      </w:r>
      <w:r>
        <w:rPr>
          <w:rStyle w:val="VARIABLE"/>
        </w:rPr>
        <w:t xml:space="preserve">rel</w:t>
      </w:r>
      <w:r>
        <w:t xml:space="preserve"> it identifies a model-definition concept. NodeSet-local </w:t>
      </w:r>
      <w:r>
        <w:rPr>
          <w:rStyle w:val="VARIABLE"/>
        </w:rPr>
        <w:t xml:space="preserve">browseName</w:t>
      </w:r>
      <w:r>
        <w:t xml:space="preserve"> fields inside </w:t>
      </w:r>
      <w:r>
        <w:rPr>
          <w:rStyle w:val="VARIABLE"/>
        </w:rPr>
        <w:t xml:space="preserve">uav:nodes</w:t>
      </w:r>
      <w:r>
        <w:t xml:space="preserve"> remain in their UANodeSet lexical form and are resolved through that projection's </w:t>
      </w:r>
      <w:r>
        <w:rPr>
          <w:rStyle w:val="VARIABLE"/>
        </w:rPr>
        <w:t xml:space="preserve">namespaceUris</w:t>
      </w:r>
      <w:r>
        <w:t xml:space="preserve"> table.</w:t>
      </w:r>
    </w:p>
    <w:p w14:paraId="6C129A95">
      <w:pPr>
        <w:pStyle w:val="Heading3"/>
      </w:pPr>
      <w:bookmarkStart w:id="486" w:name="_Clause_c6_2_2"/>
      <w:r>
        <w:t xml:space="preserve">Type-annotation terms</w:t>
      </w:r>
      <w:bookmarkEnd w:id="486"/>
    </w:p>
    <w:p w14:paraId="5F5C467F">
      <w:pPr>
        <w:pStyle w:val="PARAGRAPH"/>
      </w:pPr>
      <w:r>
        <w:t xml:space="preserve">The </w:t>
      </w:r>
      <w:r>
        <w:rPr>
          <w:rStyle w:val="VARIABLE"/>
        </w:rPr>
        <w:t xml:space="preserve">@type</w:t>
      </w:r>
      <w:r>
        <w:t xml:space="preserve"> of a Thing or affordance is annotated to record which NodeClass it projects.</w:t>
      </w:r>
    </w:p>
    <w:p w14:paraId="0505C3E8">
      <w:pPr>
        <w:pStyle w:val="TABLE-title"/>
        <w:keepNext/>
      </w:pPr>
      <w:bookmarkStart w:id="487" w:name="_Tab_type_annotation_terms_tab1"/>
      <w:r>
        <w:t xml:space="preserve">Table </w:t>
      </w:r>
      <w:r>
        <w:fldChar w:fldCharType="begin"/>
      </w:r>
      <w:r>
        <w:instrText xml:space="preserve"> SEQ Table \* ARABIC </w:instrText>
      </w:r>
      <w:r>
        <w:fldChar w:fldCharType="separate"/>
      </w:r>
      <w:r>
        <w:rPr>
          <w:noProof/>
        </w:rPr>
        <w:t xml:space="preserve">2</w:t>
      </w:r>
      <w:r>
        <w:fldChar w:fldCharType="end"/>
      </w:r>
      <w:r>
        <w:t xml:space="preserve"> – Type-annotation terms</w:t>
      </w:r>
      <w:bookmarkEnd w:id="4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5E7E0620">
            <w:pPr>
              <w:pStyle w:val="TableText"/>
            </w:pPr>
            <w:r>
              <w:t xml:space="preserve">Term</w:t>
            </w:r>
          </w:p>
        </w:tc>
        <w:tc>
          <w:tcPr>
            <w:tcW w:w="2975" w:type="dxa"/>
            <w:tcBorders>
              <w:top w:val="single" w:sz="4" w:space="0" w:color="auto"/>
              <w:left w:val="single" w:sz="4" w:space="0" w:color="auto"/>
              <w:bottom w:val="double" w:sz="4" w:space="0" w:color="auto"/>
              <w:right w:val="single" w:sz="4" w:space="0" w:color="auto"/>
            </w:tcBorders>
          </w:tcPr>
          <w:p w14:paraId="45D4B176">
            <w:pPr>
              <w:pStyle w:val="TableText"/>
            </w:pPr>
            <w:r>
              <w:t xml:space="preserve">Applies to</w:t>
            </w:r>
          </w:p>
        </w:tc>
        <w:tc>
          <w:tcPr>
            <w:tcW w:w="2976" w:type="dxa"/>
            <w:tcBorders>
              <w:top w:val="single" w:sz="4" w:space="0" w:color="auto"/>
              <w:left w:val="single" w:sz="4" w:space="0" w:color="auto"/>
              <w:bottom w:val="double" w:sz="4" w:space="0" w:color="auto"/>
              <w:right w:val="single" w:sz="4" w:space="0" w:color="auto"/>
            </w:tcBorders>
          </w:tcPr>
          <w:p w14:paraId="216D3233">
            <w:pPr>
              <w:pStyle w:val="TableText"/>
            </w:pPr>
            <w:r>
              <w:t xml:space="preserve">Projects</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59826B35">
            <w:pPr>
              <w:pStyle w:val="TableText"/>
            </w:pPr>
            <w:r>
              <w:rPr>
                <w:rStyle w:val="VARIABLE"/>
              </w:rPr>
              <w:t xml:space="preserve">uav:object</w:t>
            </w:r>
          </w:p>
        </w:tc>
        <w:tc>
          <w:tcPr>
            <w:tcW w:w="2975" w:type="dxa"/>
            <w:tcBorders>
              <w:top w:val="single" w:sz="4" w:space="0" w:color="auto"/>
              <w:left w:val="single" w:sz="4" w:space="0" w:color="auto"/>
              <w:bottom w:val="single" w:sz="4" w:space="0" w:color="auto"/>
              <w:right w:val="single" w:sz="4" w:space="0" w:color="auto"/>
            </w:tcBorders>
          </w:tcPr>
          <w:p w14:paraId="7DE2AA43">
            <w:pPr>
              <w:pStyle w:val="TableText"/>
            </w:pPr>
            <w:r>
              <w:rPr>
                <w:rStyle w:val="VARIABLE"/>
              </w:rPr>
              <w:t xml:space="preserve">@type</w:t>
            </w:r>
            <w:r>
              <w:t xml:space="preserve"> at Thing level of a TD</w:t>
            </w:r>
          </w:p>
        </w:tc>
        <w:tc>
          <w:tcPr>
            <w:tcW w:w="2976" w:type="dxa"/>
            <w:tcBorders>
              <w:top w:val="single" w:sz="4" w:space="0" w:color="auto"/>
              <w:left w:val="single" w:sz="4" w:space="0" w:color="auto"/>
              <w:bottom w:val="single" w:sz="4" w:space="0" w:color="auto"/>
              <w:right w:val="single" w:sz="4" w:space="0" w:color="auto"/>
            </w:tcBorders>
          </w:tcPr>
          <w:p w14:paraId="40A70F11">
            <w:pPr>
              <w:pStyle w:val="TableText"/>
            </w:pPr>
            <w:r>
              <w:t xml:space="preserve">a UA Object</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4F3CC993">
            <w:pPr>
              <w:pStyle w:val="TableText"/>
            </w:pPr>
            <w:r>
              <w:rPr>
                <w:rStyle w:val="VARIABLE"/>
              </w:rPr>
              <w:t xml:space="preserve">uav:objectType</w:t>
            </w:r>
          </w:p>
        </w:tc>
        <w:tc>
          <w:tcPr>
            <w:tcW w:w="2975" w:type="dxa"/>
            <w:tcBorders>
              <w:top w:val="single" w:sz="4" w:space="0" w:color="auto"/>
              <w:left w:val="single" w:sz="4" w:space="0" w:color="auto"/>
              <w:bottom w:val="single" w:sz="4" w:space="0" w:color="auto"/>
              <w:right w:val="single" w:sz="4" w:space="0" w:color="auto"/>
            </w:tcBorders>
          </w:tcPr>
          <w:p w14:paraId="3BC360A3">
            <w:pPr>
              <w:pStyle w:val="TableText"/>
            </w:pPr>
            <w:r>
              <w:rPr>
                <w:rStyle w:val="VARIABLE"/>
              </w:rPr>
              <w:t xml:space="preserve">@type</w:t>
            </w:r>
            <w:r>
              <w:t xml:space="preserve"> at Thing level of a TM</w:t>
            </w:r>
          </w:p>
        </w:tc>
        <w:tc>
          <w:tcPr>
            <w:tcW w:w="2976" w:type="dxa"/>
            <w:tcBorders>
              <w:top w:val="single" w:sz="4" w:space="0" w:color="auto"/>
              <w:left w:val="single" w:sz="4" w:space="0" w:color="auto"/>
              <w:bottom w:val="single" w:sz="4" w:space="0" w:color="auto"/>
              <w:right w:val="single" w:sz="4" w:space="0" w:color="auto"/>
            </w:tcBorders>
          </w:tcPr>
          <w:p w14:paraId="3CC1FB29">
            <w:pPr>
              <w:pStyle w:val="TableText"/>
            </w:pPr>
            <w:r>
              <w:t xml:space="preserve">a UA ObjectType (this is why the document is a Thing Model)</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271DF48">
            <w:pPr>
              <w:pStyle w:val="TableText"/>
            </w:pPr>
            <w:r>
              <w:rPr>
                <w:rStyle w:val="VARIABLE"/>
              </w:rPr>
              <w:t xml:space="preserve">uav:variable</w:t>
            </w:r>
          </w:p>
        </w:tc>
        <w:tc>
          <w:tcPr>
            <w:tcW w:w="2975" w:type="dxa"/>
            <w:tcBorders>
              <w:top w:val="single" w:sz="4" w:space="0" w:color="auto"/>
              <w:left w:val="single" w:sz="4" w:space="0" w:color="auto"/>
              <w:bottom w:val="single" w:sz="4" w:space="0" w:color="auto"/>
              <w:right w:val="single" w:sz="4" w:space="0" w:color="auto"/>
            </w:tcBorders>
          </w:tcPr>
          <w:p w14:paraId="1C364090">
            <w:pPr>
              <w:pStyle w:val="TableText"/>
            </w:pPr>
            <w:r>
              <w:rPr>
                <w:rStyle w:val="VARIABLE"/>
              </w:rPr>
              <w:t xml:space="preserve">@type</w:t>
            </w:r>
            <w:r>
              <w:t xml:space="preserve"> of a TD property</w:t>
            </w:r>
          </w:p>
        </w:tc>
        <w:tc>
          <w:tcPr>
            <w:tcW w:w="2976" w:type="dxa"/>
            <w:tcBorders>
              <w:top w:val="single" w:sz="4" w:space="0" w:color="auto"/>
              <w:left w:val="single" w:sz="4" w:space="0" w:color="auto"/>
              <w:bottom w:val="single" w:sz="4" w:space="0" w:color="auto"/>
              <w:right w:val="single" w:sz="4" w:space="0" w:color="auto"/>
            </w:tcBorders>
          </w:tcPr>
          <w:p w14:paraId="44C2D4E9">
            <w:pPr>
              <w:pStyle w:val="TableText"/>
            </w:pPr>
            <w:r>
              <w:t xml:space="preserve">a UA Variable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DDAC79E">
            <w:pPr>
              <w:pStyle w:val="TableText"/>
            </w:pPr>
            <w:r>
              <w:rPr>
                <w:rStyle w:val="VARIABLE"/>
              </w:rPr>
              <w:t xml:space="preserve">uav:variableType</w:t>
            </w:r>
          </w:p>
        </w:tc>
        <w:tc>
          <w:tcPr>
            <w:tcW w:w="2975" w:type="dxa"/>
            <w:tcBorders>
              <w:top w:val="single" w:sz="4" w:space="0" w:color="auto"/>
              <w:left w:val="single" w:sz="4" w:space="0" w:color="auto"/>
              <w:bottom w:val="single" w:sz="4" w:space="0" w:color="auto"/>
              <w:right w:val="single" w:sz="4" w:space="0" w:color="auto"/>
            </w:tcBorders>
          </w:tcPr>
          <w:p w14:paraId="467306A9">
            <w:pPr>
              <w:pStyle w:val="TableText"/>
            </w:pPr>
            <w:r>
              <w:rPr>
                <w:rStyle w:val="VARIABLE"/>
              </w:rPr>
              <w:t xml:space="preserve">@type</w:t>
            </w:r>
            <w:r>
              <w:t xml:space="preserve"> of a TM property</w:t>
            </w:r>
          </w:p>
        </w:tc>
        <w:tc>
          <w:tcPr>
            <w:tcW w:w="2976" w:type="dxa"/>
            <w:tcBorders>
              <w:top w:val="single" w:sz="4" w:space="0" w:color="auto"/>
              <w:left w:val="single" w:sz="4" w:space="0" w:color="auto"/>
              <w:bottom w:val="single" w:sz="4" w:space="0" w:color="auto"/>
              <w:right w:val="single" w:sz="4" w:space="0" w:color="auto"/>
            </w:tcBorders>
          </w:tcPr>
          <w:p w14:paraId="1F635767">
            <w:pPr>
              <w:pStyle w:val="TableText"/>
            </w:pPr>
            <w:r>
              <w:t xml:space="preserve">a UA VariableType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37E9A70B">
            <w:pPr>
              <w:pStyle w:val="TableText"/>
            </w:pPr>
            <w:r>
              <w:rPr>
                <w:rStyle w:val="VARIABLE"/>
              </w:rPr>
              <w:t xml:space="preserve">uav:method</w:t>
            </w:r>
          </w:p>
        </w:tc>
        <w:tc>
          <w:tcPr>
            <w:tcW w:w="2975" w:type="dxa"/>
            <w:tcBorders>
              <w:top w:val="single" w:sz="4" w:space="0" w:color="auto"/>
              <w:left w:val="single" w:sz="4" w:space="0" w:color="auto"/>
              <w:bottom w:val="single" w:sz="4" w:space="0" w:color="auto"/>
              <w:right w:val="single" w:sz="4" w:space="0" w:color="auto"/>
            </w:tcBorders>
          </w:tcPr>
          <w:p w14:paraId="32F402A4">
            <w:pPr>
              <w:pStyle w:val="TableText"/>
            </w:pPr>
            <w:r>
              <w:rPr>
                <w:rStyle w:val="VARIABLE"/>
              </w:rPr>
              <w:t xml:space="preserve">@type</w:t>
            </w:r>
            <w:r>
              <w:t xml:space="preserve"> of an action</w:t>
            </w:r>
          </w:p>
        </w:tc>
        <w:tc>
          <w:tcPr>
            <w:tcW w:w="2976" w:type="dxa"/>
            <w:tcBorders>
              <w:top w:val="single" w:sz="4" w:space="0" w:color="auto"/>
              <w:left w:val="single" w:sz="4" w:space="0" w:color="auto"/>
              <w:bottom w:val="single" w:sz="4" w:space="0" w:color="auto"/>
              <w:right w:val="single" w:sz="4" w:space="0" w:color="auto"/>
            </w:tcBorders>
          </w:tcPr>
          <w:p w14:paraId="0CCAE105">
            <w:pPr>
              <w:pStyle w:val="TableText"/>
            </w:pPr>
            <w:r>
              <w:t xml:space="preserve">a UA Method</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FE0A4C0">
            <w:pPr>
              <w:pStyle w:val="TableText"/>
            </w:pPr>
            <w:r>
              <w:rPr>
                <w:rStyle w:val="VARIABLE"/>
              </w:rPr>
              <w:t xml:space="preserve">uav:eventType</w:t>
            </w:r>
          </w:p>
        </w:tc>
        <w:tc>
          <w:tcPr>
            <w:tcW w:w="2975" w:type="dxa"/>
            <w:tcBorders>
              <w:top w:val="single" w:sz="4" w:space="0" w:color="auto"/>
              <w:left w:val="single" w:sz="4" w:space="0" w:color="auto"/>
              <w:bottom w:val="single" w:sz="4" w:space="0" w:color="auto"/>
              <w:right w:val="single" w:sz="4" w:space="0" w:color="auto"/>
            </w:tcBorders>
          </w:tcPr>
          <w:p w14:paraId="1D180C40">
            <w:pPr>
              <w:pStyle w:val="TableText"/>
            </w:pPr>
            <w:r>
              <w:rPr>
                <w:rStyle w:val="VARIABLE"/>
              </w:rPr>
              <w:t xml:space="preserve">@type</w:t>
            </w:r>
            <w:r>
              <w:t xml:space="preserve"> of an event affordance</w:t>
            </w:r>
          </w:p>
        </w:tc>
        <w:tc>
          <w:tcPr>
            <w:tcW w:w="2976" w:type="dxa"/>
            <w:tcBorders>
              <w:top w:val="single" w:sz="4" w:space="0" w:color="auto"/>
              <w:left w:val="single" w:sz="4" w:space="0" w:color="auto"/>
              <w:bottom w:val="single" w:sz="4" w:space="0" w:color="auto"/>
              <w:right w:val="single" w:sz="4" w:space="0" w:color="auto"/>
            </w:tcBorders>
          </w:tcPr>
          <w:p w14:paraId="030C27C4">
            <w:pPr>
              <w:pStyle w:val="TableText"/>
            </w:pPr>
            <w:r>
              <w:t xml:space="preserve">a UA EventType (a subtype of </w:t>
            </w:r>
            <w:r>
              <w:rPr>
                <w:rStyle w:val="VARIABLE"/>
              </w:rPr>
              <w:t xml:space="preserve">BaseEventType</w:t>
            </w:r>
            <w:r>
              <w:t xml:space="preserve">, OPC 10000-5)</w:t>
            </w:r>
          </w:p>
        </w:tc>
      </w:tr>
    </w:tbl>
    <w:p w14:paraId="0CE7AF89">
      <w:pPr>
        <w:pStyle w:val="spacer"/>
      </w:pPr>
    </w:p>
    <w:p w14:paraId="5AED1611">
      <w:pPr>
        <w:pStyle w:val="PARAGRAPH"/>
      </w:pPr>
      <w:r>
        <w:rPr>
          <w:rStyle w:val="VARIABLE"/>
        </w:rPr>
        <w:t xml:space="preserve">uav:objectType</w:t>
      </w:r>
      <w:r>
        <w:t xml:space="preserve"> and </w:t>
      </w:r>
      <w:r>
        <w:rPr>
          <w:rStyle w:val="VARIABLE"/>
        </w:rPr>
        <w:t xml:space="preserve">uav:variableType</w:t>
      </w:r>
      <w:r>
        <w:t xml:space="preserve"> are only meaningful in a Thing Model. </w:t>
      </w:r>
      <w:r>
        <w:rPr>
          <w:rStyle w:val="VARIABLE"/>
        </w:rPr>
        <w:t xml:space="preserve">uav:eventType</w:t>
      </w:r>
      <w:r>
        <w:t xml:space="preserve"> annotates an event affordance that projects a UA EventType; because an OPC UA event is always defined by a type derived from </w:t>
      </w:r>
      <w:r>
        <w:rPr>
          <w:rStyle w:val="VARIABLE"/>
        </w:rPr>
        <w:t xml:space="preserve">BaseEventType</w:t>
      </w:r>
      <w:r>
        <w:t xml:space="preserve">, it is meaningful in both a Thing Model and a Thing Description. </w:t>
      </w:r>
      <w:r>
        <w:rPr>
          <w:rStyle w:val="VARIABLE"/>
        </w:rPr>
        <w:t xml:space="preserve">uav:eventType</w:t>
      </w:r>
      <w:r>
        <w:t xml:space="preserve"> is the type-annotation counterpart of the </w:t>
      </w:r>
      <w:r>
        <w:rPr>
          <w:rStyle w:val="VARIABLE"/>
        </w:rPr>
        <w:t xml:space="preserve">uav:isEvent</w:t>
      </w:r>
      <w:r>
        <w:t xml:space="preserve"> flag (</w:t>
      </w:r>
      <w:r>
        <w:t xml:space="preserve">Section </w:t>
      </w:r>
      <w:r>
        <w:fldChar w:fldCharType="begin"/>
      </w:r>
      <w:r>
        <w:instrText xml:space="preserve"> REF _Clause_c6_3_1 \r \h </w:instrText>
      </w:r>
      <w:r>
        <w:fldChar w:fldCharType="separate"/>
      </w:r>
      <w:r>
        <w:rPr>
          <w:noProof/>
        </w:rPr>
        <w:t xml:space="preserve">6.3.1</w:t>
      </w:r>
      <w:r>
        <w:fldChar w:fldCharType="end"/>
      </w:r>
      <w:r>
        <w:t xml:space="preserve">): the annotation records the projected NodeClass in </w:t>
      </w:r>
      <w:r>
        <w:rPr>
          <w:rStyle w:val="VARIABLE"/>
        </w:rPr>
        <w:t xml:space="preserve">@type</w:t>
      </w:r>
      <w:r>
        <w:t xml:space="preserve">, exactly as the other rows of this table do, while </w:t>
      </w:r>
      <w:r>
        <w:rPr>
          <w:rStyle w:val="VARIABLE"/>
        </w:rPr>
        <w:t xml:space="preserve">uav:isEvent</w:t>
      </w:r>
      <w:r>
        <w:t xml:space="preserve"> is the boolean anchor of the event mapping (</w:t>
      </w:r>
      <w:r>
        <w:t xml:space="preserve">Section </w:t>
      </w:r>
      <w:r>
        <w:fldChar w:fldCharType="begin"/>
      </w:r>
      <w:r>
        <w:instrText xml:space="preserve"> REF _Clause_c6_5 \r \h </w:instrText>
      </w:r>
      <w:r>
        <w:fldChar w:fldCharType="separate"/>
      </w:r>
      <w:r>
        <w:rPr>
          <w:noProof/>
        </w:rPr>
        <w:t xml:space="preserve">6.5</w:t>
      </w:r>
      <w:r>
        <w:fldChar w:fldCharType="end"/>
      </w:r>
      <w:r>
        <w:t xml:space="preserve">). When an event affordance carries </w:t>
      </w:r>
      <w:r>
        <w:rPr>
          <w:rStyle w:val="VARIABLE"/>
        </w:rPr>
        <w:t xml:space="preserve">uav:eventType</w:t>
      </w:r>
      <w:r>
        <w:t xml:space="preserve"> in its </w:t>
      </w:r>
      <w:r>
        <w:rPr>
          <w:rStyle w:val="VARIABLE"/>
        </w:rPr>
        <w:t xml:space="preserve">@type</w:t>
      </w:r>
      <w:r>
        <w:t xml:space="preserve">, it </w:t>
      </w:r>
      <w:r>
        <w:rPr>
          <w:b/>
        </w:rPr>
        <w:t xml:space="preserve">shall</w:t>
      </w:r>
      <w:r>
        <w:t xml:space="preserve"> be treated as projecting a UA EventType and </w:t>
      </w:r>
      <w:r>
        <w:rPr>
          <w:rStyle w:val="VARIABLE"/>
        </w:rPr>
        <w:t xml:space="preserve">uav:isEvent</w:t>
      </w:r>
      <w:r>
        <w:t xml:space="preserve"> </w:t>
      </w:r>
      <w:r>
        <w:rPr>
          <w:b/>
        </w:rPr>
        <w:t xml:space="preserve">shall not</w:t>
      </w:r>
      <w:r>
        <w:t xml:space="preserve"> be </w:t>
      </w:r>
      <w:r>
        <w:rPr>
          <w:rStyle w:val="VARIABLE"/>
        </w:rPr>
        <w:t xml:space="preserve">false</w:t>
      </w:r>
      <w:r>
        <w:t xml:space="preserve">; an author </w:t>
      </w:r>
      <w:r>
        <w:rPr>
          <w:b/>
        </w:rPr>
        <w:t xml:space="preserve">should</w:t>
      </w:r>
      <w:r>
        <w:t xml:space="preserve"> set both for symmetry. A converter treats an event affordance as an EventType projection when either </w:t>
      </w:r>
      <w:r>
        <w:rPr>
          <w:rStyle w:val="VARIABLE"/>
        </w:rPr>
        <w:t xml:space="preserve">uav:eventType</w:t>
      </w:r>
      <w:r>
        <w:t xml:space="preserve"> or </w:t>
      </w:r>
      <w:r>
        <w:rPr>
          <w:rStyle w:val="VARIABLE"/>
        </w:rPr>
        <w:t xml:space="preserve">uav:isEvent: true</w:t>
      </w:r>
      <w:r>
        <w:t xml:space="preserve"> is present.</w:t>
      </w:r>
    </w:p>
    <w:p w14:paraId="53C6A92B">
      <w:pPr>
        <w:pStyle w:val="Heading3"/>
      </w:pPr>
      <w:bookmarkStart w:id="488" w:name="_Clause_c6_2_3"/>
      <w:r>
        <w:t xml:space="preserve">Component reference terms</w:t>
      </w:r>
      <w:bookmarkEnd w:id="488"/>
    </w:p>
    <w:p w14:paraId="4A29D081">
      <w:pPr>
        <w:pStyle w:val="TABLE-title"/>
        <w:keepNext/>
      </w:pPr>
      <w:bookmarkStart w:id="489" w:name="_Tab_component_reference_terms_tab1"/>
      <w:r>
        <w:t xml:space="preserve">Table </w:t>
      </w:r>
      <w:r>
        <w:fldChar w:fldCharType="begin"/>
      </w:r>
      <w:r>
        <w:instrText xml:space="preserve"> SEQ Table \* ARABIC </w:instrText>
      </w:r>
      <w:r>
        <w:fldChar w:fldCharType="separate"/>
      </w:r>
      <w:r>
        <w:rPr>
          <w:noProof/>
        </w:rPr>
        <w:t xml:space="preserve">3</w:t>
      </w:r>
      <w:r>
        <w:fldChar w:fldCharType="end"/>
      </w:r>
      <w:r>
        <w:t xml:space="preserve"> – Component reference terms</w:t>
      </w:r>
      <w:bookmarkEnd w:id="48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13030572">
            <w:pPr>
              <w:pStyle w:val="TableText"/>
            </w:pPr>
            <w:r>
              <w:t xml:space="preserve">Term</w:t>
            </w:r>
          </w:p>
        </w:tc>
        <w:tc>
          <w:tcPr>
            <w:tcW w:w="2975" w:type="dxa"/>
            <w:tcBorders>
              <w:top w:val="single" w:sz="4" w:space="0" w:color="auto"/>
              <w:left w:val="single" w:sz="4" w:space="0" w:color="auto"/>
              <w:bottom w:val="double" w:sz="4" w:space="0" w:color="auto"/>
              <w:right w:val="single" w:sz="4" w:space="0" w:color="auto"/>
            </w:tcBorders>
          </w:tcPr>
          <w:p w14:paraId="09D7B7E7">
            <w:pPr>
              <w:pStyle w:val="TableText"/>
            </w:pPr>
            <w:r>
              <w:t xml:space="preserve">Type</w:t>
            </w:r>
          </w:p>
        </w:tc>
        <w:tc>
          <w:tcPr>
            <w:tcW w:w="2976" w:type="dxa"/>
            <w:tcBorders>
              <w:top w:val="single" w:sz="4" w:space="0" w:color="auto"/>
              <w:left w:val="single" w:sz="4" w:space="0" w:color="auto"/>
              <w:bottom w:val="double" w:sz="4" w:space="0" w:color="auto"/>
              <w:right w:val="single" w:sz="4" w:space="0" w:color="auto"/>
            </w:tcBorders>
          </w:tcPr>
          <w:p w14:paraId="5471D5BB">
            <w:pPr>
              <w:pStyle w:val="TableText"/>
            </w:pPr>
            <w:r>
              <w:t xml:space="preserve">Meaning</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45C37697">
            <w:pPr>
              <w:pStyle w:val="TableText"/>
            </w:pPr>
            <w:r>
              <w:rPr>
                <w:rStyle w:val="VARIABLE"/>
              </w:rPr>
              <w:t xml:space="preserve">uav:hasComponent</w:t>
            </w:r>
          </w:p>
        </w:tc>
        <w:tc>
          <w:tcPr>
            <w:tcW w:w="2975" w:type="dxa"/>
            <w:tcBorders>
              <w:top w:val="single" w:sz="4" w:space="0" w:color="auto"/>
              <w:left w:val="single" w:sz="4" w:space="0" w:color="auto"/>
              <w:bottom w:val="single" w:sz="4" w:space="0" w:color="auto"/>
              <w:right w:val="single" w:sz="4" w:space="0" w:color="auto"/>
            </w:tcBorders>
          </w:tcPr>
          <w:p w14:paraId="7D3FCB25">
            <w:pPr>
              <w:pStyle w:val="TableText"/>
            </w:pPr>
            <w:r>
              <w:t xml:space="preserve">array of string</w:t>
            </w:r>
          </w:p>
        </w:tc>
        <w:tc>
          <w:tcPr>
            <w:tcW w:w="2976" w:type="dxa"/>
            <w:tcBorders>
              <w:top w:val="single" w:sz="4" w:space="0" w:color="auto"/>
              <w:left w:val="single" w:sz="4" w:space="0" w:color="auto"/>
              <w:bottom w:val="single" w:sz="4" w:space="0" w:color="auto"/>
              <w:right w:val="single" w:sz="4" w:space="0" w:color="auto"/>
            </w:tcBorders>
          </w:tcPr>
          <w:p w14:paraId="6F28B28E">
            <w:pPr>
              <w:pStyle w:val="TableText"/>
            </w:pPr>
            <w:r>
              <w:t xml:space="preserve">One or more </w:t>
            </w:r>
            <w:r>
              <w:rPr>
                <w:b/>
              </w:rPr>
              <w:t xml:space="preserve">ExpandedNodeId</w:t>
            </w:r>
            <w:r>
              <w:t xml:space="preserve"> values (</w:t>
            </w:r>
            <w:r>
              <w:t xml:space="preserve">Section </w:t>
            </w:r>
            <w:r>
              <w:fldChar w:fldCharType="begin"/>
            </w:r>
            <w:r>
              <w:instrText xml:space="preserve"> REF _Clause_c6_2_1_1 \r \h </w:instrText>
            </w:r>
            <w:r>
              <w:fldChar w:fldCharType="separate"/>
            </w:r>
            <w:r>
              <w:rPr>
                <w:noProof/>
              </w:rPr>
              <w:t xml:space="preserve">6.2.1.1</w:t>
            </w:r>
            <w:r>
              <w:fldChar w:fldCharType="end"/>
            </w:r>
            <w:r>
              <w:t xml:space="preserve">) of child Nodes; equivalent to a forward </w:t>
            </w:r>
            <w:r>
              <w:rPr>
                <w:rStyle w:val="VARIABLE"/>
              </w:rPr>
              <w:t xml:space="preserve">HasComponent</w:t>
            </w:r>
            <w:r>
              <w:t xml:space="preserve"> reference, and covering every subtype of </w:t>
            </w:r>
            <w:r>
              <w:rPr>
                <w:rStyle w:val="VARIABLE"/>
              </w:rPr>
              <w:t xml:space="preserve">HasComponent</w:t>
            </w:r>
            <w:r>
              <w:t xml:space="preserve"> for parent-child discovery.</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93131FA">
            <w:pPr>
              <w:pStyle w:val="TableText"/>
            </w:pPr>
            <w:r>
              <w:rPr>
                <w:rStyle w:val="VARIABLE"/>
              </w:rPr>
              <w:t xml:space="preserve">uav:componentOf</w:t>
            </w:r>
          </w:p>
        </w:tc>
        <w:tc>
          <w:tcPr>
            <w:tcW w:w="2975" w:type="dxa"/>
            <w:tcBorders>
              <w:top w:val="single" w:sz="4" w:space="0" w:color="auto"/>
              <w:left w:val="single" w:sz="4" w:space="0" w:color="auto"/>
              <w:bottom w:val="single" w:sz="4" w:space="0" w:color="auto"/>
              <w:right w:val="single" w:sz="4" w:space="0" w:color="auto"/>
            </w:tcBorders>
          </w:tcPr>
          <w:p w14:paraId="6CD67008">
            <w:pPr>
              <w:pStyle w:val="TableText"/>
            </w:pPr>
            <w:r>
              <w:t xml:space="preserve">array of string</w:t>
            </w:r>
          </w:p>
        </w:tc>
        <w:tc>
          <w:tcPr>
            <w:tcW w:w="2976" w:type="dxa"/>
            <w:tcBorders>
              <w:top w:val="single" w:sz="4" w:space="0" w:color="auto"/>
              <w:left w:val="single" w:sz="4" w:space="0" w:color="auto"/>
              <w:bottom w:val="single" w:sz="4" w:space="0" w:color="auto"/>
              <w:right w:val="single" w:sz="4" w:space="0" w:color="auto"/>
            </w:tcBorders>
          </w:tcPr>
          <w:p w14:paraId="12ADB54E">
            <w:pPr>
              <w:pStyle w:val="TableText"/>
            </w:pPr>
            <w:r>
              <w:t xml:space="preserve">One or more </w:t>
            </w:r>
            <w:r>
              <w:rPr>
                <w:b/>
              </w:rPr>
              <w:t xml:space="preserve">ExpandedNodeId</w:t>
            </w:r>
            <w:r>
              <w:t xml:space="preserve"> values (</w:t>
            </w:r>
            <w:r>
              <w:t xml:space="preserve">Section </w:t>
            </w:r>
            <w:r>
              <w:fldChar w:fldCharType="begin"/>
            </w:r>
            <w:r>
              <w:instrText xml:space="preserve"> REF _Clause_c6_2_1_1 \r \h </w:instrText>
            </w:r>
            <w:r>
              <w:fldChar w:fldCharType="separate"/>
            </w:r>
            <w:r>
              <w:rPr>
                <w:noProof/>
              </w:rPr>
              <w:t xml:space="preserve">6.2.1.1</w:t>
            </w:r>
            <w:r>
              <w:fldChar w:fldCharType="end"/>
            </w:r>
            <w:r>
              <w:t xml:space="preserve">) of parent Nodes; equivalent to an inverse </w:t>
            </w:r>
            <w:r>
              <w:rPr>
                <w:rStyle w:val="VARIABLE"/>
              </w:rPr>
              <w:t xml:space="preserve">HasComponent</w:t>
            </w:r>
            <w:r>
              <w:t xml:space="preserve"> reference, and covering every subtype of </w:t>
            </w:r>
            <w:r>
              <w:rPr>
                <w:rStyle w:val="VARIABLE"/>
              </w:rPr>
              <w:t xml:space="preserve">HasComponent</w:t>
            </w:r>
            <w:r>
              <w:t xml:space="preserve"> for parent-child discovery.</w:t>
            </w:r>
          </w:p>
        </w:tc>
      </w:tr>
    </w:tbl>
    <w:p w14:paraId="5F91C7DD">
      <w:pPr>
        <w:pStyle w:val="spacer"/>
      </w:pPr>
    </w:p>
    <w:p w14:paraId="5D3132BA">
      <w:pPr>
        <w:pStyle w:val="PARAGRAPH"/>
      </w:pPr>
      <w:r>
        <w:rPr>
          <w:b/>
        </w:rPr>
        <w:t xml:space="preserve">Component subtypes.</w:t>
      </w:r>
      <w:r>
        <w:t xml:space="preserve"> </w:t>
      </w:r>
      <w:r>
        <w:rPr>
          <w:rStyle w:val="VARIABLE"/>
        </w:rPr>
        <w:t xml:space="preserve">uav:hasComponent</w:t>
      </w:r>
      <w:r>
        <w:t xml:space="preserve"> and </w:t>
      </w:r>
      <w:r>
        <w:rPr>
          <w:rStyle w:val="VARIABLE"/>
        </w:rPr>
        <w:t xml:space="preserve">uav:componentOf</w:t>
      </w:r>
      <w:r>
        <w:t xml:space="preserve"> record parent-child ownership uniformly across </w:t>
      </w:r>
      <w:r>
        <w:rPr>
          <w:rStyle w:val="VARIABLE"/>
        </w:rPr>
        <w:t xml:space="preserve">HasComponent</w:t>
      </w:r>
      <w:r>
        <w:t xml:space="preserve"> </w:t>
      </w:r>
      <w:r>
        <w:rPr>
          <w:b/>
        </w:rPr>
        <w:t xml:space="preserve">and all of its subtypes</w:t>
      </w:r>
      <w:r>
        <w:t xml:space="preserve"> (for example </w:t>
      </w:r>
      <w:r>
        <w:rPr>
          <w:rStyle w:val="VARIABLE"/>
        </w:rPr>
        <w:t xml:space="preserve">HasOrderedComponent</w:t>
      </w:r>
      <w:r>
        <w:t xml:space="preserve">). A consumer that only needs to </w:t>
      </w:r>
      <w:r>
        <w:rPr>
          <w:i/>
        </w:rPr>
        <w:t xml:space="preserve">discover</w:t>
      </w:r>
      <w:r>
        <w:t xml:space="preserve"> the children (or the parent) of a Node treats every </w:t>
      </w:r>
      <w:r>
        <w:rPr>
          <w:rStyle w:val="VARIABLE"/>
        </w:rPr>
        <w:t xml:space="preserve">HasComponent</w:t>
      </w:r>
      <w:r>
        <w:t xml:space="preserve">-derived reference the same way and reads these terms directly. When the exact subtype semantics matter — for example the ordering guaranteed by </w:t>
      </w:r>
      <w:r>
        <w:rPr>
          <w:rStyle w:val="VARIABLE"/>
        </w:rPr>
        <w:t xml:space="preserve">HasOrderedComponent</w:t>
      </w:r>
      <w:r>
        <w:t xml:space="preserve"> — the document </w:t>
      </w:r>
      <w:r>
        <w:rPr>
          <w:b/>
        </w:rPr>
        <w:t xml:space="preserve">shall</w:t>
      </w:r>
      <w:r>
        <w:t xml:space="preserve"> additionally record the reference as a typed link (</w:t>
      </w:r>
      <w:r>
        <w:t xml:space="preserve">Section </w:t>
      </w:r>
      <w:r>
        <w:fldChar w:fldCharType="begin"/>
      </w:r>
      <w:r>
        <w:instrText xml:space="preserve"> REF _Clause_c6_3_2 \r \h </w:instrText>
      </w:r>
      <w:r>
        <w:fldChar w:fldCharType="separate"/>
      </w:r>
      <w:r>
        <w:rPr>
          <w:noProof/>
        </w:rPr>
        <w:t xml:space="preserve">6.3.2</w:t>
      </w:r>
      <w:r>
        <w:fldChar w:fldCharType="end"/>
      </w:r>
      <w:r>
        <w:t xml:space="preserve">): a </w:t>
      </w:r>
      <w:r>
        <w:rPr>
          <w:rStyle w:val="VARIABLE"/>
        </w:rPr>
        <w:t xml:space="preserve">links</w:t>
      </w:r>
      <w:r>
        <w:t xml:space="preserve"> entry whose </w:t>
      </w:r>
      <w:r>
        <w:rPr>
          <w:rStyle w:val="VARIABLE"/>
        </w:rPr>
        <w:t xml:space="preserve">rel</w:t>
      </w:r>
      <w:r>
        <w:t xml:space="preserve"> is the ReferenceType's compact model name and whose </w:t>
      </w:r>
      <w:r>
        <w:rPr>
          <w:rStyle w:val="VARIABLE"/>
        </w:rPr>
        <w:t xml:space="preserve">uav:refName</w:t>
      </w:r>
      <w:r>
        <w:t xml:space="preserve"> names the reference. The link </w:t>
      </w:r>
      <w:r>
        <w:rPr>
          <w:b/>
        </w:rPr>
        <w:t xml:space="preserve">should</w:t>
      </w:r>
      <w:r>
        <w:t xml:space="preserve"> also carry the ReferenceType's ExpandedNodeId in </w:t>
      </w:r>
      <w:r>
        <w:rPr>
          <w:rStyle w:val="VARIABLE"/>
        </w:rPr>
        <w:t xml:space="preserve">uav:refId</w:t>
      </w:r>
      <w:r>
        <w:t xml:space="preserve">; it </w:t>
      </w:r>
      <w:r>
        <w:rPr>
          <w:b/>
        </w:rPr>
        <w:t xml:space="preserve">shall</w:t>
      </w:r>
      <w:r>
        <w:t xml:space="preserve"> do so when compact-name lookup may be unavailable or ambiguous. Reverse conversion recreates the exact subtype from that typed link; when no typed link is present for a listed component, conversion uses plain </w:t>
      </w:r>
      <w:r>
        <w:rPr>
          <w:rStyle w:val="VARIABLE"/>
        </w:rPr>
        <w:t xml:space="preserve">HasComponent</w:t>
      </w:r>
      <w:r>
        <w:t xml:space="preserve">.</w:t>
      </w:r>
    </w:p>
    <w:p w14:paraId="553C3AF3">
      <w:pPr>
        <w:pStyle w:val="CODE"/>
      </w:pPr>
      <w:r>
        <w:t xml:space="preserve">// Two ordered stages: discoverable through uav:hasComponent, and pinned to</w:t>
      </w:r>
    </w:p>
    <w:p w14:paraId="32685630">
      <w:pPr>
        <w:pStyle w:val="CODE"/>
      </w:pPr>
      <w:r>
        <w:t xml:space="preserve">// HasOrderedComponent by its semantic model name, with i=49 as the definitive fallback.</w:t>
      </w:r>
    </w:p>
    <w:p w14:paraId="3ED612A6">
      <w:pPr>
        <w:pStyle w:val="CODE"/>
      </w:pPr>
      <w:r>
        <w:t xml:space="preserve">"uav:hasComponent": [</w:t>
      </w:r>
    </w:p>
    <w:p w14:paraId="52EF993D">
      <w:pPr>
        <w:pStyle w:val="CODE"/>
      </w:pPr>
      <w:r>
        <w:t xml:space="preserve">  "nsu=http://example.com/demo/pump;s=Stage_1",</w:t>
      </w:r>
    </w:p>
    <w:p w14:paraId="2D4BA023">
      <w:pPr>
        <w:pStyle w:val="CODE"/>
      </w:pPr>
      <w:r>
        <w:t xml:space="preserve">  "nsu=http://example.com/demo/pump;s=Stage_2"</w:t>
      </w:r>
    </w:p>
    <w:p w14:paraId="0B03AD31">
      <w:pPr>
        <w:pStyle w:val="CODE"/>
      </w:pPr>
      <w:r>
        <w:t xml:space="preserve">],</w:t>
      </w:r>
    </w:p>
    <w:p w14:paraId="258BB14D">
      <w:pPr>
        <w:pStyle w:val="CODE"/>
      </w:pPr>
      <w:r>
        <w:t xml:space="preserve">"links": [</w:t>
      </w:r>
    </w:p>
    <w:p w14:paraId="091ABE13">
      <w:pPr>
        <w:pStyle w:val="CODE"/>
      </w:pPr>
      <w:r>
        <w:t xml:space="preserve">  { "rel": "ua:HasOrderedComponent", "href": "nsu=http://example.com/demo/pump;s=Stage_1",</w:t>
      </w:r>
    </w:p>
    <w:p w14:paraId="0AA105A8">
      <w:pPr>
        <w:pStyle w:val="CODE"/>
      </w:pPr>
      <w:r>
        <w:t xml:space="preserve">    "uav:refId": "i=49", "uav:refName": "Stage_1" },</w:t>
      </w:r>
    </w:p>
    <w:p w14:paraId="6401E931">
      <w:pPr>
        <w:pStyle w:val="CODE"/>
      </w:pPr>
      <w:r>
        <w:t xml:space="preserve">  { "rel": "ua:HasOrderedComponent", "href": "nsu=http://example.com/demo/pump;s=Stage_2",</w:t>
      </w:r>
    </w:p>
    <w:p w14:paraId="3D61E65B">
      <w:pPr>
        <w:pStyle w:val="CODE"/>
      </w:pPr>
      <w:r>
        <w:t xml:space="preserve">    "uav:refId": "i=49", "uav:refName": "Stage_2" }</w:t>
      </w:r>
    </w:p>
    <w:p w14:paraId="0968298F">
      <w:pPr>
        <w:pStyle w:val="CODE"/>
      </w:pPr>
      <w:r>
        <w:t xml:space="preserve">]</w:t>
      </w:r>
    </w:p>
    <w:p w14:paraId="398D0603">
      <w:pPr>
        <w:pStyle w:val="PARAGRAPH"/>
      </w:pPr>
      <w:r>
        <w:rPr>
          <w:i/>
        </w:rPr>
        <w:t xml:space="preserve">Explanation.</w:t>
      </w:r>
      <w:r>
        <w:t xml:space="preserve"> Both stages appear in </w:t>
      </w:r>
      <w:r>
        <w:rPr>
          <w:rStyle w:val="VARIABLE"/>
        </w:rPr>
        <w:t xml:space="preserve">uav:hasComponent</w:t>
      </w:r>
      <w:r>
        <w:t xml:space="preserve">, so any consumer can enumerate the children without knowing the reference subtype. The two typed links use </w:t>
      </w:r>
      <w:r>
        <w:rPr>
          <w:rStyle w:val="VARIABLE"/>
        </w:rPr>
        <w:t xml:space="preserve">ua:HasOrderedComponent</w:t>
      </w:r>
      <w:r>
        <w:t xml:space="preserve"> directly as their relation and </w:t>
      </w:r>
      <w:r>
        <w:rPr>
          <w:rStyle w:val="VARIABLE"/>
        </w:rPr>
        <w:t xml:space="preserve">i=49</w:t>
      </w:r>
      <w:r>
        <w:t xml:space="preserve"> as the definitive fallback, so a converter recreates ordered components rather than plain </w:t>
      </w:r>
      <w:r>
        <w:rPr>
          <w:rStyle w:val="VARIABLE"/>
        </w:rPr>
        <w:t xml:space="preserve">HasComponent</w:t>
      </w:r>
      <w:r>
        <w:t xml:space="preserve">; a document that omitted the typed links would round-trip the stages as plain </w:t>
      </w:r>
      <w:r>
        <w:rPr>
          <w:rStyle w:val="VARIABLE"/>
        </w:rPr>
        <w:t xml:space="preserve">HasComponent</w:t>
      </w:r>
      <w:r>
        <w:t xml:space="preserve">.</w:t>
      </w:r>
    </w:p>
    <w:p w14:paraId="33A5809D">
      <w:pPr>
        <w:pStyle w:val="Heading3"/>
      </w:pPr>
      <w:bookmarkStart w:id="490" w:name="_Clause_c6_2_4"/>
      <w:r>
        <w:t xml:space="preserve">Runtime Node and DataType mapping terms</w:t>
      </w:r>
      <w:bookmarkEnd w:id="490"/>
    </w:p>
    <w:p w14:paraId="04565FA8">
      <w:pPr>
        <w:pStyle w:val="PARAGRAPH"/>
      </w:pPr>
      <w:r>
        <w:t xml:space="preserve">These terms map a runtime property value either to an external OPC UA instance Node or to the DataType/field that defines its encoded data. They are used at property level and </w:t>
      </w:r>
      <w:r>
        <w:rPr>
          <w:b/>
        </w:rPr>
        <w:t xml:space="preserve">shall not</w:t>
      </w:r>
      <w:r>
        <w:t xml:space="preserve"> appear at form level.</w:t>
      </w:r>
    </w:p>
    <w:p w14:paraId="1337B9AF">
      <w:pPr>
        <w:pStyle w:val="TABLE-title"/>
        <w:keepNext/>
      </w:pPr>
      <w:bookmarkStart w:id="491" w:name="_Tab_runtime_node_and_datatype_mapping_terms_tab1"/>
      <w:r>
        <w:t xml:space="preserve">Table </w:t>
      </w:r>
      <w:r>
        <w:fldChar w:fldCharType="begin"/>
      </w:r>
      <w:r>
        <w:instrText xml:space="preserve"> SEQ Table \* ARABIC </w:instrText>
      </w:r>
      <w:r>
        <w:fldChar w:fldCharType="separate"/>
      </w:r>
      <w:r>
        <w:rPr>
          <w:noProof/>
        </w:rPr>
        <w:t xml:space="preserve">4</w:t>
      </w:r>
      <w:r>
        <w:fldChar w:fldCharType="end"/>
      </w:r>
      <w:r>
        <w:t xml:space="preserve"> – Runtime Node and DataType mapping terms</w:t>
      </w:r>
      <w:bookmarkEnd w:id="49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667DC388">
            <w:pPr>
              <w:pStyle w:val="TableText"/>
            </w:pPr>
            <w:r>
              <w:t xml:space="preserve">Term</w:t>
            </w:r>
          </w:p>
        </w:tc>
        <w:tc>
          <w:tcPr>
            <w:tcW w:w="2975" w:type="dxa"/>
            <w:tcBorders>
              <w:top w:val="single" w:sz="4" w:space="0" w:color="auto"/>
              <w:left w:val="single" w:sz="4" w:space="0" w:color="auto"/>
              <w:bottom w:val="double" w:sz="4" w:space="0" w:color="auto"/>
              <w:right w:val="single" w:sz="4" w:space="0" w:color="auto"/>
            </w:tcBorders>
          </w:tcPr>
          <w:p w14:paraId="75C43FDA">
            <w:pPr>
              <w:pStyle w:val="TableText"/>
            </w:pPr>
            <w:r>
              <w:t xml:space="preserve">Type</w:t>
            </w:r>
          </w:p>
        </w:tc>
        <w:tc>
          <w:tcPr>
            <w:tcW w:w="2976" w:type="dxa"/>
            <w:tcBorders>
              <w:top w:val="single" w:sz="4" w:space="0" w:color="auto"/>
              <w:left w:val="single" w:sz="4" w:space="0" w:color="auto"/>
              <w:bottom w:val="double" w:sz="4" w:space="0" w:color="auto"/>
              <w:right w:val="single" w:sz="4" w:space="0" w:color="auto"/>
            </w:tcBorders>
          </w:tcPr>
          <w:p w14:paraId="1B78711C">
            <w:pPr>
              <w:pStyle w:val="TableText"/>
            </w:pPr>
            <w:r>
              <w:t xml:space="preserve">Meaning</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4B16D5ED">
            <w:pPr>
              <w:pStyle w:val="TableText"/>
            </w:pPr>
            <w:r>
              <w:rPr>
                <w:rStyle w:val="VARIABLE"/>
              </w:rPr>
              <w:t xml:space="preserve">uav:mapToNodeId</w:t>
            </w:r>
          </w:p>
        </w:tc>
        <w:tc>
          <w:tcPr>
            <w:tcW w:w="2975" w:type="dxa"/>
            <w:tcBorders>
              <w:top w:val="single" w:sz="4" w:space="0" w:color="auto"/>
              <w:left w:val="single" w:sz="4" w:space="0" w:color="auto"/>
              <w:bottom w:val="single" w:sz="4" w:space="0" w:color="auto"/>
              <w:right w:val="single" w:sz="4" w:space="0" w:color="auto"/>
            </w:tcBorders>
          </w:tcPr>
          <w:p w14:paraId="0FF3D261">
            <w:pPr>
              <w:pStyle w:val="TableText"/>
            </w:pPr>
            <w:r>
              <w:t xml:space="preserve">string</w:t>
            </w:r>
          </w:p>
        </w:tc>
        <w:tc>
          <w:tcPr>
            <w:tcW w:w="2976" w:type="dxa"/>
            <w:tcBorders>
              <w:top w:val="single" w:sz="4" w:space="0" w:color="auto"/>
              <w:left w:val="single" w:sz="4" w:space="0" w:color="auto"/>
              <w:bottom w:val="single" w:sz="4" w:space="0" w:color="auto"/>
              <w:right w:val="single" w:sz="4" w:space="0" w:color="auto"/>
            </w:tcBorders>
          </w:tcPr>
          <w:p w14:paraId="02F516ED">
            <w:pPr>
              <w:pStyle w:val="TableText"/>
            </w:pPr>
            <w:r>
              <w:t xml:space="preserve">The </w:t>
            </w:r>
            <w:r>
              <w:rPr>
                <w:b/>
              </w:rPr>
              <w:t xml:space="preserve">ExpandedNodeId</w:t>
            </w:r>
            <w:r>
              <w:t xml:space="preserve"> (</w:t>
            </w:r>
            <w:r>
              <w:t xml:space="preserve">Section </w:t>
            </w:r>
            <w:r>
              <w:fldChar w:fldCharType="begin"/>
            </w:r>
            <w:r>
              <w:instrText xml:space="preserve"> REF _Clause_c6_2_1_1 \r \h </w:instrText>
            </w:r>
            <w:r>
              <w:fldChar w:fldCharType="separate"/>
            </w:r>
            <w:r>
              <w:rPr>
                <w:noProof/>
              </w:rPr>
              <w:t xml:space="preserve">6.2.1.1</w:t>
            </w:r>
            <w:r>
              <w:fldChar w:fldCharType="end"/>
            </w:r>
            <w:r>
              <w:t xml:space="preserve">) of an external target instance Node (normally a Variable) that supplies or receives the runtime value. Because this is instance identity, a compact model name is not permitted.</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7B8D6C8">
            <w:pPr>
              <w:pStyle w:val="TableText"/>
            </w:pPr>
            <w:r>
              <w:rPr>
                <w:rStyle w:val="VARIABLE"/>
              </w:rPr>
              <w:t xml:space="preserve">uav:mapToType</w:t>
            </w:r>
          </w:p>
        </w:tc>
        <w:tc>
          <w:tcPr>
            <w:tcW w:w="2975" w:type="dxa"/>
            <w:tcBorders>
              <w:top w:val="single" w:sz="4" w:space="0" w:color="auto"/>
              <w:left w:val="single" w:sz="4" w:space="0" w:color="auto"/>
              <w:bottom w:val="single" w:sz="4" w:space="0" w:color="auto"/>
              <w:right w:val="single" w:sz="4" w:space="0" w:color="auto"/>
            </w:tcBorders>
          </w:tcPr>
          <w:p w14:paraId="78206F6E">
            <w:pPr>
              <w:pStyle w:val="TableText"/>
            </w:pPr>
            <w:r>
              <w:t xml:space="preserve">string</w:t>
            </w:r>
          </w:p>
        </w:tc>
        <w:tc>
          <w:tcPr>
            <w:tcW w:w="2976" w:type="dxa"/>
            <w:tcBorders>
              <w:top w:val="single" w:sz="4" w:space="0" w:color="auto"/>
              <w:left w:val="single" w:sz="4" w:space="0" w:color="auto"/>
              <w:bottom w:val="single" w:sz="4" w:space="0" w:color="auto"/>
              <w:right w:val="single" w:sz="4" w:space="0" w:color="auto"/>
            </w:tcBorders>
          </w:tcPr>
          <w:p w14:paraId="1FFAFFFB">
            <w:pPr>
              <w:pStyle w:val="TableText"/>
            </w:pPr>
            <w:r>
              <w:t xml:space="preserve">The definitive </w:t>
            </w:r>
            <w:r>
              <w:rPr>
                <w:b/>
              </w:rPr>
              <w:t xml:space="preserve">ExpandedNodeId</w:t>
            </w:r>
            <w:r>
              <w:t xml:space="preserve"> (</w:t>
            </w:r>
            <w:r>
              <w:t xml:space="preserve">Section </w:t>
            </w:r>
            <w:r>
              <w:fldChar w:fldCharType="begin"/>
            </w:r>
            <w:r>
              <w:instrText xml:space="preserve"> REF _Clause_c6_2_1_1 \r \h </w:instrText>
            </w:r>
            <w:r>
              <w:fldChar w:fldCharType="separate"/>
            </w:r>
            <w:r>
              <w:rPr>
                <w:noProof/>
              </w:rPr>
              <w:t xml:space="preserve">6.2.1.1</w:t>
            </w:r>
            <w:r>
              <w:fldChar w:fldCharType="end"/>
            </w:r>
            <w:r>
              <w:t xml:space="preserve">) of the external target DataType used to interpret the runtime value.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4F4F6DBF">
            <w:pPr>
              <w:pStyle w:val="TableText"/>
            </w:pPr>
            <w:r>
              <w:rPr>
                <w:rStyle w:val="VARIABLE"/>
              </w:rPr>
              <w:t xml:space="preserve">uav:mapToTypeName</w:t>
            </w:r>
          </w:p>
        </w:tc>
        <w:tc>
          <w:tcPr>
            <w:tcW w:w="2975" w:type="dxa"/>
            <w:tcBorders>
              <w:top w:val="single" w:sz="4" w:space="0" w:color="auto"/>
              <w:left w:val="single" w:sz="4" w:space="0" w:color="auto"/>
              <w:bottom w:val="single" w:sz="4" w:space="0" w:color="auto"/>
              <w:right w:val="single" w:sz="4" w:space="0" w:color="auto"/>
            </w:tcBorders>
          </w:tcPr>
          <w:p w14:paraId="4C85562A">
            <w:pPr>
              <w:pStyle w:val="TableText"/>
            </w:pPr>
            <w:r>
              <w:t xml:space="preserve">string</w:t>
            </w:r>
          </w:p>
        </w:tc>
        <w:tc>
          <w:tcPr>
            <w:tcW w:w="2976" w:type="dxa"/>
            <w:tcBorders>
              <w:top w:val="single" w:sz="4" w:space="0" w:color="auto"/>
              <w:left w:val="single" w:sz="4" w:space="0" w:color="auto"/>
              <w:bottom w:val="single" w:sz="4" w:space="0" w:color="auto"/>
              <w:right w:val="single" w:sz="4" w:space="0" w:color="auto"/>
            </w:tcBorders>
          </w:tcPr>
          <w:p w14:paraId="446FDC72">
            <w:pPr>
              <w:pStyle w:val="TableText"/>
            </w:pPr>
            <w:r>
              <w:t xml:space="preserve">The compact model name (</w:t>
            </w:r>
            <w:r>
              <w:t xml:space="preserve">Section </w:t>
            </w:r>
            <w:r>
              <w:fldChar w:fldCharType="begin"/>
            </w:r>
            <w:r>
              <w:instrText xml:space="preserve"> REF _Clause_c6_2_1_2 \r \h </w:instrText>
            </w:r>
            <w:r>
              <w:fldChar w:fldCharType="separate"/>
            </w:r>
            <w:r>
              <w:rPr>
                <w:noProof/>
              </w:rPr>
              <w:t xml:space="preserve">6.2.1.2</w:t>
            </w:r>
            <w:r>
              <w:fldChar w:fldCharType="end"/>
            </w:r>
            <w:r>
              <w:t xml:space="preserve">) of the same target DataType. Authors </w:t>
            </w:r>
            <w:r>
              <w:rPr>
                <w:b/>
              </w:rPr>
              <w:t xml:space="preserve">should</w:t>
            </w:r>
            <w:r>
              <w:t xml:space="preserve"> provide this semantic hint, but it </w:t>
            </w:r>
            <w:r>
              <w:rPr>
                <w:b/>
              </w:rPr>
              <w:t xml:space="preserve">shall</w:t>
            </w:r>
            <w:r>
              <w:t xml:space="preserve"> be accompanied by </w:t>
            </w:r>
            <w:r>
              <w:rPr>
                <w:rStyle w:val="VARIABLE"/>
              </w:rPr>
              <w:t xml:space="preserve">uav:mapToType</w:t>
            </w:r>
            <w:r>
              <w:t xml:space="preserve"> because field decoding requires definitive DataType identity.</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7A8F29CF">
            <w:pPr>
              <w:pStyle w:val="TableText"/>
            </w:pPr>
            <w:r>
              <w:rPr>
                <w:rStyle w:val="VARIABLE"/>
              </w:rPr>
              <w:t xml:space="preserve">uav:mapByFieldPath</w:t>
            </w:r>
          </w:p>
        </w:tc>
        <w:tc>
          <w:tcPr>
            <w:tcW w:w="2975" w:type="dxa"/>
            <w:tcBorders>
              <w:top w:val="single" w:sz="4" w:space="0" w:color="auto"/>
              <w:left w:val="single" w:sz="4" w:space="0" w:color="auto"/>
              <w:bottom w:val="single" w:sz="4" w:space="0" w:color="auto"/>
              <w:right w:val="single" w:sz="4" w:space="0" w:color="auto"/>
            </w:tcBorders>
          </w:tcPr>
          <w:p w14:paraId="16EF097F">
            <w:pPr>
              <w:pStyle w:val="TableText"/>
            </w:pPr>
            <w:r>
              <w:t xml:space="preserve">string</w:t>
            </w:r>
          </w:p>
        </w:tc>
        <w:tc>
          <w:tcPr>
            <w:tcW w:w="2976" w:type="dxa"/>
            <w:tcBorders>
              <w:top w:val="single" w:sz="4" w:space="0" w:color="auto"/>
              <w:left w:val="single" w:sz="4" w:space="0" w:color="auto"/>
              <w:bottom w:val="single" w:sz="4" w:space="0" w:color="auto"/>
              <w:right w:val="single" w:sz="4" w:space="0" w:color="auto"/>
            </w:tcBorders>
          </w:tcPr>
          <w:p w14:paraId="6FF250F4">
            <w:pPr>
              <w:pStyle w:val="TableText"/>
            </w:pPr>
            <w:r>
              <w:t xml:space="preserve">Used only together with </w:t>
            </w:r>
            <w:r>
              <w:rPr>
                <w:rStyle w:val="VARIABLE"/>
              </w:rPr>
              <w:t xml:space="preserve">uav:mapToType</w:t>
            </w:r>
            <w:r>
              <w:t xml:space="preserve">. When the target type is a Structure, names the field within that type to which the runtime data maps.</w:t>
            </w:r>
          </w:p>
        </w:tc>
      </w:tr>
    </w:tbl>
    <w:p w14:paraId="064C61F5">
      <w:pPr>
        <w:pStyle w:val="spacer"/>
      </w:pPr>
    </w:p>
    <w:p w14:paraId="682712F5">
      <w:pPr>
        <w:pStyle w:val="CODE"/>
      </w:pPr>
      <w:r>
        <w:t xml:space="preserve">"uav:mapToTypeName": "pump:MeasurementDataType",</w:t>
      </w:r>
    </w:p>
    <w:p w14:paraId="5F0B535D">
      <w:pPr>
        <w:pStyle w:val="CODE"/>
      </w:pPr>
      <w:r>
        <w:t xml:space="preserve">"uav:mapToType": "nsu=http://example.com/demo/pump;i=3010",</w:t>
      </w:r>
    </w:p>
    <w:p w14:paraId="01A8B8E5">
      <w:pPr>
        <w:pStyle w:val="CODE"/>
      </w:pPr>
      <w:r>
        <w:t xml:space="preserve">"uav:mapByFieldPath": "Value"</w:t>
      </w:r>
    </w:p>
    <w:p w14:paraId="1A86E55E">
      <w:pPr>
        <w:pStyle w:val="PARAGRAPH"/>
      </w:pPr>
      <w:r>
        <w:rPr>
          <w:i/>
        </w:rPr>
        <w:t xml:space="preserve">Explanation.</w:t>
      </w:r>
      <w:r>
        <w:t xml:space="preserve"> The compact name conveys which DataType concept is intended; the ExpandedNodeId remains mandatory and definitive for runtime DataType resolution and field decoding.</w:t>
      </w:r>
    </w:p>
    <w:p w14:paraId="25F64C2F">
      <w:pPr>
        <w:pStyle w:val="Heading3"/>
      </w:pPr>
      <w:bookmarkStart w:id="492" w:name="_Clause_c6_2_5"/>
      <w:r>
        <w:t xml:space="preserve">URI, base and href rules</w:t>
      </w:r>
      <w:bookmarkEnd w:id="492"/>
    </w:p>
    <w:p w14:paraId="0D162925">
      <w:pPr>
        <w:pStyle w:val="PARAGRAPH"/>
      </w:pPr>
      <w:r>
        <w:t xml:space="preserve">The OPC UA client/server address of a Thing follows this grammar:</w:t>
      </w:r>
    </w:p>
    <w:p w14:paraId="4ECD16F5">
      <w:pPr>
        <w:pStyle w:val="CODE"/>
      </w:pPr>
      <w:r>
        <w:t xml:space="preserve">opc.tcp://&lt;address&gt;:&lt;port&gt;[/&lt;resourcePath&gt;]/?id=&lt;nodeId&gt;</w:t>
      </w:r>
    </w:p>
    <w:p w14:paraId="05BDABE7">
      <w:pPr>
        <w:pStyle w:val="PARAGRAPH"/>
      </w:pPr>
      <w:r>
        <w:t xml:space="preserve">where </w:t>
      </w:r>
      <w:r>
        <w:rPr>
          <w:rStyle w:val="VARIABLE"/>
        </w:rPr>
        <w:t xml:space="preserve">&lt;address&gt;</w:t>
      </w:r>
      <w:r>
        <w:t xml:space="preserve"> is the Server endpoint address, </w:t>
      </w:r>
      <w:r>
        <w:rPr>
          <w:rStyle w:val="VARIABLE"/>
        </w:rPr>
        <w:t xml:space="preserve">&lt;port&gt;</w:t>
      </w:r>
      <w:r>
        <w:t xml:space="preserve"> is the Server port, </w:t>
      </w:r>
      <w:r>
        <w:rPr>
          <w:rStyle w:val="VARIABLE"/>
        </w:rPr>
        <w:t xml:space="preserve">&lt;resourcePath&gt;</w:t>
      </w:r>
      <w:r>
        <w:t xml:space="preserve"> is an optional endpoint resource path, and </w:t>
      </w:r>
      <w:r>
        <w:rPr>
          <w:rStyle w:val="VARIABLE"/>
        </w:rPr>
        <w:t xml:space="preserve">&lt;nodeId&gt;</w:t>
      </w:r>
      <w:r>
        <w:t xml:space="preserve"> is the target Node identity, written as an </w:t>
      </w:r>
      <w:r>
        <w:rPr>
          <w:b/>
        </w:rPr>
        <w:t xml:space="preserve">ExpandedNodeId</w:t>
      </w:r>
      <w:r>
        <w:t xml:space="preserve"> (</w:t>
      </w:r>
      <w:r>
        <w:t xml:space="preserve">Section </w:t>
      </w:r>
      <w:r>
        <w:fldChar w:fldCharType="begin"/>
      </w:r>
      <w:r>
        <w:instrText xml:space="preserve"> REF _Clause_c6_2_1_1 \r \h </w:instrText>
      </w:r>
      <w:r>
        <w:fldChar w:fldCharType="separate"/>
      </w:r>
      <w:r>
        <w:rPr>
          <w:noProof/>
        </w:rPr>
        <w:t xml:space="preserve">6.2.1.1</w:t>
      </w:r>
      <w:r>
        <w:fldChar w:fldCharType="end"/>
      </w:r>
      <w:r>
        <w:t xml:space="preserve">).</w:t>
      </w:r>
    </w:p>
    <w:p w14:paraId="1FC1E825">
      <w:pPr>
        <w:pStyle w:val="PARAGRAPH"/>
      </w:pPr>
      <w:r>
        <w:t xml:space="preserve">The following percent-encoding rules </w:t>
      </w:r>
      <w:r>
        <w:rPr>
          <w:b/>
        </w:rPr>
        <w:t xml:space="preserve">shall</w:t>
      </w:r>
      <w:r>
        <w:t xml:space="preserve"> be applied to </w:t>
      </w:r>
      <w:r>
        <w:rPr>
          <w:rStyle w:val="VARIABLE"/>
        </w:rPr>
        <w:t xml:space="preserve">&lt;nodeId&gt;</w:t>
      </w:r>
      <w:r>
        <w:t xml:space="preserve"> to keep the URI unambiguous under RFC 3986: every </w:t>
      </w:r>
      <w:r>
        <w:rPr>
          <w:rStyle w:val="VARIABLE"/>
        </w:rPr>
        <w:t xml:space="preserve">#</w:t>
      </w:r>
      <w:r>
        <w:t xml:space="preserve"> </w:t>
      </w:r>
      <w:r>
        <w:rPr>
          <w:b/>
        </w:rPr>
        <w:t xml:space="preserve">shall</w:t>
      </w:r>
      <w:r>
        <w:t xml:space="preserve"> be written as </w:t>
      </w:r>
      <w:r>
        <w:rPr>
          <w:rStyle w:val="VARIABLE"/>
        </w:rPr>
        <w:t xml:space="preserve">%23</w:t>
      </w:r>
      <w:r>
        <w:t xml:space="preserve"> and every </w:t>
      </w:r>
      <w:r>
        <w:rPr>
          <w:rStyle w:val="VARIABLE"/>
        </w:rPr>
        <w:t xml:space="preserve">&amp;</w:t>
      </w:r>
      <w:r>
        <w:t xml:space="preserve"> </w:t>
      </w:r>
      <w:r>
        <w:rPr>
          <w:b/>
        </w:rPr>
        <w:t xml:space="preserve">shall</w:t>
      </w:r>
      <w:r>
        <w:t xml:space="preserve"> be written as </w:t>
      </w:r>
      <w:r>
        <w:rPr>
          <w:rStyle w:val="VARIABLE"/>
        </w:rPr>
        <w:t xml:space="preserve">%26</w:t>
      </w:r>
      <w:r>
        <w:t xml:space="preserve">. When the whole URI is transmitted, all non-ASCII characters </w:t>
      </w:r>
      <w:r>
        <w:rPr>
          <w:b/>
        </w:rPr>
        <w:t xml:space="preserve">shall</w:t>
      </w:r>
      <w:r>
        <w:t xml:space="preserve"> first be encoded as UTF-8 bytes and each byte then percent-encoded. These rules apply to the whole ExpandedNodeId, including the characters of an </w:t>
      </w:r>
      <w:r>
        <w:rPr>
          <w:rStyle w:val="VARIABLE"/>
        </w:rPr>
        <w:t xml:space="preserve">nsu=http://opcfoundation.org/UA/WoT-Binding/</w:t>
      </w:r>
      <w:r>
        <w:t xml:space="preserve"> prefix.</w:t>
      </w:r>
    </w:p>
    <w:p w14:paraId="333D6C2E">
      <w:pPr>
        <w:pStyle w:val="PARAGRAPH"/>
      </w:pPr>
      <w:r>
        <w:t xml:space="preserve">The address may be given whole in a form </w:t>
      </w:r>
      <w:r>
        <w:rPr>
          <w:rStyle w:val="VARIABLE"/>
        </w:rPr>
        <w:t xml:space="preserve">href</w:t>
      </w:r>
      <w:r>
        <w:t xml:space="preserve">, or split into the Thing-level </w:t>
      </w:r>
      <w:r>
        <w:rPr>
          <w:rStyle w:val="VARIABLE"/>
        </w:rPr>
        <w:t xml:space="preserve">base</w:t>
      </w:r>
      <w:r>
        <w:t xml:space="preserve"> (the Server location only) and a per-form </w:t>
      </w:r>
      <w:r>
        <w:rPr>
          <w:rStyle w:val="VARIABLE"/>
        </w:rPr>
        <w:t xml:space="preserve">href</w:t>
      </w:r>
      <w:r>
        <w:t xml:space="preserve"> that is relative to </w:t>
      </w:r>
      <w:r>
        <w:rPr>
          <w:rStyle w:val="VARIABLE"/>
        </w:rPr>
        <w:t xml:space="preserve">base</w:t>
      </w:r>
      <w:r>
        <w:t xml:space="preserve"> and carries only the </w:t>
      </w:r>
      <w:r>
        <w:rPr>
          <w:rStyle w:val="VARIABLE"/>
        </w:rPr>
        <w:t xml:space="preserve">?id=</w:t>
      </w:r>
      <w:r>
        <w:t xml:space="preserve"> fragment. The </w:t>
      </w:r>
      <w:r>
        <w:rPr>
          <w:rStyle w:val="VARIABLE"/>
        </w:rPr>
        <w:t xml:space="preserve">&lt;nodeId&gt;</w:t>
      </w:r>
      <w:r>
        <w:t xml:space="preserve"> in </w:t>
      </w:r>
      <w:r>
        <w:rPr>
          <w:rStyle w:val="VARIABLE"/>
        </w:rPr>
        <w:t xml:space="preserve">?id=</w:t>
      </w:r>
      <w:r>
        <w:t xml:space="preserve"> </w:t>
      </w:r>
      <w:r>
        <w:rPr>
          <w:b/>
        </w:rPr>
        <w:t xml:space="preserve">shall</w:t>
      </w:r>
      <w:r>
        <w:t xml:space="preserve"> be the same portable ExpandedNodeId form required by </w:t>
      </w:r>
      <w:r>
        <w:t xml:space="preserve">Section </w:t>
      </w:r>
      <w:r>
        <w:fldChar w:fldCharType="begin"/>
      </w:r>
      <w:r>
        <w:instrText xml:space="preserve"> REF _Clause_c6_2_1_1 \r \h </w:instrText>
      </w:r>
      <w:r>
        <w:fldChar w:fldCharType="separate"/>
      </w:r>
      <w:r>
        <w:rPr>
          <w:noProof/>
        </w:rPr>
        <w:t xml:space="preserve">6.2.1.1</w:t>
      </w:r>
      <w:r>
        <w:fldChar w:fldCharType="end"/>
      </w:r>
      <w:r>
        <w:t xml:space="preserve">, for example </w:t>
      </w:r>
      <w:r>
        <w:rPr>
          <w:rStyle w:val="VARIABLE"/>
        </w:rPr>
        <w:t xml:space="preserve">href: "/?id=nsu=http://example.com/demo/pump;s=PumpSpeed"</w:t>
      </w:r>
      <w:r>
        <w:t xml:space="preserve">; a document </w:t>
      </w:r>
      <w:r>
        <w:rPr>
          <w:b/>
        </w:rPr>
        <w:t xml:space="preserve">shall not</w:t>
      </w:r>
      <w:r>
        <w:t xml:space="preserve"> use the session-local </w:t>
      </w:r>
      <w:r>
        <w:rPr>
          <w:rStyle w:val="VARIABLE"/>
        </w:rPr>
        <w:t xml:space="preserve">ns=&lt;index&gt;</w:t>
      </w:r>
      <w:r>
        <w:t xml:space="preserve"> form here. A client resolves the </w:t>
      </w:r>
      <w:r>
        <w:rPr>
          <w:rStyle w:val="VARIABLE"/>
        </w:rPr>
        <w:t xml:space="preserve">nsu=http://opcfoundation.org/UA/WoT-Binding/</w:t>
      </w:r>
      <w:r>
        <w:t xml:space="preserve"> to the addressed Server's current namespace index (</w:t>
      </w:r>
      <w:r>
        <w:t xml:space="preserve">Section </w:t>
      </w:r>
      <w:r>
        <w:fldChar w:fldCharType="begin"/>
      </w:r>
      <w:r>
        <w:instrText xml:space="preserve"> REF _Clause_c6_2_8 \r \h </w:instrText>
      </w:r>
      <w:r>
        <w:fldChar w:fldCharType="separate"/>
      </w:r>
      <w:r>
        <w:rPr>
          <w:noProof/>
        </w:rPr>
        <w:t xml:space="preserve">6.2.8</w:t>
      </w:r>
      <w:r>
        <w:fldChar w:fldCharType="end"/>
      </w:r>
      <w:r>
        <w:t xml:space="preserve">) at session establishment, so the reference survives a namespace-table reordering. A Node in the base OPC UA namespace </w:t>
      </w:r>
      <w:r>
        <w:rPr>
          <w:b/>
        </w:rPr>
        <w:t xml:space="preserve">may</w:t>
      </w:r>
      <w:r>
        <w:t xml:space="preserve"> use the canonical </w:t>
      </w:r>
      <w:r>
        <w:rPr>
          <w:rStyle w:val="VARIABLE"/>
        </w:rPr>
        <w:t xml:space="preserve">i=&lt;id&gt;</w:t>
      </w:r>
      <w:r>
        <w:t xml:space="preserve"> form.</w:t>
      </w:r>
    </w:p>
    <w:p w14:paraId="66237FD1">
      <w:pPr>
        <w:pStyle w:val="Heading3"/>
      </w:pPr>
      <w:bookmarkStart w:id="493" w:name="_Clause_c6_2_6"/>
      <w:r>
        <w:t xml:space="preserve">Service mappings</w:t>
      </w:r>
      <w:bookmarkEnd w:id="493"/>
    </w:p>
    <w:p w14:paraId="57FEBDA3">
      <w:pPr>
        <w:pStyle w:val="PARAGRAPH"/>
      </w:pPr>
      <w:r>
        <w:t xml:space="preserve">The OPC UA Service that an interaction uses is expressed by the standard WoT </w:t>
      </w:r>
      <w:r>
        <w:rPr>
          <w:rStyle w:val="VARIABLE"/>
        </w:rPr>
        <w:t xml:space="preserve">op</w:t>
      </w:r>
      <w:r>
        <w:t xml:space="preserve"> term. The mapping is fixed:</w:t>
      </w:r>
    </w:p>
    <w:p w14:paraId="4D646B52">
      <w:pPr>
        <w:pStyle w:val="TABLE-title"/>
        <w:keepNext/>
      </w:pPr>
      <w:bookmarkStart w:id="494" w:name="_Tab_service_mappings_tab1"/>
      <w:r>
        <w:t xml:space="preserve">Table </w:t>
      </w:r>
      <w:r>
        <w:fldChar w:fldCharType="begin"/>
      </w:r>
      <w:r>
        <w:instrText xml:space="preserve"> SEQ Table \* ARABIC </w:instrText>
      </w:r>
      <w:r>
        <w:fldChar w:fldCharType="separate"/>
      </w:r>
      <w:r>
        <w:rPr>
          <w:noProof/>
        </w:rPr>
        <w:t xml:space="preserve">5</w:t>
      </w:r>
      <w:r>
        <w:fldChar w:fldCharType="end"/>
      </w:r>
      <w:r>
        <w:t xml:space="preserve"> – Service mappings</w:t>
      </w:r>
      <w:bookmarkEnd w:id="4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7ECEE558">
            <w:pPr>
              <w:pStyle w:val="TableText"/>
            </w:pPr>
            <w:r>
              <w:rPr>
                <w:rStyle w:val="VARIABLE"/>
              </w:rPr>
              <w:t xml:space="preserve">op</w:t>
            </w:r>
            <w:r>
              <w:t xml:space="preserve"> value</w:t>
            </w:r>
          </w:p>
        </w:tc>
        <w:tc>
          <w:tcPr>
            <w:tcW w:w="4463" w:type="dxa"/>
            <w:tcBorders>
              <w:top w:val="single" w:sz="4" w:space="0" w:color="auto"/>
              <w:left w:val="single" w:sz="4" w:space="0" w:color="auto"/>
              <w:bottom w:val="double" w:sz="4" w:space="0" w:color="auto"/>
              <w:right w:val="single" w:sz="4" w:space="0" w:color="auto"/>
            </w:tcBorders>
          </w:tcPr>
          <w:p w14:paraId="20EAE78D">
            <w:pPr>
              <w:pStyle w:val="TableText"/>
            </w:pPr>
            <w:r>
              <w:t xml:space="preserve">OPC UA Service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849C5A1">
            <w:pPr>
              <w:pStyle w:val="TableText"/>
            </w:pPr>
            <w:r>
              <w:rPr>
                <w:rStyle w:val="VARIABLE"/>
              </w:rPr>
              <w:t xml:space="preserve">readproperty</w:t>
            </w:r>
          </w:p>
        </w:tc>
        <w:tc>
          <w:tcPr>
            <w:tcW w:w="4463" w:type="dxa"/>
            <w:tcBorders>
              <w:top w:val="single" w:sz="4" w:space="0" w:color="auto"/>
              <w:left w:val="single" w:sz="4" w:space="0" w:color="auto"/>
              <w:bottom w:val="single" w:sz="4" w:space="0" w:color="auto"/>
              <w:right w:val="single" w:sz="4" w:space="0" w:color="auto"/>
            </w:tcBorders>
          </w:tcPr>
          <w:p w14:paraId="0EBDFDC5">
            <w:pPr>
              <w:pStyle w:val="TableText"/>
            </w:pPr>
            <w:r>
              <w:t xml:space="preserve">Read</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B0A98CF">
            <w:pPr>
              <w:pStyle w:val="TableText"/>
            </w:pPr>
            <w:r>
              <w:rPr>
                <w:rStyle w:val="VARIABLE"/>
              </w:rPr>
              <w:t xml:space="preserve">writeproperty</w:t>
            </w:r>
          </w:p>
        </w:tc>
        <w:tc>
          <w:tcPr>
            <w:tcW w:w="4463" w:type="dxa"/>
            <w:tcBorders>
              <w:top w:val="single" w:sz="4" w:space="0" w:color="auto"/>
              <w:left w:val="single" w:sz="4" w:space="0" w:color="auto"/>
              <w:bottom w:val="single" w:sz="4" w:space="0" w:color="auto"/>
              <w:right w:val="single" w:sz="4" w:space="0" w:color="auto"/>
            </w:tcBorders>
          </w:tcPr>
          <w:p w14:paraId="4E9A3938">
            <w:pPr>
              <w:pStyle w:val="TableText"/>
            </w:pPr>
            <w:r>
              <w:t xml:space="preserve">Write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D59A12E">
            <w:pPr>
              <w:pStyle w:val="TableText"/>
            </w:pPr>
            <w:r>
              <w:rPr>
                <w:rStyle w:val="VARIABLE"/>
              </w:rPr>
              <w:t xml:space="preserve">observeproperty</w:t>
            </w:r>
          </w:p>
        </w:tc>
        <w:tc>
          <w:tcPr>
            <w:tcW w:w="4463" w:type="dxa"/>
            <w:tcBorders>
              <w:top w:val="single" w:sz="4" w:space="0" w:color="auto"/>
              <w:left w:val="single" w:sz="4" w:space="0" w:color="auto"/>
              <w:bottom w:val="single" w:sz="4" w:space="0" w:color="auto"/>
              <w:right w:val="single" w:sz="4" w:space="0" w:color="auto"/>
            </w:tcBorders>
          </w:tcPr>
          <w:p w14:paraId="2D71A36E">
            <w:pPr>
              <w:pStyle w:val="TableText"/>
            </w:pPr>
            <w:r>
              <w:t xml:space="preserve">Monitor (a Subscription MonitoredItem, per OPC 10000-4)</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C9C778B">
            <w:pPr>
              <w:pStyle w:val="TableText"/>
            </w:pPr>
            <w:r>
              <w:rPr>
                <w:rStyle w:val="VARIABLE"/>
              </w:rPr>
              <w:t xml:space="preserve">invokeaction</w:t>
            </w:r>
          </w:p>
        </w:tc>
        <w:tc>
          <w:tcPr>
            <w:tcW w:w="4463" w:type="dxa"/>
            <w:tcBorders>
              <w:top w:val="single" w:sz="4" w:space="0" w:color="auto"/>
              <w:left w:val="single" w:sz="4" w:space="0" w:color="auto"/>
              <w:bottom w:val="single" w:sz="4" w:space="0" w:color="auto"/>
              <w:right w:val="single" w:sz="4" w:space="0" w:color="auto"/>
            </w:tcBorders>
          </w:tcPr>
          <w:p w14:paraId="6989BB8B">
            <w:pPr>
              <w:pStyle w:val="TableText"/>
            </w:pPr>
            <w:r>
              <w:t xml:space="preserve">Call</w:t>
            </w:r>
          </w:p>
        </w:tc>
      </w:tr>
    </w:tbl>
    <w:p w14:paraId="65BF8714">
      <w:pPr>
        <w:pStyle w:val="spacer"/>
      </w:pPr>
    </w:p>
    <w:p w14:paraId="6913AE3B">
      <w:pPr>
        <w:pStyle w:val="PARAGRAPH"/>
      </w:pPr>
      <w:r>
        <w:t xml:space="preserve">When the Server's default serialization is used, a form's </w:t>
      </w:r>
      <w:r>
        <w:rPr>
          <w:rStyle w:val="VARIABLE"/>
        </w:rPr>
        <w:t xml:space="preserve">contentType</w:t>
      </w:r>
      <w:r>
        <w:t xml:space="preserve"> </w:t>
      </w:r>
      <w:r>
        <w:rPr>
          <w:b/>
        </w:rPr>
        <w:t xml:space="preserve">should</w:t>
      </w:r>
      <w:r>
        <w:t xml:space="preserve"> be </w:t>
      </w:r>
      <w:r>
        <w:rPr>
          <w:rStyle w:val="VARIABLE"/>
        </w:rPr>
        <w:t xml:space="preserve">application/octet-stream</w:t>
      </w:r>
      <w:r>
        <w:t xml:space="preserve">.</w:t>
      </w:r>
    </w:p>
    <w:p w14:paraId="709106E4">
      <w:pPr>
        <w:pStyle w:val="PARAGRAPH"/>
      </w:pPr>
      <w:r>
        <w:t xml:space="preserve">Access is expressed with the standard WoT DataSchema and PropertyAffordance terms: a readable Variable carries </w:t>
      </w:r>
      <w:r>
        <w:rPr>
          <w:rStyle w:val="VARIABLE"/>
        </w:rPr>
        <w:t xml:space="preserve">readproperty</w:t>
      </w:r>
      <w:r>
        <w:t xml:space="preserve"> and, when subscribable, </w:t>
      </w:r>
      <w:r>
        <w:rPr>
          <w:rStyle w:val="VARIABLE"/>
        </w:rPr>
        <w:t xml:space="preserve">observeproperty</w:t>
      </w:r>
      <w:r>
        <w:t xml:space="preserve"> with </w:t>
      </w:r>
      <w:r>
        <w:rPr>
          <w:rStyle w:val="VARIABLE"/>
        </w:rPr>
        <w:t xml:space="preserve">observable: true</w:t>
      </w:r>
      <w:r>
        <w:t xml:space="preserve">; a read-only Variable sets </w:t>
      </w:r>
      <w:r>
        <w:rPr>
          <w:rStyle w:val="VARIABLE"/>
        </w:rPr>
        <w:t xml:space="preserve">readOnly: true</w:t>
      </w:r>
      <w:r>
        <w:t xml:space="preserve">; a writable Variable carries </w:t>
      </w:r>
      <w:r>
        <w:rPr>
          <w:rStyle w:val="VARIABLE"/>
        </w:rPr>
        <w:t xml:space="preserve">writeproperty</w:t>
      </w:r>
      <w:r>
        <w:t xml:space="preserve">; a write-only Variable sets </w:t>
      </w:r>
      <w:r>
        <w:rPr>
          <w:rStyle w:val="VARIABLE"/>
        </w:rPr>
        <w:t xml:space="preserve">writeOnly: true</w:t>
      </w:r>
      <w:r>
        <w:t xml:space="preserve">.</w:t>
      </w:r>
    </w:p>
    <w:p w14:paraId="723B7405">
      <w:pPr>
        <w:pStyle w:val="Heading3"/>
      </w:pPr>
      <w:bookmarkStart w:id="495" w:name="_Clause_c6_2_7"/>
      <w:r>
        <w:t xml:space="preserve">Security schemes</w:t>
      </w:r>
      <w:bookmarkEnd w:id="495"/>
    </w:p>
    <w:p w14:paraId="143B17AC">
      <w:pPr>
        <w:pStyle w:val="PARAGRAPH"/>
      </w:pPr>
      <w:r>
        <w:t xml:space="preserve">An OPC UA Server's endpoint security may be described implicitly with the standard WoT schemes or explicitly with the OPC UA schemes.</w:t>
      </w:r>
    </w:p>
    <w:p w14:paraId="62A76FD5">
      <w:pPr>
        <w:pStyle w:val="ListBullet"/>
        <w:numPr>
          <w:ilvl w:val="0"/>
          <w:numId w:val="21"/>
        </w:numPr>
      </w:pPr>
      <w:r>
        <w:rPr>
          <w:rStyle w:val="VARIABLE"/>
        </w:rPr>
        <w:t xml:space="preserve">nosec</w:t>
      </w:r>
      <w:r>
        <w:t xml:space="preserve"> — the standard WoT scheme, used when the Server offers a single endpoint with </w:t>
      </w:r>
      <w:r>
        <w:rPr>
          <w:rStyle w:val="VARIABLE"/>
        </w:rPr>
        <w:t xml:space="preserve">securityMode</w:t>
      </w:r>
      <w:r>
        <w:t xml:space="preserve"> </w:t>
      </w:r>
      <w:r>
        <w:rPr>
          <w:rStyle w:val="VARIABLE"/>
        </w:rPr>
        <w:t xml:space="preserve">None</w:t>
      </w:r>
      <w:r>
        <w:t xml:space="preserve"> and </w:t>
      </w:r>
      <w:r>
        <w:rPr>
          <w:rStyle w:val="VARIABLE"/>
        </w:rPr>
        <w:t xml:space="preserve">securityPolicy</w:t>
      </w:r>
      <w:r>
        <w:t xml:space="preserve"> </w:t>
      </w:r>
      <w:r>
        <w:rPr>
          <w:rStyle w:val="VARIABLE"/>
        </w:rPr>
        <w:t xml:space="preserve">None</w:t>
      </w:r>
      <w:r>
        <w:t xml:space="preserve">.</w:t>
      </w:r>
    </w:p>
    <w:p w14:paraId="4CA62578">
      <w:pPr>
        <w:pStyle w:val="ListBullet"/>
        <w:numPr>
          <w:ilvl w:val="0"/>
          <w:numId w:val="21"/>
        </w:numPr>
      </w:pPr>
      <w:r>
        <w:rPr>
          <w:rStyle w:val="VARIABLE"/>
        </w:rPr>
        <w:t xml:space="preserve">auto</w:t>
      </w:r>
      <w:r>
        <w:t xml:space="preserve"> — the standard WoT scheme, used to signal that the Server offers several endpoints and the client is expected to call </w:t>
      </w:r>
      <w:r>
        <w:rPr>
          <w:rStyle w:val="VARIABLE"/>
        </w:rPr>
        <w:t xml:space="preserve">GetEndpoints</w:t>
      </w:r>
      <w:r>
        <w:t xml:space="preserve"> and choose one during session establishment.</w:t>
      </w:r>
    </w:p>
    <w:p w14:paraId="52922F05">
      <w:pPr>
        <w:pStyle w:val="ListBullet"/>
        <w:numPr>
          <w:ilvl w:val="0"/>
          <w:numId w:val="21"/>
        </w:numPr>
      </w:pPr>
      <w:r>
        <w:rPr>
          <w:rStyle w:val="VARIABLE"/>
        </w:rPr>
        <w:t xml:space="preserve">uav:channelsec</w:t>
      </w:r>
      <w:r>
        <w:t xml:space="preserve"> — the OPC UA secure-channel scheme. It carries </w:t>
      </w:r>
      <w:r>
        <w:rPr>
          <w:rStyle w:val="VARIABLE"/>
        </w:rPr>
        <w:t xml:space="preserve">uav:securityMode</w:t>
      </w:r>
      <w:r>
        <w:t xml:space="preserve"> (one of </w:t>
      </w:r>
      <w:r>
        <w:rPr>
          <w:rStyle w:val="VARIABLE"/>
        </w:rPr>
        <w:t xml:space="preserve">None</w:t>
      </w:r>
      <w:r>
        <w:t xml:space="preserve">, </w:t>
      </w:r>
      <w:r>
        <w:rPr>
          <w:rStyle w:val="VARIABLE"/>
        </w:rPr>
        <w:t xml:space="preserve">Sign</w:t>
      </w:r>
      <w:r>
        <w:t xml:space="preserve">, </w:t>
      </w:r>
      <w:r>
        <w:rPr>
          <w:rStyle w:val="VARIABLE"/>
        </w:rPr>
        <w:t xml:space="preserve">SignAndEncrypt</w:t>
      </w:r>
      <w:r>
        <w:t xml:space="preserve">) and </w:t>
      </w:r>
      <w:r>
        <w:rPr>
          <w:rStyle w:val="VARIABLE"/>
        </w:rPr>
        <w:t xml:space="preserve">uav:securityPolicy</w:t>
      </w:r>
      <w:r>
        <w:t xml:space="preserve"> (one of </w:t>
      </w:r>
      <w:r>
        <w:rPr>
          <w:rStyle w:val="VARIABLE"/>
        </w:rPr>
        <w:t xml:space="preserve">None</w:t>
      </w:r>
      <w:r>
        <w:t xml:space="preserve">, </w:t>
      </w:r>
      <w:r>
        <w:rPr>
          <w:rStyle w:val="VARIABLE"/>
        </w:rPr>
        <w:t xml:space="preserve">Basic256Sha256</w:t>
      </w:r>
      <w:r>
        <w:t xml:space="preserve">, </w:t>
      </w:r>
      <w:r>
        <w:rPr>
          <w:rStyle w:val="VARIABLE"/>
        </w:rPr>
        <w:t xml:space="preserve">Aes128_Sha256_RsaOaep</w:t>
      </w:r>
      <w:r>
        <w:t xml:space="preserve">, </w:t>
      </w:r>
      <w:r>
        <w:rPr>
          <w:rStyle w:val="VARIABLE"/>
        </w:rPr>
        <w:t xml:space="preserve">Aes256_Sha256_RsaPss</w:t>
      </w:r>
      <w:r>
        <w:t xml:space="preserve">; the outdated </w:t>
      </w:r>
      <w:r>
        <w:rPr>
          <w:rStyle w:val="VARIABLE"/>
        </w:rPr>
        <w:t xml:space="preserve">Basic256</w:t>
      </w:r>
      <w:r>
        <w:t xml:space="preserve"> and </w:t>
      </w:r>
      <w:r>
        <w:rPr>
          <w:rStyle w:val="VARIABLE"/>
        </w:rPr>
        <w:t xml:space="preserve">Basic128Rsa15</w:t>
      </w:r>
      <w:r>
        <w:t xml:space="preserve"> remain permitted but are not recommended).</w:t>
      </w:r>
    </w:p>
    <w:p w14:paraId="369DD552">
      <w:pPr>
        <w:pStyle w:val="ListBullet"/>
        <w:numPr>
          <w:ilvl w:val="0"/>
          <w:numId w:val="21"/>
        </w:numPr>
      </w:pPr>
      <w:r>
        <w:rPr>
          <w:rStyle w:val="VARIABLE"/>
        </w:rPr>
        <w:t xml:space="preserve">uav:authentication</w:t>
      </w:r>
      <w:r>
        <w:t xml:space="preserve"> — the OPC UA user-authentication scheme. It carries </w:t>
      </w:r>
      <w:r>
        <w:rPr>
          <w:rStyle w:val="VARIABLE"/>
        </w:rPr>
        <w:t xml:space="preserve">uav:userIdentityToken</w:t>
      </w:r>
      <w:r>
        <w:t xml:space="preserve"> (one of </w:t>
      </w:r>
      <w:r>
        <w:rPr>
          <w:rStyle w:val="VARIABLE"/>
        </w:rPr>
        <w:t xml:space="preserve">Anonymous</w:t>
      </w:r>
      <w:r>
        <w:t xml:space="preserve">, </w:t>
      </w:r>
      <w:r>
        <w:rPr>
          <w:rStyle w:val="VARIABLE"/>
        </w:rPr>
        <w:t xml:space="preserve">UserName</w:t>
      </w:r>
      <w:r>
        <w:t xml:space="preserve">, </w:t>
      </w:r>
      <w:r>
        <w:rPr>
          <w:rStyle w:val="VARIABLE"/>
        </w:rPr>
        <w:t xml:space="preserve">Certificate</w:t>
      </w:r>
      <w:r>
        <w:t xml:space="preserve">, </w:t>
      </w:r>
      <w:r>
        <w:rPr>
          <w:rStyle w:val="VARIABLE"/>
        </w:rPr>
        <w:t xml:space="preserve">IssuedToken</w:t>
      </w:r>
      <w:r>
        <w:t xml:space="preserve">) and, when the token is </w:t>
      </w:r>
      <w:r>
        <w:rPr>
          <w:rStyle w:val="VARIABLE"/>
        </w:rPr>
        <w:t xml:space="preserve">IssuedToken</w:t>
      </w:r>
      <w:r>
        <w:t xml:space="preserve">, an optional </w:t>
      </w:r>
      <w:r>
        <w:rPr>
          <w:rStyle w:val="VARIABLE"/>
        </w:rPr>
        <w:t xml:space="preserve">uav:issueToken</w:t>
      </w:r>
      <w:r>
        <w:t xml:space="preserve"> that references another security scheme (for example an </w:t>
      </w:r>
      <w:r>
        <w:rPr>
          <w:rStyle w:val="VARIABLE"/>
        </w:rPr>
        <w:t xml:space="preserve">oauth2</w:t>
      </w:r>
      <w:r>
        <w:t xml:space="preserve"> scheme) in the same document.</w:t>
      </w:r>
    </w:p>
    <w:p w14:paraId="6BCEFBBF">
      <w:pPr>
        <w:pStyle w:val="PARAGRAPH"/>
      </w:pPr>
      <w:r>
        <w:t xml:space="preserve">The two OPC UA schemes are combined with the standard WoT </w:t>
      </w:r>
      <w:r>
        <w:rPr>
          <w:rStyle w:val="VARIABLE"/>
        </w:rPr>
        <w:t xml:space="preserve">combo</w:t>
      </w:r>
      <w:r>
        <w:t xml:space="preserve"> scheme using </w:t>
      </w:r>
      <w:r>
        <w:rPr>
          <w:rStyle w:val="VARIABLE"/>
        </w:rPr>
        <w:t xml:space="preserve">allOf</w:t>
      </w:r>
      <w:r>
        <w:t xml:space="preserve">. Credentials such as passwords and certificates are never carried in a Thing Description; they are supplied out of band. A worked example is </w:t>
      </w:r>
      <w:r>
        <w:rPr>
          <w:rStyle w:val="VARIABLE"/>
        </w:rPr>
        <w:t xml:space="preserve">examples/01-opcua-td-pump.jsonld</w:t>
      </w:r>
      <w:r>
        <w:t xml:space="preserve">.</w:t>
      </w:r>
    </w:p>
    <w:p w14:paraId="345F52E9">
      <w:pPr>
        <w:pStyle w:val="Heading3"/>
      </w:pPr>
      <w:bookmarkStart w:id="496" w:name="_Clause_c6_2_8"/>
      <w:r>
        <w:t xml:space="preserve">Namespaces in the context</w:t>
      </w:r>
      <w:bookmarkEnd w:id="496"/>
    </w:p>
    <w:p w14:paraId="2A7E3826">
      <w:pPr>
        <w:pStyle w:val="PARAGRAPH"/>
      </w:pPr>
      <w:r>
        <w:t xml:space="preserve">Every NamespaceUri used by a compact model name (</w:t>
      </w:r>
      <w:r>
        <w:t xml:space="preserve">Section </w:t>
      </w:r>
      <w:r>
        <w:fldChar w:fldCharType="begin"/>
      </w:r>
      <w:r>
        <w:instrText xml:space="preserve"> REF _Clause_c6_2_1_2 \r \h </w:instrText>
      </w:r>
      <w:r>
        <w:fldChar w:fldCharType="separate"/>
      </w:r>
      <w:r>
        <w:rPr>
          <w:noProof/>
        </w:rPr>
        <w:t xml:space="preserve">6.2.1.2</w:t>
      </w:r>
      <w:r>
        <w:fldChar w:fldCharType="end"/>
      </w:r>
      <w:r>
        <w:t xml:space="preserve">) </w:t>
      </w:r>
      <w:r>
        <w:rPr>
          <w:b/>
        </w:rPr>
        <w:t xml:space="preserve">shall</w:t>
      </w:r>
      <w:r>
        <w:t xml:space="preserve"> be bound to a stable, non-numeric prefix in the active </w:t>
      </w:r>
      <w:r>
        <w:rPr>
          <w:rStyle w:val="VARIABLE"/>
        </w:rPr>
        <w:t xml:space="preserve">@context</w:t>
      </w:r>
      <w:r>
        <w:t xml:space="preserve">; </w:t>
      </w:r>
      <w:r>
        <w:rPr>
          <w:rStyle w:val="VARIABLE"/>
        </w:rPr>
        <w:t xml:space="preserve">ua</w:t>
      </w:r>
      <w:r>
        <w:t xml:space="preserve"> is reserved for the base OPC UA NamespaceUri. Authors should use recognizable domain prefixes such as </w:t>
      </w:r>
      <w:r>
        <w:rPr>
          <w:rStyle w:val="VARIABLE"/>
        </w:rPr>
        <w:t xml:space="preserve">isa</w:t>
      </w:r>
      <w:r>
        <w:t xml:space="preserve">, while a converter that has no authored prefix may generate deterministic </w:t>
      </w:r>
      <w:r>
        <w:rPr>
          <w:rStyle w:val="VARIABLE"/>
        </w:rPr>
        <w:t xml:space="preserve">ns1</w:t>
      </w:r>
      <w:r>
        <w:t xml:space="preserve">, </w:t>
      </w:r>
      <w:r>
        <w:rPr>
          <w:rStyle w:val="VARIABLE"/>
        </w:rPr>
        <w:t xml:space="preserve">ns2</w:t>
      </w:r>
      <w:r>
        <w:t xml:space="preserve">, and so on from the NodeSet </w:t>
      </w:r>
      <w:r>
        <w:rPr>
          <w:rStyle w:val="VARIABLE"/>
        </w:rPr>
        <w:t xml:space="preserve">NamespaceUris</w:t>
      </w:r>
      <w:r>
        <w:t xml:space="preserve"> order.</w:t>
      </w:r>
    </w:p>
    <w:p w14:paraId="36D29DA9">
      <w:pPr>
        <w:pStyle w:val="PARAGRAPH"/>
      </w:pPr>
      <w:r>
        <w:t xml:space="preserve">These context prefixes identify model concepts and provide the preferred portable presentation for readable QualifiedNames and BrowsePath elements. </w:t>
      </w:r>
      <w:r>
        <w:rPr>
          <w:rStyle w:val="VARIABLE"/>
        </w:rPr>
        <w:t xml:space="preserve">uav:browseName</w:t>
      </w:r>
      <w:r>
        <w:t xml:space="preserve"> may alternatively use the OPC 10000-6 URI-qualified syntax of </w:t>
      </w:r>
      <w:r>
        <w:t xml:space="preserve">Section </w:t>
      </w:r>
      <w:r>
        <w:t xml:space="preserve">5.1.3</w:t>
      </w:r>
      <w:r>
        <w:t xml:space="preserve">, and </w:t>
      </w:r>
      <w:r>
        <w:rPr>
          <w:rStyle w:val="VARIABLE"/>
        </w:rPr>
        <w:t xml:space="preserve">uav:browsePath</w:t>
      </w:r>
      <w:r>
        <w:t xml:space="preserve"> may use OPC 10000-4 </w:t>
      </w:r>
      <w:r>
        <w:rPr>
          <w:rStyle w:val="VARIABLE"/>
        </w:rPr>
        <w:t xml:space="preserve">{NamespaceUri}</w:t>
      </w:r>
      <w:r>
        <w:t xml:space="preserve"> qualification. Numeric namespace indexes are permitted only inside representations that carry their own namespace table, such as </w:t>
      </w:r>
      <w:r>
        <w:rPr>
          <w:rStyle w:val="VARIABLE"/>
        </w:rPr>
        <w:t xml:space="preserve">uav:nodes</w:t>
      </w:r>
      <w:r>
        <w:t xml:space="preserve">.</w:t>
      </w:r>
    </w:p>
    <w:p w14:paraId="40B5D3D4">
      <w:pPr>
        <w:pStyle w:val="Heading3"/>
      </w:pPr>
      <w:bookmarkStart w:id="497" w:name="_Clause_c6_2_9"/>
      <w:r>
        <w:t xml:space="preserve">Address-space example</w:t>
      </w:r>
      <w:bookmarkEnd w:id="497"/>
    </w:p>
    <w:p w14:paraId="039A0BC1">
      <w:pPr>
        <w:pStyle w:val="PARAGRAPH"/>
      </w:pPr>
      <w:r>
        <w:t xml:space="preserve">The figure below reads left-to-right: a short WoT Thing Description sample on the </w:t>
      </w:r>
      <w:r>
        <w:rPr>
          <w:b/>
        </w:rPr>
        <w:t xml:space="preserve">left</w:t>
      </w:r>
      <w:r>
        <w:t xml:space="preserve"> and the OPC UA AddressSpace Nodes and References it projects to on the </w:t>
      </w:r>
      <w:r>
        <w:rPr>
          <w:b/>
        </w:rPr>
        <w:t xml:space="preserve">right</w:t>
      </w:r>
      <w:r>
        <w:t xml:space="preserve">. A UA Object </w:t>
      </w:r>
      <w:r>
        <w:rPr>
          <w:rStyle w:val="VARIABLE"/>
        </w:rPr>
        <w:t xml:space="preserve">1:Pump</w:t>
      </w:r>
      <w:r>
        <w:t xml:space="preserve"> with a UA Variable </w:t>
      </w:r>
      <w:r>
        <w:rPr>
          <w:rStyle w:val="VARIABLE"/>
        </w:rPr>
        <w:t xml:space="preserve">1:PumpSpeed</w:t>
      </w:r>
      <w:r>
        <w:t xml:space="preserve"> (</w:t>
      </w:r>
      <w:r>
        <w:rPr>
          <w:rStyle w:val="VARIABLE"/>
        </w:rPr>
        <w:t xml:space="preserve">HasComponent</w:t>
      </w:r>
      <w:r>
        <w:t xml:space="preserve">, </w:t>
      </w:r>
      <w:r>
        <w:rPr>
          <w:rStyle w:val="VARIABLE"/>
        </w:rPr>
        <w:t xml:space="preserve">Double</w:t>
      </w:r>
      <w:r>
        <w:t xml:space="preserve"> </w:t>
      </w:r>
      <w:r>
        <w:rPr>
          <w:rStyle w:val="VARIABLE"/>
        </w:rPr>
        <w:t xml:space="preserve">DataType</w:t>
      </w:r>
      <w:r>
        <w:t xml:space="preserve">, </w:t>
      </w:r>
      <w:r>
        <w:rPr>
          <w:rStyle w:val="VARIABLE"/>
        </w:rPr>
        <w:t xml:space="preserve">AccessLevel</w:t>
      </w:r>
      <w:r>
        <w:t xml:space="preserve"> </w:t>
      </w:r>
      <w:r>
        <w:rPr>
          <w:rStyle w:val="VARIABLE"/>
        </w:rPr>
        <w:t xml:space="preserve">CurrentRead</w:t>
      </w:r>
      <w:r>
        <w:t xml:space="preserve">) and a UA Method </w:t>
      </w:r>
      <w:r>
        <w:rPr>
          <w:rStyle w:val="VARIABLE"/>
        </w:rPr>
        <w:t xml:space="preserve">1:Reset</w:t>
      </w:r>
      <w:r>
        <w:t xml:space="preserve"> becomes a Thing whose </w:t>
      </w:r>
      <w:r>
        <w:rPr>
          <w:rStyle w:val="VARIABLE"/>
        </w:rPr>
        <w:t xml:space="preserve">@type</w:t>
      </w:r>
      <w:r>
        <w:t xml:space="preserve"> is </w:t>
      </w:r>
      <w:r>
        <w:rPr>
          <w:rStyle w:val="VARIABLE"/>
        </w:rPr>
        <w:t xml:space="preserve">uav:object</w:t>
      </w:r>
      <w:r>
        <w:t xml:space="preserve">; its property </w:t>
      </w:r>
      <w:r>
        <w:rPr>
          <w:rStyle w:val="VARIABLE"/>
        </w:rPr>
        <w:t xml:space="preserve">pumpSpeed</w:t>
      </w:r>
      <w:r>
        <w:t xml:space="preserve"> (</w:t>
      </w:r>
      <w:r>
        <w:rPr>
          <w:rStyle w:val="VARIABLE"/>
        </w:rPr>
        <w:t xml:space="preserve">@type uav:variable</w:t>
      </w:r>
      <w:r>
        <w:t xml:space="preserve">) and action </w:t>
      </w:r>
      <w:r>
        <w:rPr>
          <w:rStyle w:val="VARIABLE"/>
        </w:rPr>
        <w:t xml:space="preserve">reset</w:t>
      </w:r>
      <w:r>
        <w:t xml:space="preserve"> (</w:t>
      </w:r>
      <w:r>
        <w:rPr>
          <w:rStyle w:val="VARIABLE"/>
        </w:rPr>
        <w:t xml:space="preserve">@type uav:method</w:t>
      </w:r>
      <w:r>
        <w:t xml:space="preserve">) carry the browse names and the Read/Observe/Call forms.</w:t>
      </w:r>
    </w:p>
    <w:p w14:paraId="4D4462F2">
      <w:pPr>
        <w:pStyle w:val="FIGURE"/>
      </w:pPr>
      <w:r>
        <w:object w:dxaOrig="8820" w:dyaOrig="765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30.00pt;height:372.96pt" o:ole="">
            <v:imagedata r:id="rId130" o:title=""/>
          </v:shape>
          <o:OLEObject Type="Embed" ProgID="PowerPoint.Show.12" ShapeID="_x0000_i1025" DrawAspect="Content" ObjectID="_1900000001" r:id="rId131"/>
        </w:object>
      </w:r>
    </w:p>
    <w:p w14:paraId="45B2FA1A">
      <w:pPr>
        <w:pStyle w:val="FIGURE-title"/>
      </w:pPr>
      <w:bookmarkStart w:id="498" w:name="_Fig_fig_wotb_mapping"/>
      <w:r>
        <w:t xml:space="preserve">Figure </w:t>
      </w:r>
      <w:r>
        <w:fldChar w:fldCharType="begin"/>
      </w:r>
      <w:r>
        <w:instrText xml:space="preserve"> SEQ Figure \* ARABIC </w:instrText>
      </w:r>
      <w:r>
        <w:fldChar w:fldCharType="separate"/>
      </w:r>
      <w:r>
        <w:rPr>
          <w:noProof/>
        </w:rPr>
        <w:t xml:space="preserve">1</w:t>
      </w:r>
      <w:r>
        <w:fldChar w:fldCharType="end"/>
      </w:r>
      <w:r>
        <w:t xml:space="preserve"> – A Thing Description and the OPC UA Nodes it maps to</w:t>
      </w:r>
      <w:bookmarkEnd w:id="498"/>
    </w:p>
    <w:p w14:paraId="4A271BE8">
      <w:pPr>
        <w:pStyle w:val="PARAGRAPH"/>
      </w:pPr>
      <w:r>
        <w:rPr>
          <w:b/>
        </w:rPr>
        <w:t xml:space="preserve">How to read it.</w:t>
      </w:r>
      <w:r>
        <w:t xml:space="preserve"> The Thing maps to the </w:t>
      </w:r>
      <w:r>
        <w:rPr>
          <w:rStyle w:val="VARIABLE"/>
        </w:rPr>
        <w:t xml:space="preserve">Object</w:t>
      </w:r>
      <w:r>
        <w:t xml:space="preserve"> (</w:t>
      </w:r>
      <w:r>
        <w:rPr>
          <w:rStyle w:val="VARIABLE"/>
        </w:rPr>
        <w:t xml:space="preserve">uav:browseName</w:t>
      </w:r>
      <w:r>
        <w:t xml:space="preserve"> → </w:t>
      </w:r>
      <w:r>
        <w:rPr>
          <w:rStyle w:val="VARIABLE"/>
        </w:rPr>
        <w:t xml:space="preserve">BrowseName</w:t>
      </w:r>
      <w:r>
        <w:t xml:space="preserve">); the property maps to the </w:t>
      </w:r>
      <w:r>
        <w:rPr>
          <w:rStyle w:val="VARIABLE"/>
        </w:rPr>
        <w:t xml:space="preserve">Variable</w:t>
      </w:r>
      <w:r>
        <w:t xml:space="preserve"> with its </w:t>
      </w:r>
      <w:r>
        <w:rPr>
          <w:rStyle w:val="VARIABLE"/>
        </w:rPr>
        <w:t xml:space="preserve">readproperty</w:t>
      </w:r>
      <w:r>
        <w:t xml:space="preserve">/</w:t>
      </w:r>
      <w:r>
        <w:rPr>
          <w:rStyle w:val="VARIABLE"/>
        </w:rPr>
        <w:t xml:space="preserve">observeproperty</w:t>
      </w:r>
      <w:r>
        <w:t xml:space="preserve"> forms realized as OPC UA Read and Subscription MonitoredItem services, and </w:t>
      </w:r>
      <w:r>
        <w:rPr>
          <w:rStyle w:val="VARIABLE"/>
        </w:rPr>
        <w:t xml:space="preserve">readOnly</w:t>
      </w:r>
      <w:r>
        <w:t xml:space="preserve">/</w:t>
      </w:r>
      <w:r>
        <w:rPr>
          <w:rStyle w:val="VARIABLE"/>
        </w:rPr>
        <w:t xml:space="preserve">observable</w:t>
      </w:r>
      <w:r>
        <w:t xml:space="preserve"> reflect the Variable's </w:t>
      </w:r>
      <w:r>
        <w:rPr>
          <w:rStyle w:val="VARIABLE"/>
        </w:rPr>
        <w:t xml:space="preserve">AccessLevel</w:t>
      </w:r>
      <w:r>
        <w:t xml:space="preserve">; the action maps to the </w:t>
      </w:r>
      <w:r>
        <w:rPr>
          <w:rStyle w:val="VARIABLE"/>
        </w:rPr>
        <w:t xml:space="preserve">Method</w:t>
      </w:r>
      <w:r>
        <w:t xml:space="preserve">, invoked by the </w:t>
      </w:r>
      <w:r>
        <w:rPr>
          <w:rStyle w:val="VARIABLE"/>
        </w:rPr>
        <w:t xml:space="preserve">invokeaction</w:t>
      </w:r>
      <w:r>
        <w:t xml:space="preserve"> form. The </w:t>
      </w:r>
      <w:r>
        <w:rPr>
          <w:rStyle w:val="VARIABLE"/>
        </w:rPr>
        <w:t xml:space="preserve">HasComponent</w:t>
      </w:r>
      <w:r>
        <w:t xml:space="preserve"> References that hold the members are recovered from the containment terms (</w:t>
      </w:r>
      <w:r>
        <w:t xml:space="preserve">Section </w:t>
      </w:r>
      <w:r>
        <w:fldChar w:fldCharType="begin"/>
      </w:r>
      <w:r>
        <w:instrText xml:space="preserve"> REF _Clause_c6_2_3 \r \h </w:instrText>
      </w:r>
      <w:r>
        <w:fldChar w:fldCharType="separate"/>
      </w:r>
      <w:r>
        <w:rPr>
          <w:noProof/>
        </w:rPr>
        <w:t xml:space="preserve">6.2.3</w:t>
      </w:r>
      <w:r>
        <w:fldChar w:fldCharType="end"/>
      </w:r>
      <w:r>
        <w:t xml:space="preserve">) or the model links (</w:t>
      </w:r>
      <w:r>
        <w:t xml:space="preserve">Section </w:t>
      </w:r>
      <w:r>
        <w:fldChar w:fldCharType="begin"/>
      </w:r>
      <w:r>
        <w:instrText xml:space="preserve"> REF _Clause_c6_3_2 \r \h </w:instrText>
      </w:r>
      <w:r>
        <w:fldChar w:fldCharType="separate"/>
      </w:r>
      <w:r>
        <w:rPr>
          <w:noProof/>
        </w:rPr>
        <w:t xml:space="preserve">6.3.2</w:t>
      </w:r>
      <w:r>
        <w:fldChar w:fldCharType="end"/>
      </w:r>
      <w:r>
        <w:t xml:space="preserve">). References, NodeClasses, and attributes map in full as described in </w:t>
      </w:r>
      <w:r>
        <w:t xml:space="preserve">Section </w:t>
      </w:r>
      <w:r>
        <w:fldChar w:fldCharType="begin"/>
      </w:r>
      <w:r>
        <w:instrText xml:space="preserve"> REF _Clause_c6_6_1 \r \h </w:instrText>
      </w:r>
      <w:r>
        <w:fldChar w:fldCharType="separate"/>
      </w:r>
      <w:r>
        <w:rPr>
          <w:noProof/>
        </w:rPr>
        <w:t xml:space="preserve">6.6.1</w:t>
      </w:r>
      <w:r>
        <w:fldChar w:fldCharType="end"/>
      </w:r>
      <w:r>
        <w:t xml:space="preserve">, and a complete worked instance is </w:t>
      </w:r>
      <w:r>
        <w:rPr>
          <w:rStyle w:val="VARIABLE"/>
        </w:rPr>
        <w:t xml:space="preserve">examples/01-opcua-td-pump.jsonld</w:t>
      </w:r>
      <w:r>
        <w:t xml:space="preserve">.</w:t>
      </w:r>
    </w:p>
    <w:p w14:paraId="5D953562">
      <w:pPr>
        <w:pStyle w:val="Heading2"/>
      </w:pPr>
      <w:bookmarkStart w:id="499" w:name="_Clause_c6_3"/>
      <w:r>
        <w:t xml:space="preserve">Model and platform vocabulary</w:t>
      </w:r>
      <w:bookmarkEnd w:id="499"/>
    </w:p>
    <w:p w14:paraId="3726CE69">
      <w:pPr>
        <w:pStyle w:val="PARAGRAPH"/>
      </w:pPr>
      <w:r>
        <w:t xml:space="preserve">This section adds terms that let a Thing Model record the structural facts of an OPC UA type that the preserved vocabulary alone does not capture. Every term is collision-safe with the base WoT context and with the preserved vocabulary, and each is documented below with the concept it expresses, </w:t>
      </w:r>
      <w:r>
        <w:rPr>
          <w:b/>
        </w:rPr>
        <w:t xml:space="preserve">when and why</w:t>
      </w:r>
      <w:r>
        <w:t xml:space="preserve"> it represents an OPC UA model fact, its normative usage, and a short, explained example. Each term's domain, range, and conflict rules are also tabulated in </w:t>
      </w:r>
      <w:r>
        <w:t xml:space="preserve">Section </w:t>
      </w:r>
      <w:r>
        <w:fldChar w:fldCharType="begin"/>
      </w:r>
      <w:r>
        <w:instrText xml:space="preserve"> REF _Clause_c6_4 \r \h </w:instrText>
      </w:r>
      <w:r>
        <w:fldChar w:fldCharType="separate"/>
      </w:r>
      <w:r>
        <w:rPr>
          <w:noProof/>
        </w:rPr>
        <w:t xml:space="preserve">6.4</w:t>
      </w:r>
      <w:r>
        <w:fldChar w:fldCharType="end"/>
      </w:r>
      <w:r>
        <w:t xml:space="preserve">.</w:t>
      </w:r>
    </w:p>
    <w:p w14:paraId="1AE85233">
      <w:pPr>
        <w:pStyle w:val="Heading3"/>
      </w:pPr>
      <w:bookmarkStart w:id="500" w:name="_Clause_c6_3_1"/>
      <w:r>
        <w:t xml:space="preserve">Composition and events</w:t>
      </w:r>
      <w:bookmarkEnd w:id="500"/>
    </w:p>
    <w:p w14:paraId="68227591">
      <w:pPr>
        <w:pStyle w:val="PARAGRAPH"/>
      </w:pPr>
      <w:r>
        <w:rPr>
          <w:rStyle w:val="VARIABLE"/>
        </w:rPr>
        <w:t xml:space="preserve">uav:isComposite</w:t>
      </w:r>
      <w:r>
        <w:t xml:space="preserve"> (boolean) — declares that a type is </w:t>
      </w:r>
      <w:r>
        <w:rPr>
          <w:i/>
        </w:rPr>
        <w:t xml:space="preserve">composite</w:t>
      </w:r>
      <w:r>
        <w:t xml:space="preserve">: an OPC UA ObjectType that is meaningfully decomposed into named sub-components rather than being a single leaf. It is an OPC UA model fact because a composite type owns child Objects/Variables through </w:t>
      </w:r>
      <w:r>
        <w:rPr>
          <w:rStyle w:val="VARIABLE"/>
        </w:rPr>
        <w:t xml:space="preserve">HasComponent</w:t>
      </w:r>
      <w:r>
        <w:t xml:space="preserve"> References; a converter uses the flag to decide whether to walk and materialize the parts (</w:t>
      </w:r>
      <w:r>
        <w:t xml:space="preserve">Section </w:t>
      </w:r>
      <w:r>
        <w:fldChar w:fldCharType="begin"/>
      </w:r>
      <w:r>
        <w:instrText xml:space="preserve"> REF _Clause_c6_3_3 \r \h </w:instrText>
      </w:r>
      <w:r>
        <w:fldChar w:fldCharType="separate"/>
      </w:r>
      <w:r>
        <w:rPr>
          <w:noProof/>
        </w:rPr>
        <w:t xml:space="preserve">6.3.3</w:t>
      </w:r>
      <w:r>
        <w:fldChar w:fldCharType="end"/>
      </w:r>
      <w:r>
        <w:t xml:space="preserve">) or treat the type as atomic. A composite type </w:t>
      </w:r>
      <w:r>
        <w:rPr>
          <w:b/>
        </w:rPr>
        <w:t xml:space="preserve">shall</w:t>
      </w:r>
      <w:r>
        <w:t xml:space="preserve"> declare its parts through the containment terms of </w:t>
      </w:r>
      <w:r>
        <w:t xml:space="preserve">Section </w:t>
      </w:r>
      <w:r>
        <w:fldChar w:fldCharType="begin"/>
      </w:r>
      <w:r>
        <w:instrText xml:space="preserve"> REF _Clause_c6_3_3 \r \h </w:instrText>
      </w:r>
      <w:r>
        <w:fldChar w:fldCharType="separate"/>
      </w:r>
      <w:r>
        <w:rPr>
          <w:noProof/>
        </w:rPr>
        <w:t xml:space="preserve">6.3.3</w:t>
      </w:r>
      <w:r>
        <w:fldChar w:fldCharType="end"/>
      </w:r>
      <w:r>
        <w:t xml:space="preserve"> and the link terms of </w:t>
      </w:r>
      <w:r>
        <w:t xml:space="preserve">Section </w:t>
      </w:r>
      <w:r>
        <w:fldChar w:fldCharType="begin"/>
      </w:r>
      <w:r>
        <w:instrText xml:space="preserve"> REF _Clause_c6_3_2 \r \h </w:instrText>
      </w:r>
      <w:r>
        <w:fldChar w:fldCharType="separate"/>
      </w:r>
      <w:r>
        <w:rPr>
          <w:noProof/>
        </w:rPr>
        <w:t xml:space="preserve">6.3.2</w:t>
      </w:r>
      <w:r>
        <w:fldChar w:fldCharType="end"/>
      </w:r>
      <w:r>
        <w:t xml:space="preserve">.</w:t>
      </w:r>
    </w:p>
    <w:p w14:paraId="1D4C7ED7">
      <w:pPr>
        <w:pStyle w:val="CODE"/>
      </w:pPr>
      <w:r>
        <w:t xml:space="preserve">"@type": ["tm:ThingModel", "uav:objectType"], "uav:isComposite": true, "uav:contains": ["Impeller"]</w:t>
      </w:r>
    </w:p>
    <w:p w14:paraId="3D46561C">
      <w:pPr>
        <w:pStyle w:val="PARAGRAPH"/>
      </w:pPr>
      <w:r>
        <w:rPr>
          <w:i/>
        </w:rPr>
        <w:t xml:space="preserve">Explanation.</w:t>
      </w:r>
      <w:r>
        <w:t xml:space="preserve"> The Thing Model is a composite ObjectType with one directly contained part named </w:t>
      </w:r>
      <w:r>
        <w:rPr>
          <w:rStyle w:val="VARIABLE"/>
        </w:rPr>
        <w:t xml:space="preserve">Impeller</w:t>
      </w:r>
      <w:r>
        <w:t xml:space="preserve">; a converter expands that part into a component sub-node rather than a scalar value.</w:t>
      </w:r>
    </w:p>
    <w:p w14:paraId="3E4BDB27">
      <w:pPr>
        <w:pStyle w:val="PARAGRAPH"/>
      </w:pPr>
      <w:r>
        <w:rPr>
          <w:rStyle w:val="VARIABLE"/>
        </w:rPr>
        <w:t xml:space="preserve">uav:isEvent</w:t>
      </w:r>
      <w:r>
        <w:t xml:space="preserve"> (boolean) — on a WoT event affordance, declares that the affordance projects an OPC UA event (a type derived from </w:t>
      </w:r>
      <w:r>
        <w:rPr>
          <w:rStyle w:val="VARIABLE"/>
        </w:rPr>
        <w:t xml:space="preserve">BaseEventType</w:t>
      </w:r>
      <w:r>
        <w:t xml:space="preserve">, OPC 10000-5) rather than an ad-hoc notification. This is an OPC UA model fact whenever the source model defines an EventType; the flag is the anchor of the event mapping of </w:t>
      </w:r>
      <w:r>
        <w:t xml:space="preserve">Section </w:t>
      </w:r>
      <w:r>
        <w:fldChar w:fldCharType="begin"/>
      </w:r>
      <w:r>
        <w:instrText xml:space="preserve"> REF _Clause_c6_5 \r \h </w:instrText>
      </w:r>
      <w:r>
        <w:fldChar w:fldCharType="separate"/>
      </w:r>
      <w:r>
        <w:rPr>
          <w:noProof/>
        </w:rPr>
        <w:t xml:space="preserve">6.5</w:t>
      </w:r>
      <w:r>
        <w:fldChar w:fldCharType="end"/>
      </w:r>
      <w:r>
        <w:t xml:space="preserve"> and tells a consumer to realize subscription with event MonitoredItems. It is the boolean counterpart of the </w:t>
      </w:r>
      <w:r>
        <w:rPr>
          <w:rStyle w:val="VARIABLE"/>
        </w:rPr>
        <w:t xml:space="preserve">uav:eventType</w:t>
      </w:r>
      <w:r>
        <w:t xml:space="preserve"> type annotation (</w:t>
      </w:r>
      <w:r>
        <w:t xml:space="preserve">Section </w:t>
      </w:r>
      <w:r>
        <w:fldChar w:fldCharType="begin"/>
      </w:r>
      <w:r>
        <w:instrText xml:space="preserve"> REF _Clause_c6_2_2 \r \h </w:instrText>
      </w:r>
      <w:r>
        <w:fldChar w:fldCharType="separate"/>
      </w:r>
      <w:r>
        <w:rPr>
          <w:noProof/>
        </w:rPr>
        <w:t xml:space="preserve">6.2.2</w:t>
      </w:r>
      <w:r>
        <w:fldChar w:fldCharType="end"/>
      </w:r>
      <w:r>
        <w:t xml:space="preserve">): an event affordance annotated with </w:t>
      </w:r>
      <w:r>
        <w:rPr>
          <w:rStyle w:val="VARIABLE"/>
        </w:rPr>
        <w:t xml:space="preserve">@type: uav:eventType</w:t>
      </w:r>
      <w:r>
        <w:t xml:space="preserve"> </w:t>
      </w:r>
      <w:r>
        <w:rPr>
          <w:b/>
        </w:rPr>
        <w:t xml:space="preserve">shall not</w:t>
      </w:r>
      <w:r>
        <w:t xml:space="preserve"> set </w:t>
      </w:r>
      <w:r>
        <w:rPr>
          <w:rStyle w:val="VARIABLE"/>
        </w:rPr>
        <w:t xml:space="preserve">uav:isEvent: false</w:t>
      </w:r>
      <w:r>
        <w:t xml:space="preserve">, and an author </w:t>
      </w:r>
      <w:r>
        <w:rPr>
          <w:b/>
        </w:rPr>
        <w:t xml:space="preserve">should</w:t>
      </w:r>
      <w:r>
        <w:t xml:space="preserve"> set both for symmetry with the other NodeClass annotations.</w:t>
      </w:r>
    </w:p>
    <w:p w14:paraId="5091811E">
      <w:pPr>
        <w:pStyle w:val="CODE"/>
      </w:pPr>
      <w:r>
        <w:t xml:space="preserve">"events": { "overTemperature": { "@type": "uav:eventType", "uav:isEvent": true,</w:t>
      </w:r>
    </w:p>
    <w:p w14:paraId="565D8F86">
      <w:pPr>
        <w:pStyle w:val="CODE"/>
      </w:pPr>
      <w:r>
        <w:t xml:space="preserve">  "uav:browseName": "pump:OverTemperatureEventType" } }</w:t>
      </w:r>
    </w:p>
    <w:p w14:paraId="17F68755">
      <w:pPr>
        <w:pStyle w:val="PARAGRAPH"/>
      </w:pPr>
      <w:r>
        <w:rPr>
          <w:i/>
        </w:rPr>
        <w:t xml:space="preserve">Explanation.</w:t>
      </w:r>
      <w:r>
        <w:t xml:space="preserve"> </w:t>
      </w:r>
      <w:r>
        <w:rPr>
          <w:rStyle w:val="VARIABLE"/>
        </w:rPr>
        <w:t xml:space="preserve">overTemperature</w:t>
      </w:r>
      <w:r>
        <w:t xml:space="preserve"> is not a plain notification: its </w:t>
      </w:r>
      <w:r>
        <w:rPr>
          <w:rStyle w:val="VARIABLE"/>
        </w:rPr>
        <w:t xml:space="preserve">@type</w:t>
      </w:r>
      <w:r>
        <w:t xml:space="preserve"> annotation </w:t>
      </w:r>
      <w:r>
        <w:rPr>
          <w:rStyle w:val="VARIABLE"/>
        </w:rPr>
        <w:t xml:space="preserve">uav:eventType</w:t>
      </w:r>
      <w:r>
        <w:t xml:space="preserve"> (with the matching </w:t>
      </w:r>
      <w:r>
        <w:rPr>
          <w:rStyle w:val="VARIABLE"/>
        </w:rPr>
        <w:t xml:space="preserve">uav:isEvent: true</w:t>
      </w:r>
      <w:r>
        <w:t xml:space="preserve"> flag) projects the </w:t>
      </w:r>
      <w:r>
        <w:rPr>
          <w:rStyle w:val="VARIABLE"/>
        </w:rPr>
        <w:t xml:space="preserve">OverTemperatureEventType</w:t>
      </w:r>
      <w:r>
        <w:t xml:space="preserve"> EventType in the pump NamespaceUri, so </w:t>
      </w:r>
      <w:r>
        <w:rPr>
          <w:rStyle w:val="VARIABLE"/>
        </w:rPr>
        <w:t xml:space="preserve">subscribeevent</w:t>
      </w:r>
      <w:r>
        <w:t xml:space="preserve"> becomes an OPC UA event MonitoredItem.</w:t>
      </w:r>
    </w:p>
    <w:p w14:paraId="069CBB4B">
      <w:pPr>
        <w:pStyle w:val="Heading3"/>
      </w:pPr>
      <w:bookmarkStart w:id="501" w:name="_Clause_c6_3_2"/>
      <w:r>
        <w:t xml:space="preserve">Links and references</w:t>
      </w:r>
      <w:bookmarkEnd w:id="501"/>
    </w:p>
    <w:p w14:paraId="1DA9C89A">
      <w:pPr>
        <w:pStyle w:val="PARAGRAPH"/>
      </w:pPr>
      <w:r>
        <w:t xml:space="preserve">References between types are carried on WoT </w:t>
      </w:r>
      <w:r>
        <w:rPr>
          <w:rStyle w:val="VARIABLE"/>
        </w:rPr>
        <w:t xml:space="preserve">links</w:t>
      </w:r>
      <w:r>
        <w:t xml:space="preserve">. A Binding-defined relation such as </w:t>
      </w:r>
      <w:r>
        <w:rPr>
          <w:rStyle w:val="VARIABLE"/>
        </w:rPr>
        <w:t xml:space="preserve">uav:componentModel</w:t>
      </w:r>
      <w:r>
        <w:t xml:space="preserve"> selects a general mapping, while a NamespaceUri-qualified ReferenceType compact model name may be used directly in </w:t>
      </w:r>
      <w:r>
        <w:rPr>
          <w:rStyle w:val="VARIABLE"/>
        </w:rPr>
        <w:t xml:space="preserve">rel</w:t>
      </w:r>
      <w:r>
        <w:t xml:space="preserve"> to express an exact OPC UA ReferenceType. These forms exist because an OPC UA type graph is more than containment: types reference each other hierarchically and non-hierarchically, and a faithful Thing Model must record which ReferenceType connects them.</w:t>
      </w:r>
    </w:p>
    <w:p w14:paraId="05B8DC48">
      <w:pPr>
        <w:pStyle w:val="ListBullet"/>
        <w:numPr>
          <w:ilvl w:val="0"/>
          <w:numId w:val="21"/>
        </w:numPr>
      </w:pPr>
      <w:r>
        <w:rPr>
          <w:rStyle w:val="VARIABLE"/>
        </w:rPr>
        <w:t xml:space="preserve">rel: uav:capability</w:t>
      </w:r>
      <w:r>
        <w:t xml:space="preserve"> — the linked resource is a capability the type exposes (an interface-like mix-in), projecting to a </w:t>
      </w:r>
      <w:r>
        <w:rPr>
          <w:rStyle w:val="VARIABLE"/>
        </w:rPr>
        <w:t xml:space="preserve">HasInterface</w:t>
      </w:r>
      <w:r>
        <w:t xml:space="preserve">-style facet.</w:t>
      </w:r>
    </w:p>
    <w:p w14:paraId="7C681ABB">
      <w:pPr>
        <w:pStyle w:val="ListBullet"/>
        <w:numPr>
          <w:ilvl w:val="0"/>
          <w:numId w:val="21"/>
        </w:numPr>
      </w:pPr>
      <w:r>
        <w:rPr>
          <w:rStyle w:val="VARIABLE"/>
        </w:rPr>
        <w:t xml:space="preserve">rel: uav:componentModel</w:t>
      </w:r>
      <w:r>
        <w:t xml:space="preserve"> — the linked resource is the Thing Model of a contained sub-component (a strong, owned </w:t>
      </w:r>
      <w:r>
        <w:rPr>
          <w:rStyle w:val="VARIABLE"/>
        </w:rPr>
        <w:t xml:space="preserve">HasComponent</w:t>
      </w:r>
      <w:r>
        <w:t xml:space="preserve"> part).</w:t>
      </w:r>
    </w:p>
    <w:p w14:paraId="242AA1C5">
      <w:pPr>
        <w:pStyle w:val="ListBullet"/>
        <w:numPr>
          <w:ilvl w:val="0"/>
          <w:numId w:val="21"/>
        </w:numPr>
      </w:pPr>
      <w:r>
        <w:rPr>
          <w:rStyle w:val="VARIABLE"/>
        </w:rPr>
        <w:t xml:space="preserve">rel: uav:reference</w:t>
      </w:r>
      <w:r>
        <w:t xml:space="preserve"> — the linked resource is referenced non-hierarchically, without a specific reference type.</w:t>
      </w:r>
    </w:p>
    <w:p w14:paraId="2FE04665">
      <w:pPr>
        <w:pStyle w:val="ListBullet"/>
        <w:numPr>
          <w:ilvl w:val="0"/>
          <w:numId w:val="21"/>
        </w:numPr>
      </w:pPr>
      <w:r>
        <w:rPr>
          <w:rStyle w:val="VARIABLE"/>
        </w:rPr>
        <w:t xml:space="preserve">rel: &lt;ReferenceType compact model name&gt;</w:t>
      </w:r>
      <w:r>
        <w:t xml:space="preserve"> — the linked resource is referenced by that exact OPC UA ReferenceType, for example </w:t>
      </w:r>
      <w:r>
        <w:rPr>
          <w:rStyle w:val="VARIABLE"/>
        </w:rPr>
        <w:t xml:space="preserve">rel: ua:HasOrderedComponent</w:t>
      </w:r>
      <w:r>
        <w:t xml:space="preserve"> or </w:t>
      </w:r>
      <w:r>
        <w:rPr>
          <w:rStyle w:val="VARIABLE"/>
        </w:rPr>
        <w:t xml:space="preserve">rel: pump:MaterialReference</w:t>
      </w:r>
      <w:r>
        <w:t xml:space="preserve">. This is also how a subtype of a hierarchical reference is pinned when its exact semantics matter.</w:t>
      </w:r>
    </w:p>
    <w:p w14:paraId="08FADA41">
      <w:pPr>
        <w:pStyle w:val="ListBullet"/>
        <w:numPr>
          <w:ilvl w:val="0"/>
          <w:numId w:val="21"/>
        </w:numPr>
      </w:pPr>
      <w:r>
        <w:rPr>
          <w:rStyle w:val="VARIABLE"/>
        </w:rPr>
        <w:t xml:space="preserve">rel: uav:componentOf</w:t>
      </w:r>
      <w:r>
        <w:t xml:space="preserve"> — the linked resource is the </w:t>
      </w:r>
      <w:r>
        <w:rPr>
          <w:b/>
        </w:rPr>
        <w:t xml:space="preserve">parent</w:t>
      </w:r>
      <w:r>
        <w:t xml:space="preserve"> (container) of this Thing or type; it projects to an inverse </w:t>
      </w:r>
      <w:r>
        <w:rPr>
          <w:rStyle w:val="VARIABLE"/>
        </w:rPr>
        <w:t xml:space="preserve">HasComponent</w:t>
      </w:r>
      <w:r>
        <w:t xml:space="preserve"> (a </w:t>
      </w:r>
      <w:r>
        <w:rPr>
          <w:rStyle w:val="VARIABLE"/>
        </w:rPr>
        <w:t xml:space="preserve">HasComponent</w:t>
      </w:r>
      <w:r>
        <w:t xml:space="preserve"> from the parent to this node). It lets a Thing Description author select the parent under which its projected instance is exposed (used by </w:t>
      </w:r>
      <w:r>
        <w:t xml:space="preserve">WoT Connectivity</w:t>
      </w:r>
      <w:r>
        <w:t xml:space="preserve"> </w:t>
      </w:r>
      <w:r>
        <w:t xml:space="preserve">§7.3</w:t>
      </w:r>
      <w:r>
        <w:t xml:space="preserve">); the link is directional, naming the parent, and a materializer resolves the target and creates the OPC UA </w:t>
      </w:r>
      <w:r>
        <w:rPr>
          <w:rStyle w:val="VARIABLE"/>
        </w:rPr>
        <w:t xml:space="preserve">HasComponent</w:t>
      </w:r>
      <w:r>
        <w:t xml:space="preserve"> Reference.</w:t>
      </w:r>
    </w:p>
    <w:p w14:paraId="6BAAA0D5">
      <w:pPr>
        <w:pStyle w:val="ListBullet"/>
        <w:numPr>
          <w:ilvl w:val="0"/>
          <w:numId w:val="21"/>
        </w:numPr>
      </w:pPr>
      <w:r>
        <w:rPr>
          <w:rStyle w:val="VARIABLE"/>
        </w:rPr>
        <w:t xml:space="preserve">uav:refName</w:t>
      </w:r>
      <w:r>
        <w:t xml:space="preserve"> (string) — the browse name a reference is exposed under on the referencing type; unique among the references of one type.</w:t>
      </w:r>
    </w:p>
    <w:p w14:paraId="7AACAC31">
      <w:pPr>
        <w:pStyle w:val="ListBullet"/>
        <w:numPr>
          <w:ilvl w:val="0"/>
          <w:numId w:val="21"/>
        </w:numPr>
      </w:pPr>
      <w:r>
        <w:rPr>
          <w:rStyle w:val="VARIABLE"/>
        </w:rPr>
        <w:t xml:space="preserve">uav:refId</w:t>
      </w:r>
      <w:r>
        <w:t xml:space="preserve"> (string) — the definitive ReferenceType ExpandedNodeId used to disambiguate or resolve the model-name relation. The name makes clear that this member is an identifier outside the context-expanded </w:t>
      </w:r>
      <w:r>
        <w:rPr>
          <w:rStyle w:val="VARIABLE"/>
        </w:rPr>
        <w:t xml:space="preserve">rel</w:t>
      </w:r>
      <w:r>
        <w:t xml:space="preserve">. It </w:t>
      </w:r>
      <w:r>
        <w:rPr>
          <w:b/>
        </w:rPr>
        <w:t xml:space="preserve">shall not</w:t>
      </w:r>
      <w:r>
        <w:t xml:space="preserve"> use the session-local </w:t>
      </w:r>
      <w:r>
        <w:rPr>
          <w:rStyle w:val="VARIABLE"/>
        </w:rPr>
        <w:t xml:space="preserve">ns=&lt;index&gt;</w:t>
      </w:r>
      <w:r>
        <w:t xml:space="preserve"> form; a base-namespace ReferenceType may use </w:t>
      </w:r>
      <w:r>
        <w:rPr>
          <w:rStyle w:val="VARIABLE"/>
        </w:rPr>
        <w:t xml:space="preserve">i=&lt;id&gt;</w:t>
      </w:r>
      <w:r>
        <w:t xml:space="preserve">.</w:t>
      </w:r>
    </w:p>
    <w:p w14:paraId="46DC3FFB">
      <w:pPr>
        <w:pStyle w:val="PARAGRAPH"/>
      </w:pPr>
      <w:r>
        <w:t xml:space="preserve">If the ReferenceType relation resolves uniquely, </w:t>
      </w:r>
      <w:r>
        <w:rPr>
          <w:rStyle w:val="VARIABLE"/>
        </w:rPr>
        <w:t xml:space="preserve">uav:refId</w:t>
      </w:r>
      <w:r>
        <w:t xml:space="preserve"> is optional; if lookup is unavailable or ambiguous, </w:t>
      </w:r>
      <w:r>
        <w:rPr>
          <w:rStyle w:val="VARIABLE"/>
        </w:rPr>
        <w:t xml:space="preserve">uav:refId</w:t>
      </w:r>
      <w:r>
        <w:t xml:space="preserve"> is required. If both are present they </w:t>
      </w:r>
      <w:r>
        <w:rPr>
          <w:b/>
        </w:rPr>
        <w:t xml:space="preserve">shall</w:t>
      </w:r>
      <w:r>
        <w:t xml:space="preserve"> resolve to the same ReferenceType Node.</w:t>
      </w:r>
    </w:p>
    <w:p w14:paraId="57C8CCC9">
      <w:pPr>
        <w:pStyle w:val="CODE"/>
      </w:pPr>
      <w:r>
        <w:t xml:space="preserve">"links": [</w:t>
      </w:r>
    </w:p>
    <w:p w14:paraId="0C14E7A7">
      <w:pPr>
        <w:pStyle w:val="CODE"/>
      </w:pPr>
      <w:r>
        <w:t xml:space="preserve">  { "rel": "uav:componentModel", "href": "./impeller.tm.jsonld",</w:t>
      </w:r>
    </w:p>
    <w:p w14:paraId="198873FF">
      <w:pPr>
        <w:pStyle w:val="CODE"/>
      </w:pPr>
      <w:r>
        <w:t xml:space="preserve">    "uav:refName": "Impeller",</w:t>
      </w:r>
    </w:p>
    <w:p w14:paraId="2312EEF5">
      <w:pPr>
        <w:pStyle w:val="CODE"/>
      </w:pPr>
      <w:r>
        <w:t xml:space="preserve">    "uav:refId": "i=47" },</w:t>
      </w:r>
    </w:p>
    <w:p w14:paraId="11D1F723">
      <w:pPr>
        <w:pStyle w:val="CODE"/>
      </w:pPr>
      <w:r>
        <w:t xml:space="preserve">  { "rel": "pump:MaterialReference", "href": "./motor.tm.jsonld",</w:t>
      </w:r>
    </w:p>
    <w:p w14:paraId="73E43EA2">
      <w:pPr>
        <w:pStyle w:val="CODE"/>
      </w:pPr>
      <w:r>
        <w:t xml:space="preserve">    "uav:refName": "Drive",</w:t>
      </w:r>
    </w:p>
    <w:p w14:paraId="62BF64E4">
      <w:pPr>
        <w:pStyle w:val="CODE"/>
      </w:pPr>
      <w:r>
        <w:t xml:space="preserve">    "uav:refId": "nsu=http://example.com/demo/pump;i=5001" },</w:t>
      </w:r>
    </w:p>
    <w:p w14:paraId="2F407565">
      <w:pPr>
        <w:pStyle w:val="CODE"/>
      </w:pPr>
      <w:r>
        <w:t xml:space="preserve">  { "rel": "uav:componentOf", "href": "urn:machine:line-01" }</w:t>
      </w:r>
    </w:p>
    <w:p w14:paraId="00DDF7CB">
      <w:pPr>
        <w:pStyle w:val="CODE"/>
      </w:pPr>
      <w:r>
        <w:t xml:space="preserve">]</w:t>
      </w:r>
    </w:p>
    <w:p w14:paraId="04FC9073">
      <w:pPr>
        <w:pStyle w:val="PARAGRAPH"/>
      </w:pPr>
      <w:r>
        <w:rPr>
          <w:i/>
        </w:rPr>
        <w:t xml:space="preserve">Explanation.</w:t>
      </w:r>
      <w:r>
        <w:t xml:space="preserve"> The first link owns an </w:t>
      </w:r>
      <w:r>
        <w:rPr>
          <w:rStyle w:val="VARIABLE"/>
        </w:rPr>
        <w:t xml:space="preserve">Impeller</w:t>
      </w:r>
      <w:r>
        <w:t xml:space="preserve"> component through the Binding's component-model relation; the second references a </w:t>
      </w:r>
      <w:r>
        <w:rPr>
          <w:rStyle w:val="VARIABLE"/>
        </w:rPr>
        <w:t xml:space="preserve">Motor</w:t>
      </w:r>
      <w:r>
        <w:t xml:space="preserve"> through the companion-defined </w:t>
      </w:r>
      <w:r>
        <w:rPr>
          <w:rStyle w:val="VARIABLE"/>
        </w:rPr>
        <w:t xml:space="preserve">pump:MaterialReference</w:t>
      </w:r>
      <w:r>
        <w:t xml:space="preserve">, with the ExpandedNodeId available for definitive resolution; the third targets a concrete parent instance and therefore uses an instance IRI rather than a compact model name.</w:t>
      </w:r>
    </w:p>
    <w:p w14:paraId="3AC63934">
      <w:pPr>
        <w:pStyle w:val="Heading3"/>
      </w:pPr>
      <w:bookmarkStart w:id="502" w:name="_Clause_c6_3_3"/>
      <w:r>
        <w:t xml:space="preserve">Containment</w:t>
      </w:r>
      <w:bookmarkEnd w:id="502"/>
    </w:p>
    <w:p w14:paraId="18C764F4">
      <w:pPr>
        <w:pStyle w:val="PARAGRAPH"/>
      </w:pPr>
      <w:r>
        <w:rPr>
          <w:rStyle w:val="VARIABLE"/>
        </w:rPr>
        <w:t xml:space="preserve">uav:contains</w:t>
      </w:r>
      <w:r>
        <w:t xml:space="preserve"> (array of string) — on a composite type, the </w:t>
      </w:r>
      <w:r>
        <w:rPr>
          <w:rStyle w:val="VARIABLE"/>
        </w:rPr>
        <w:t xml:space="preserve">uav:refName</w:t>
      </w:r>
      <w:r>
        <w:t xml:space="preserve"> values of the sub-components it directly contains. </w:t>
      </w:r>
      <w:r>
        <w:rPr>
          <w:rStyle w:val="VARIABLE"/>
        </w:rPr>
        <w:t xml:space="preserve">uav:containedIn</w:t>
      </w:r>
      <w:r>
        <w:t xml:space="preserve"> (string) — on a contained type, the name of the single composite that contains it. Together they record the OPC UA composition graph (the tree of </w:t>
      </w:r>
      <w:r>
        <w:rPr>
          <w:rStyle w:val="VARIABLE"/>
        </w:rPr>
        <w:t xml:space="preserve">HasComponent</w:t>
      </w:r>
      <w:r>
        <w:t xml:space="preserve"> ownership) explicitly and symmetrically, so a converter can rebuild the parent/child edges and detect a broken model. Containment </w:t>
      </w:r>
      <w:r>
        <w:rPr>
          <w:b/>
        </w:rPr>
        <w:t xml:space="preserve">shall</w:t>
      </w:r>
      <w:r>
        <w:t xml:space="preserve"> be acyclic and each side </w:t>
      </w:r>
      <w:r>
        <w:rPr>
          <w:b/>
        </w:rPr>
        <w:t xml:space="preserve">shall</w:t>
      </w:r>
      <w:r>
        <w:t xml:space="preserve"> match the other (</w:t>
      </w:r>
      <w:r>
        <w:t xml:space="preserve">Section </w:t>
      </w:r>
      <w:r>
        <w:fldChar w:fldCharType="begin"/>
      </w:r>
      <w:r>
        <w:instrText xml:space="preserve"> REF _Clause_c6_4 \r \h </w:instrText>
      </w:r>
      <w:r>
        <w:fldChar w:fldCharType="separate"/>
      </w:r>
      <w:r>
        <w:rPr>
          <w:noProof/>
        </w:rPr>
        <w:t xml:space="preserve">6.4</w:t>
      </w:r>
      <w:r>
        <w:fldChar w:fldCharType="end"/>
      </w:r>
      <w:r>
        <w:t xml:space="preserve">).</w:t>
      </w:r>
    </w:p>
    <w:p w14:paraId="08058EA7">
      <w:pPr>
        <w:pStyle w:val="CODE"/>
      </w:pPr>
      <w:r>
        <w:t xml:space="preserve">// composite:            // part:</w:t>
      </w:r>
    </w:p>
    <w:p w14:paraId="26B2B5E2">
      <w:pPr>
        <w:pStyle w:val="CODE"/>
      </w:pPr>
      <w:r>
        <w:t xml:space="preserve">"uav:contains": ["Impeller"]   "uav:containedIn": "PumpType"</w:t>
      </w:r>
    </w:p>
    <w:p w14:paraId="2E233533">
      <w:pPr>
        <w:pStyle w:val="PARAGRAPH"/>
      </w:pPr>
      <w:r>
        <w:rPr>
          <w:i/>
        </w:rPr>
        <w:t xml:space="preserve">Explanation.</w:t>
      </w:r>
      <w:r>
        <w:t xml:space="preserve"> </w:t>
      </w:r>
      <w:r>
        <w:rPr>
          <w:rStyle w:val="VARIABLE"/>
        </w:rPr>
        <w:t xml:space="preserve">PumpType</w:t>
      </w:r>
      <w:r>
        <w:t xml:space="preserve"> contains a part reached by the </w:t>
      </w:r>
      <w:r>
        <w:rPr>
          <w:rStyle w:val="VARIABLE"/>
        </w:rPr>
        <w:t xml:space="preserve">Impeller</w:t>
      </w:r>
      <w:r>
        <w:t xml:space="preserve"> link, and the part declares it is contained in </w:t>
      </w:r>
      <w:r>
        <w:rPr>
          <w:rStyle w:val="VARIABLE"/>
        </w:rPr>
        <w:t xml:space="preserve">PumpType</w:t>
      </w:r>
      <w:r>
        <w:t xml:space="preserve">; the reciprocal pair is what a validator checks for a consistent </w:t>
      </w:r>
      <w:r>
        <w:rPr>
          <w:rStyle w:val="VARIABLE"/>
        </w:rPr>
        <w:t xml:space="preserve">HasComponent</w:t>
      </w:r>
      <w:r>
        <w:t xml:space="preserve"> tree.</w:t>
      </w:r>
    </w:p>
    <w:p w14:paraId="56BEDB8D">
      <w:pPr>
        <w:pStyle w:val="Heading3"/>
      </w:pPr>
      <w:bookmarkStart w:id="503" w:name="_Clause_c6_3_4"/>
      <w:r>
        <w:t xml:space="preserve">Type identity and naming</w:t>
      </w:r>
      <w:bookmarkEnd w:id="503"/>
    </w:p>
    <w:p w14:paraId="6C1680E3">
      <w:pPr>
        <w:pStyle w:val="PARAGRAPH"/>
      </w:pPr>
      <w:r>
        <w:rPr>
          <w:rStyle w:val="VARIABLE"/>
        </w:rPr>
        <w:t xml:space="preserve">uav:congruentType</w:t>
      </w:r>
      <w:r>
        <w:t xml:space="preserve"> (string) — the definitive ExpandedNodeId (or an external absolute IRI) of a type that is structurally congruent with this one: a shared, co-typed definition used to reconcile two models that describe the same OPC UA type. </w:t>
      </w:r>
      <w:r>
        <w:rPr>
          <w:rStyle w:val="VARIABLE"/>
        </w:rPr>
        <w:t xml:space="preserve">uav:congruentTypeName</w:t>
      </w:r>
      <w:r>
        <w:t xml:space="preserve"> (string) — the compact model name (</w:t>
      </w:r>
      <w:r>
        <w:t xml:space="preserve">Section </w:t>
      </w:r>
      <w:r>
        <w:fldChar w:fldCharType="begin"/>
      </w:r>
      <w:r>
        <w:instrText xml:space="preserve"> REF _Clause_c6_2_1_2 \r \h </w:instrText>
      </w:r>
      <w:r>
        <w:fldChar w:fldCharType="separate"/>
      </w:r>
      <w:r>
        <w:rPr>
          <w:noProof/>
        </w:rPr>
        <w:t xml:space="preserve">6.2.1.2</w:t>
      </w:r>
      <w:r>
        <w:fldChar w:fldCharType="end"/>
      </w:r>
      <w:r>
        <w:t xml:space="preserve">) of that OPC UA type; when used, it </w:t>
      </w:r>
      <w:r>
        <w:rPr>
          <w:b/>
        </w:rPr>
        <w:t xml:space="preserve">shall</w:t>
      </w:r>
      <w:r>
        <w:t xml:space="preserve"> accompany </w:t>
      </w:r>
      <w:r>
        <w:rPr>
          <w:rStyle w:val="VARIABLE"/>
        </w:rPr>
        <w:t xml:space="preserve">uav:congruentType</w:t>
      </w:r>
      <w:r>
        <w:t xml:space="preserve">. </w:t>
      </w:r>
      <w:r>
        <w:rPr>
          <w:rStyle w:val="VARIABLE"/>
        </w:rPr>
        <w:t xml:space="preserve">uav:nameNamespace</w:t>
      </w:r>
      <w:r>
        <w:t xml:space="preserve"> (absolute IRI) — the naming namespace against which this type's local names are resolved; it corresponds to the OPC UA namespace that qualifies the type's BrowseNames and </w:t>
      </w:r>
      <w:r>
        <w:rPr>
          <w:b/>
        </w:rPr>
        <w:t xml:space="preserve">shall</w:t>
      </w:r>
      <w:r>
        <w:t xml:space="preserve"> be an absolute IRI.</w:t>
      </w:r>
    </w:p>
    <w:p w14:paraId="06AB9918">
      <w:pPr>
        <w:pStyle w:val="CODE"/>
      </w:pPr>
      <w:r>
        <w:t xml:space="preserve">"uav:nameNamespace": "http://example.com/demo/pump",</w:t>
      </w:r>
    </w:p>
    <w:p w14:paraId="702B1CF1">
      <w:pPr>
        <w:pStyle w:val="CODE"/>
      </w:pPr>
      <w:r>
        <w:t xml:space="preserve">"uav:congruentTypeName": "pump:PumpType",</w:t>
      </w:r>
    </w:p>
    <w:p w14:paraId="11809735">
      <w:pPr>
        <w:pStyle w:val="CODE"/>
      </w:pPr>
      <w:r>
        <w:t xml:space="preserve">"uav:congruentType": "nsu=http://example.com/demo/pump;i=1001"</w:t>
      </w:r>
    </w:p>
    <w:p w14:paraId="01E4D4EA">
      <w:pPr>
        <w:pStyle w:val="PARAGRAPH"/>
      </w:pPr>
      <w:r>
        <w:rPr>
          <w:i/>
        </w:rPr>
        <w:t xml:space="preserve">Explanation.</w:t>
      </w:r>
      <w:r>
        <w:t xml:space="preserve"> The type's local names resolve within the pump NamespaceUri. </w:t>
      </w:r>
      <w:r>
        <w:rPr>
          <w:rStyle w:val="VARIABLE"/>
        </w:rPr>
        <w:t xml:space="preserve">pump:PumpType</w:t>
      </w:r>
      <w:r>
        <w:t xml:space="preserve"> conveys the model concept, while the ExpandedNodeId definitively identifies the congruent type so independently authored prefixes do not affect comparison.</w:t>
      </w:r>
    </w:p>
    <w:p w14:paraId="7F8668B7">
      <w:pPr>
        <w:pStyle w:val="Heading3"/>
      </w:pPr>
      <w:bookmarkStart w:id="504" w:name="_Clause_c6_3_5"/>
      <w:r>
        <w:t xml:space="preserve">Units, quantity kinds and scaling</w:t>
      </w:r>
      <w:bookmarkEnd w:id="504"/>
    </w:p>
    <w:p w14:paraId="416AFB85">
      <w:pPr>
        <w:pStyle w:val="PARAGRAPH"/>
      </w:pPr>
      <w:r>
        <w:rPr>
          <w:rStyle w:val="VARIABLE"/>
        </w:rPr>
        <w:t xml:space="preserve">uav:unitProperty</w:t>
      </w:r>
      <w:r>
        <w:t xml:space="preserve"> (RFC 6901 JSON Pointer) — a canonical JSON Pointer that locates the string property carrying the engineering unit of a value; it corresponds to the OPC UA </w:t>
      </w:r>
      <w:r>
        <w:rPr>
          <w:rStyle w:val="VARIABLE"/>
        </w:rPr>
        <w:t xml:space="preserve">EngineeringUnits</w:t>
      </w:r>
      <w:r>
        <w:t xml:space="preserve"> fact of an </w:t>
      </w:r>
      <w:r>
        <w:rPr>
          <w:rStyle w:val="VARIABLE"/>
        </w:rPr>
        <w:t xml:space="preserve">AnalogUnitType</w:t>
      </w:r>
      <w:r>
        <w:t xml:space="preserve">. Quantity kinds are expressed with QUDT (for example </w:t>
      </w:r>
      <w:r>
        <w:rPr>
          <w:rStyle w:val="VARIABLE"/>
        </w:rPr>
        <w:t xml:space="preserve">qudt-quantitykind:AngularVelocity</w:t>
      </w:r>
      <w:r>
        <w:t xml:space="preserve">) and are not given a </w:t>
      </w:r>
      <w:r>
        <w:rPr>
          <w:rStyle w:val="VARIABLE"/>
        </w:rPr>
        <w:t xml:space="preserve">uav</w:t>
      </w:r>
      <w:r>
        <w:t xml:space="preserve"> term. </w:t>
      </w:r>
      <w:r>
        <w:rPr>
          <w:rStyle w:val="VARIABLE"/>
        </w:rPr>
        <w:t xml:space="preserve">uav:scaleFactor</w:t>
      </w:r>
      <w:r>
        <w:t xml:space="preserve"> (number, non-zero) — the linear factor relating the raw transport value to the engineering value; the direction is fixed as </w:t>
      </w:r>
      <w:r>
        <w:rPr>
          <w:rStyle w:val="VARIABLE"/>
        </w:rPr>
        <w:t xml:space="preserve">engineering = raw * scaleFactor</w:t>
      </w:r>
      <w:r>
        <w:t xml:space="preserve">. </w:t>
      </w:r>
      <w:r>
        <w:rPr>
          <w:rStyle w:val="VARIABLE"/>
        </w:rPr>
        <w:t xml:space="preserve">uav:decimalPlaces</w:t>
      </w:r>
      <w:r>
        <w:t xml:space="preserve"> (integer ≥ 0) — the number of fractional decimal places retained after scaling. These capture the analog-scaling model facts a raw transport value needs to become an engineering value.</w:t>
      </w:r>
    </w:p>
    <w:p w14:paraId="52641583">
      <w:pPr>
        <w:pStyle w:val="CODE"/>
      </w:pPr>
      <w:r>
        <w:t xml:space="preserve">"pumpSpeed": { "type": "number", "unit": "qudt-quantitykind:AngularVelocity",</w:t>
      </w:r>
    </w:p>
    <w:p w14:paraId="3269F7B1">
      <w:pPr>
        <w:pStyle w:val="CODE"/>
      </w:pPr>
      <w:r>
        <w:t xml:space="preserve">  "uav:unitProperty": "/properties/pumpSpeed/unit", "uav:scaleFactor": 0.1, "uav:decimalPlaces": 2 }</w:t>
      </w:r>
    </w:p>
    <w:p w14:paraId="6727A321">
      <w:pPr>
        <w:pStyle w:val="PARAGRAPH"/>
      </w:pPr>
      <w:r>
        <w:rPr>
          <w:i/>
        </w:rPr>
        <w:t xml:space="preserve">Explanation.</w:t>
      </w:r>
      <w:r>
        <w:t xml:space="preserve"> A raw reading of </w:t>
      </w:r>
      <w:r>
        <w:rPr>
          <w:rStyle w:val="VARIABLE"/>
        </w:rPr>
        <w:t xml:space="preserve">2500</w:t>
      </w:r>
      <w:r>
        <w:t xml:space="preserve"> becomes </w:t>
      </w:r>
      <w:r>
        <w:rPr>
          <w:rStyle w:val="VARIABLE"/>
        </w:rPr>
        <w:t xml:space="preserve">250.0</w:t>
      </w:r>
      <w:r>
        <w:t xml:space="preserve"> rpm (</w:t>
      </w:r>
      <w:r>
        <w:rPr>
          <w:rStyle w:val="VARIABLE"/>
        </w:rPr>
        <w:t xml:space="preserve">2500 × 0.1</w:t>
      </w:r>
      <w:r>
        <w:t xml:space="preserve">, two decimals); the unit string is located by the JSON Pointer, and the quantity kind is angular velocity.</w:t>
      </w:r>
    </w:p>
    <w:p w14:paraId="34236AF1">
      <w:pPr>
        <w:pStyle w:val="Heading3"/>
      </w:pPr>
      <w:bookmarkStart w:id="505" w:name="_Clause_c6_3_6"/>
      <w:r>
        <w:t xml:space="preserve">Groups and membership</w:t>
      </w:r>
      <w:bookmarkEnd w:id="505"/>
    </w:p>
    <w:p w14:paraId="0FF04EE0">
      <w:pPr>
        <w:pStyle w:val="PARAGRAPH"/>
      </w:pPr>
      <w:r>
        <w:rPr>
          <w:rStyle w:val="VARIABLE"/>
        </w:rPr>
        <w:t xml:space="preserve">uav:propertyGroups</w:t>
      </w:r>
      <w:r>
        <w:rPr>
          <w:b/>
        </w:rPr>
        <w:t xml:space="preserve">, </w:t>
      </w:r>
      <w:r>
        <w:rPr>
          <w:rStyle w:val="VARIABLE"/>
        </w:rPr>
        <w:t xml:space="preserve">uav:eventGroups</w:t>
      </w:r>
      <w:r>
        <w:rPr>
          <w:b/>
        </w:rPr>
        <w:t xml:space="preserve">, </w:t>
      </w:r>
      <w:r>
        <w:rPr>
          <w:rStyle w:val="VARIABLE"/>
        </w:rPr>
        <w:t xml:space="preserve">uav:actionGroups</w:t>
      </w:r>
      <w:r>
        <w:t xml:space="preserve"> (arrays of group objects) — declare named groups of properties, events, and actions respectively; each group object has a required </w:t>
      </w:r>
      <w:r>
        <w:rPr>
          <w:rStyle w:val="VARIABLE"/>
        </w:rPr>
        <w:t xml:space="preserve">title</w:t>
      </w:r>
      <w:r>
        <w:t xml:space="preserve"> and may carry a </w:t>
      </w:r>
      <w:r>
        <w:rPr>
          <w:rStyle w:val="VARIABLE"/>
        </w:rPr>
        <w:t xml:space="preserve">description</w:t>
      </w:r>
      <w:r>
        <w:t xml:space="preserve"> and a </w:t>
      </w:r>
      <w:r>
        <w:rPr>
          <w:rStyle w:val="VARIABLE"/>
        </w:rPr>
        <w:t xml:space="preserve">uav:semanticId</w:t>
      </w:r>
      <w:r>
        <w:t xml:space="preserve">. </w:t>
      </w:r>
      <w:r>
        <w:rPr>
          <w:rStyle w:val="VARIABLE"/>
        </w:rPr>
        <w:t xml:space="preserve">uav:memberOf</w:t>
      </w:r>
      <w:r>
        <w:t xml:space="preserve"> (string) — on a property, event, or action, the </w:t>
      </w:r>
      <w:r>
        <w:rPr>
          <w:rStyle w:val="VARIABLE"/>
        </w:rPr>
        <w:t xml:space="preserve">title</w:t>
      </w:r>
      <w:r>
        <w:t xml:space="preserve"> of the group it belongs to. Groups project to OPC UA grouping/organizing folders (or a </w:t>
      </w:r>
      <w:r>
        <w:rPr>
          <w:rStyle w:val="VARIABLE"/>
        </w:rPr>
        <w:t xml:space="preserve">FunctionalGroupType</w:t>
      </w:r>
      <w:r>
        <w:t xml:space="preserve">-style facet), so they record a model fact about how a type presents its members. Group titles </w:t>
      </w:r>
      <w:r>
        <w:rPr>
          <w:b/>
        </w:rPr>
        <w:t xml:space="preserve">shall</w:t>
      </w:r>
      <w:r>
        <w:t xml:space="preserve"> be globally unique across all three group kinds of a type, and a </w:t>
      </w:r>
      <w:r>
        <w:rPr>
          <w:rStyle w:val="VARIABLE"/>
        </w:rPr>
        <w:t xml:space="preserve">uav:memberOf</w:t>
      </w:r>
      <w:r>
        <w:t xml:space="preserve"> value </w:t>
      </w:r>
      <w:r>
        <w:rPr>
          <w:b/>
        </w:rPr>
        <w:t xml:space="preserve">shall</w:t>
      </w:r>
      <w:r>
        <w:t xml:space="preserve"> name a group of the matching kind (</w:t>
      </w:r>
      <w:r>
        <w:t xml:space="preserve">Section </w:t>
      </w:r>
      <w:r>
        <w:fldChar w:fldCharType="begin"/>
      </w:r>
      <w:r>
        <w:instrText xml:space="preserve"> REF _Clause_c6_4 \r \h </w:instrText>
      </w:r>
      <w:r>
        <w:fldChar w:fldCharType="separate"/>
      </w:r>
      <w:r>
        <w:rPr>
          <w:noProof/>
        </w:rPr>
        <w:t xml:space="preserve">6.4</w:t>
      </w:r>
      <w:r>
        <w:fldChar w:fldCharType="end"/>
      </w:r>
      <w:r>
        <w:t xml:space="preserve">).</w:t>
      </w:r>
    </w:p>
    <w:p w14:paraId="78F0B0E1">
      <w:pPr>
        <w:pStyle w:val="PARAGRAPH"/>
      </w:pPr>
      <w:r>
        <w:rPr>
          <w:rStyle w:val="VARIABLE"/>
        </w:rPr>
        <w:t xml:space="preserve">uav:actionGroups</w:t>
      </w:r>
      <w:r>
        <w:t xml:space="preserve"> is intentionally named after the WoT </w:t>
      </w:r>
      <w:r>
        <w:rPr>
          <w:b/>
        </w:rPr>
        <w:t xml:space="preserve">action</w:t>
      </w:r>
      <w:r>
        <w:t xml:space="preserve"> affordance that it groups. Each grouped action projects to an OPC UA Method, but naming the group </w:t>
      </w:r>
      <w:r>
        <w:rPr>
          <w:rStyle w:val="VARIABLE"/>
        </w:rPr>
        <w:t xml:space="preserve">methodGroups</w:t>
      </w:r>
      <w:r>
        <w:t xml:space="preserve"> would expose the target protocol model instead of the WoT document model.</w:t>
      </w:r>
    </w:p>
    <w:p w14:paraId="08B7B6A7">
      <w:pPr>
        <w:pStyle w:val="CODE"/>
      </w:pPr>
      <w:r>
        <w:t xml:space="preserve">"uav:propertyGroups": [{ "title": "Operational" }],</w:t>
      </w:r>
    </w:p>
    <w:p w14:paraId="5F2BBEC2">
      <w:pPr>
        <w:pStyle w:val="CODE"/>
      </w:pPr>
      <w:r>
        <w:t xml:space="preserve">"pumpSpeed": { "uav:memberOf": "Operational" }</w:t>
      </w:r>
    </w:p>
    <w:p w14:paraId="0CB179A1">
      <w:pPr>
        <w:pStyle w:val="PARAGRAPH"/>
      </w:pPr>
      <w:r>
        <w:rPr>
          <w:i/>
        </w:rPr>
        <w:t xml:space="preserve">Explanation.</w:t>
      </w:r>
      <w:r>
        <w:t xml:space="preserve"> </w:t>
      </w:r>
      <w:r>
        <w:rPr>
          <w:rStyle w:val="VARIABLE"/>
        </w:rPr>
        <w:t xml:space="preserve">pumpSpeed</w:t>
      </w:r>
      <w:r>
        <w:t xml:space="preserve"> is presented under the </w:t>
      </w:r>
      <w:r>
        <w:rPr>
          <w:rStyle w:val="VARIABLE"/>
        </w:rPr>
        <w:t xml:space="preserve">Operational</w:t>
      </w:r>
      <w:r>
        <w:t xml:space="preserve"> property group, which a converter can expose as an organizing folder over the projected Variables.</w:t>
      </w:r>
    </w:p>
    <w:p w14:paraId="0EE3AEA1">
      <w:pPr>
        <w:pStyle w:val="Heading3"/>
      </w:pPr>
      <w:bookmarkStart w:id="506" w:name="_Clause_c6_3_7"/>
      <w:r>
        <w:t xml:space="preserve">Metadata, semantics and configuration</w:t>
      </w:r>
      <w:bookmarkEnd w:id="506"/>
    </w:p>
    <w:p w14:paraId="15E08C7F">
      <w:pPr>
        <w:pStyle w:val="PARAGRAPH"/>
      </w:pPr>
      <w:r>
        <w:rPr>
          <w:rStyle w:val="VARIABLE"/>
        </w:rPr>
        <w:t xml:space="preserve">uav:metadata</w:t>
      </w:r>
      <w:r>
        <w:t xml:space="preserve"> (JSON value) — an opaque object of implementation- or vendor-defined annotations, carried verbatim; it preserves model facts a converter does not interpret. </w:t>
      </w:r>
      <w:r>
        <w:rPr>
          <w:rStyle w:val="VARIABLE"/>
        </w:rPr>
        <w:t xml:space="preserve">uav:semanticId</w:t>
      </w:r>
      <w:r>
        <w:t xml:space="preserve"> (absolute IRI) — a stable semantic identifier for a type, affordance, or group, corresponding to the OPC UA semantic-reference (</w:t>
      </w:r>
      <w:r>
        <w:rPr>
          <w:rStyle w:val="VARIABLE"/>
        </w:rPr>
        <w:t xml:space="preserve">HasDictionaryEntry</w:t>
      </w:r>
      <w:r>
        <w:t xml:space="preserve">-style) fact. </w:t>
      </w:r>
      <w:r>
        <w:rPr>
          <w:rStyle w:val="VARIABLE"/>
        </w:rPr>
        <w:t xml:space="preserve">uav:propertyConfiguration</w:t>
      </w:r>
      <w:r>
        <w:rPr>
          <w:b/>
        </w:rPr>
        <w:t xml:space="preserve">, </w:t>
      </w:r>
      <w:r>
        <w:rPr>
          <w:rStyle w:val="VARIABLE"/>
        </w:rPr>
        <w:t xml:space="preserve">uav:actionConfiguration</w:t>
      </w:r>
      <w:r>
        <w:rPr>
          <w:b/>
        </w:rPr>
        <w:t xml:space="preserve">, </w:t>
      </w:r>
      <w:r>
        <w:rPr>
          <w:rStyle w:val="VARIABLE"/>
        </w:rPr>
        <w:t xml:space="preserve">uav:eventConfiguration</w:t>
      </w:r>
      <w:r>
        <w:t xml:space="preserve"> (JSON values) — opaque, per-affordance configuration objects, carried verbatim. Opaque members </w:t>
      </w:r>
      <w:r>
        <w:rPr>
          <w:b/>
        </w:rPr>
        <w:t xml:space="preserve">shall</w:t>
      </w:r>
      <w:r>
        <w:t xml:space="preserve"> be carried unchanged and </w:t>
      </w:r>
      <w:r>
        <w:rPr>
          <w:b/>
        </w:rPr>
        <w:t xml:space="preserve">shall not</w:t>
      </w:r>
      <w:r>
        <w:t xml:space="preserve"> cause a consumer to reject a document (</w:t>
      </w:r>
      <w:r>
        <w:t xml:space="preserve">Section </w:t>
      </w:r>
      <w:r>
        <w:fldChar w:fldCharType="begin"/>
      </w:r>
      <w:r>
        <w:instrText xml:space="preserve"> REF _Clause_c6_4 \r \h </w:instrText>
      </w:r>
      <w:r>
        <w:fldChar w:fldCharType="separate"/>
      </w:r>
      <w:r>
        <w:rPr>
          <w:noProof/>
        </w:rPr>
        <w:t xml:space="preserve">6.4</w:t>
      </w:r>
      <w:r>
        <w:fldChar w:fldCharType="end"/>
      </w:r>
      <w:r>
        <w:t xml:space="preserve">).</w:t>
      </w:r>
    </w:p>
    <w:p w14:paraId="21129F7D">
      <w:pPr>
        <w:pStyle w:val="CODE"/>
      </w:pPr>
      <w:r>
        <w:t xml:space="preserve">"uav:semanticId": "http://example.com/ontology/Pump",</w:t>
      </w:r>
    </w:p>
    <w:p w14:paraId="09E50927">
      <w:pPr>
        <w:pStyle w:val="CODE"/>
      </w:pPr>
      <w:r>
        <w:t xml:space="preserve">"uav:metadata": { "revision": 3, "maintainer": "Modeling WG" }</w:t>
      </w:r>
    </w:p>
    <w:p w14:paraId="39C10FE2">
      <w:pPr>
        <w:pStyle w:val="PARAGRAPH"/>
      </w:pPr>
      <w:r>
        <w:rPr>
          <w:i/>
        </w:rPr>
        <w:t xml:space="preserve">Explanation.</w:t>
      </w:r>
      <w:r>
        <w:t xml:space="preserve"> The type carries a stable semantic identity and a verbatim metadata bag; a converter preserves both even though it does not act on the metadata.</w:t>
      </w:r>
    </w:p>
    <w:p w14:paraId="75900FD8">
      <w:pPr>
        <w:pStyle w:val="Heading3"/>
      </w:pPr>
      <w:bookmarkStart w:id="507" w:name="_Clause_c6_3_8"/>
      <w:r>
        <w:t xml:space="preserve">Inheritance and open content</w:t>
      </w:r>
      <w:bookmarkEnd w:id="507"/>
    </w:p>
    <w:p w14:paraId="342580EA">
      <w:pPr>
        <w:pStyle w:val="PARAGRAPH"/>
      </w:pPr>
      <w:r>
        <w:rPr>
          <w:rStyle w:val="VARIABLE"/>
        </w:rPr>
        <w:t xml:space="preserve">uav:includeInherited</w:t>
      </w:r>
      <w:r>
        <w:t xml:space="preserve"> (boolean) — whether the Thing Model is understood to include the members it inherits from its supertypes (</w:t>
      </w:r>
      <w:r>
        <w:rPr>
          <w:rStyle w:val="VARIABLE"/>
        </w:rPr>
        <w:t xml:space="preserve">true</w:t>
      </w:r>
      <w:r>
        <w:t xml:space="preserve">) or only the members it declares itself (</w:t>
      </w:r>
      <w:r>
        <w:rPr>
          <w:rStyle w:val="VARIABLE"/>
        </w:rPr>
        <w:t xml:space="preserve">false</w:t>
      </w:r>
      <w:r>
        <w:t xml:space="preserve">); this maps to whether a projection walks the OPC UA supertype chain. </w:t>
      </w:r>
      <w:r>
        <w:rPr>
          <w:rStyle w:val="VARIABLE"/>
        </w:rPr>
        <w:t xml:space="preserve">uav:additionalProperties</w:t>
      </w:r>
      <w:r>
        <w:t xml:space="preserve"> (boolean) — whether instances may carry members beyond those the model declares (</w:t>
      </w:r>
      <w:r>
        <w:rPr>
          <w:rStyle w:val="VARIABLE"/>
        </w:rPr>
        <w:t xml:space="preserve">true</w:t>
      </w:r>
      <w:r>
        <w:t xml:space="preserve">, open content) or not (</w:t>
      </w:r>
      <w:r>
        <w:rPr>
          <w:rStyle w:val="VARIABLE"/>
        </w:rPr>
        <w:t xml:space="preserve">false</w:t>
      </w:r>
      <w:r>
        <w:t xml:space="preserve">, closed content), corresponding to whether the ObjectType is extensible.</w:t>
      </w:r>
    </w:p>
    <w:p w14:paraId="3D63D4D8">
      <w:pPr>
        <w:pStyle w:val="CODE"/>
      </w:pPr>
      <w:r>
        <w:t xml:space="preserve">"uav:includeInherited": true, "uav:additionalProperties": false</w:t>
      </w:r>
    </w:p>
    <w:p w14:paraId="12FB9DE3">
      <w:pPr>
        <w:pStyle w:val="PARAGRAPH"/>
      </w:pPr>
      <w:r>
        <w:rPr>
          <w:i/>
        </w:rPr>
        <w:t xml:space="preserve">Explanation.</w:t>
      </w:r>
      <w:r>
        <w:t xml:space="preserve"> The model spans inherited members, and instances are closed: a validator rejects any instance member the type does not declare.</w:t>
      </w:r>
    </w:p>
    <w:p w14:paraId="4E0AE6D0">
      <w:pPr>
        <w:pStyle w:val="Heading3"/>
      </w:pPr>
      <w:bookmarkStart w:id="508" w:name="_Clause_c6_3_9"/>
      <w:r>
        <w:t xml:space="preserve">Generic mapping terms and modelling rules</w:t>
      </w:r>
      <w:bookmarkEnd w:id="508"/>
    </w:p>
    <w:p w14:paraId="459B4FD5">
      <w:pPr>
        <w:pStyle w:val="PARAGRAPH"/>
      </w:pPr>
      <w:r>
        <w:rPr>
          <w:rStyle w:val="VARIABLE"/>
        </w:rPr>
        <w:t xml:space="preserve">uav:externalSchema</w:t>
      </w:r>
      <w:r>
        <w:t xml:space="preserve"> (string) — a URI or path to an external schema that defines a custom DataType or payload encoding the affordance uses; it records the model fact that a member's DataType is not inline. </w:t>
      </w:r>
      <w:r>
        <w:rPr>
          <w:rStyle w:val="VARIABLE"/>
        </w:rPr>
        <w:t xml:space="preserve">uav:modellingRule</w:t>
      </w:r>
      <w:r>
        <w:t xml:space="preserve"> (string) — the OPC UA modelling rule of a member; its value </w:t>
      </w:r>
      <w:r>
        <w:rPr>
          <w:b/>
        </w:rPr>
        <w:t xml:space="preserve">shall</w:t>
      </w:r>
      <w:r>
        <w:t xml:space="preserve"> be exactly one of </w:t>
      </w:r>
      <w:r>
        <w:rPr>
          <w:rStyle w:val="VARIABLE"/>
        </w:rPr>
        <w:t xml:space="preserve">Mandatory</w:t>
      </w:r>
      <w:r>
        <w:t xml:space="preserve">, </w:t>
      </w:r>
      <w:r>
        <w:rPr>
          <w:rStyle w:val="VARIABLE"/>
        </w:rPr>
        <w:t xml:space="preserve">Optional</w:t>
      </w:r>
      <w:r>
        <w:t xml:space="preserve">, </w:t>
      </w:r>
      <w:r>
        <w:rPr>
          <w:rStyle w:val="VARIABLE"/>
        </w:rPr>
        <w:t xml:space="preserve">MandatoryPlaceholder</w:t>
      </w:r>
      <w:r>
        <w:t xml:space="preserve">, or </w:t>
      </w:r>
      <w:r>
        <w:rPr>
          <w:rStyle w:val="VARIABLE"/>
        </w:rPr>
        <w:t xml:space="preserve">OptionalPlaceholder</w:t>
      </w:r>
      <w:r>
        <w:t xml:space="preserve"> (OPC 10000-3). The modelling rule is the single most important type-level model fact: it decides whether an instance must, may, or may repeatedly instantiate the member.</w:t>
      </w:r>
    </w:p>
    <w:p w14:paraId="05E7BD11">
      <w:pPr>
        <w:pStyle w:val="CODE"/>
      </w:pPr>
      <w:r>
        <w:t xml:space="preserve">"serialNumber": { "uav:modellingRule": "Mandatory" },</w:t>
      </w:r>
    </w:p>
    <w:p w14:paraId="0FF700A9">
      <w:pPr>
        <w:pStyle w:val="CODE"/>
      </w:pPr>
      <w:r>
        <w:t xml:space="preserve">"stage":        { "uav:modellingRule": "MandatoryPlaceholder" }</w:t>
      </w:r>
    </w:p>
    <w:p w14:paraId="31C9DE3C">
      <w:pPr>
        <w:pStyle w:val="PARAGRAPH"/>
      </w:pPr>
      <w:r>
        <w:rPr>
          <w:i/>
        </w:rPr>
        <w:t xml:space="preserve">Explanation.</w:t>
      </w:r>
      <w:r>
        <w:t xml:space="preserve"> Every instance must carry a </w:t>
      </w:r>
      <w:r>
        <w:rPr>
          <w:rStyle w:val="VARIABLE"/>
        </w:rPr>
        <w:t xml:space="preserve">serialNumber</w:t>
      </w:r>
      <w:r>
        <w:t xml:space="preserve">; </w:t>
      </w:r>
      <w:r>
        <w:rPr>
          <w:rStyle w:val="VARIABLE"/>
        </w:rPr>
        <w:t xml:space="preserve">stage</w:t>
      </w:r>
      <w:r>
        <w:t xml:space="preserve"> is a placeholder that expands, per instance, into one or more uniquely named </w:t>
      </w:r>
      <w:r>
        <w:rPr>
          <w:rStyle w:val="VARIABLE"/>
        </w:rPr>
        <w:t xml:space="preserve">stage</w:t>
      </w:r>
      <w:r>
        <w:t xml:space="preserve"> members.</w:t>
      </w:r>
    </w:p>
    <w:p w14:paraId="1D5920F5">
      <w:pPr>
        <w:pStyle w:val="Heading3"/>
      </w:pPr>
      <w:bookmarkStart w:id="509" w:name="_Clause_c6_3_10"/>
      <w:r>
        <w:t xml:space="preserve">Native projection and preservation terms</w:t>
      </w:r>
      <w:bookmarkEnd w:id="509"/>
    </w:p>
    <w:p w14:paraId="64E541DA">
      <w:pPr>
        <w:pStyle w:val="PARAGRAPH"/>
      </w:pPr>
      <w:r>
        <w:rPr>
          <w:rStyle w:val="VARIABLE"/>
        </w:rPr>
        <w:t xml:space="preserve">uav:nodes</w:t>
      </w:r>
      <w:r>
        <w:t xml:space="preserve"> (object) — the exceptional, schema-complete structured projection defined in </w:t>
      </w:r>
      <w:r>
        <w:t xml:space="preserve">Sections </w:t>
      </w:r>
      <w:r>
        <w:fldChar w:fldCharType="begin"/>
      </w:r>
      <w:r>
        <w:instrText xml:space="preserve"> REF _Clause_c6_6_2 \r \h </w:instrText>
      </w:r>
      <w:r>
        <w:fldChar w:fldCharType="separate"/>
      </w:r>
      <w:r>
        <w:rPr>
          <w:noProof/>
        </w:rPr>
        <w:t xml:space="preserve">6.6.2</w:t>
      </w:r>
      <w:r>
        <w:fldChar w:fldCharType="end"/>
      </w:r>
      <w:r>
        <w:t xml:space="preserve"> and </w:t>
      </w:r>
      <w:r>
        <w:fldChar w:fldCharType="begin"/>
      </w:r>
      <w:r>
        <w:instrText xml:space="preserve"> REF _Clause_c6_7_1 \r \h </w:instrText>
      </w:r>
      <w:r>
        <w:fldChar w:fldCharType="separate"/>
      </w:r>
      <w:r>
        <w:rPr>
          <w:noProof/>
        </w:rPr>
        <w:t xml:space="preserve">6.7.1</w:t>
      </w:r>
      <w:r>
        <w:fldChar w:fldCharType="end"/>
      </w:r>
      <w:r>
        <w:t xml:space="preserve">. Its </w:t>
      </w:r>
      <w:r>
        <w:rPr>
          <w:rStyle w:val="VARIABLE"/>
        </w:rPr>
        <w:t xml:space="preserve">@type</w:t>
      </w:r>
      <w:r>
        <w:t xml:space="preserve"> is </w:t>
      </w:r>
      <w:r>
        <w:rPr>
          <w:rStyle w:val="VARIABLE"/>
        </w:rPr>
        <w:t xml:space="preserve">uav:NodeModel</w:t>
      </w:r>
      <w:r>
        <w:t xml:space="preserve">; it carries the UANodeSet root tables and one complete structured record for every node when some source information cannot yet be expressed by the readable vocabulary.</w:t>
      </w:r>
    </w:p>
    <w:p w14:paraId="32836849">
      <w:pPr>
        <w:pStyle w:val="CODE"/>
      </w:pPr>
      <w:r>
        <w:t xml:space="preserve">"uav:nodes": {</w:t>
      </w:r>
    </w:p>
    <w:p w14:paraId="380D2AA7">
      <w:pPr>
        <w:pStyle w:val="CODE"/>
      </w:pPr>
      <w:r>
        <w:t xml:space="preserve">  "@type": "uav:NodeModel", "profileVersion": "1.0",</w:t>
      </w:r>
    </w:p>
    <w:p w14:paraId="2252CC75">
      <w:pPr>
        <w:pStyle w:val="CODE"/>
      </w:pPr>
      <w:r>
        <w:t xml:space="preserve">  "namespaceUris": ["http://example.com/demo/pump"],</w:t>
      </w:r>
    </w:p>
    <w:p w14:paraId="4003C63C">
      <w:pPr>
        <w:pStyle w:val="CODE"/>
      </w:pPr>
      <w:r>
        <w:t xml:space="preserve">  "nodes": [{ "nodeClass": "ObjectType", "nodeId": "ns=1;i=1001",</w:t>
      </w:r>
    </w:p>
    <w:p w14:paraId="082DD2BC">
      <w:pPr>
        <w:pStyle w:val="CODE"/>
      </w:pPr>
      <w:r>
        <w:t xml:space="preserve">              "browseName": "1:PumpType", "references": [ ... ] }]</w:t>
      </w:r>
    </w:p>
    <w:p w14:paraId="6B5105A3">
      <w:pPr>
        <w:pStyle w:val="CODE"/>
      </w:pPr>
      <w:r>
        <w:t xml:space="preserve">}</w:t>
      </w:r>
    </w:p>
    <w:p w14:paraId="38731809">
      <w:pPr>
        <w:pStyle w:val="PARAGRAPH"/>
      </w:pPr>
      <w:r>
        <w:rPr>
          <w:i/>
        </w:rPr>
        <w:t xml:space="preserve">Explanation.</w:t>
      </w:r>
      <w:r>
        <w:t xml:space="preserve"> This fallback is used only when the semantic/readable vocabulary is incomplete for the source NodeSet. It covers every field of the UANodeSet schema and is reconstructed and compared before a converter claims completeness.</w:t>
      </w:r>
    </w:p>
    <w:p w14:paraId="20251C27">
      <w:pPr>
        <w:pStyle w:val="PARAGRAPH"/>
      </w:pPr>
      <w:r>
        <w:rPr>
          <w:rStyle w:val="VARIABLE"/>
        </w:rPr>
        <w:t xml:space="preserve">uav:nodeSet</w:t>
      </w:r>
      <w:r>
        <w:t xml:space="preserve"> (object) — the exceptional preservation envelope defined in </w:t>
      </w:r>
      <w:r>
        <w:t xml:space="preserve">Section </w:t>
      </w:r>
      <w:r>
        <w:fldChar w:fldCharType="begin"/>
      </w:r>
      <w:r>
        <w:instrText xml:space="preserve"> REF _Clause_c6_7_3 \r \h </w:instrText>
      </w:r>
      <w:r>
        <w:fldChar w:fldCharType="separate"/>
      </w:r>
      <w:r>
        <w:rPr>
          <w:noProof/>
        </w:rPr>
        <w:t xml:space="preserve">6.7.3</w:t>
      </w:r>
      <w:r>
        <w:fldChar w:fldCharType="end"/>
      </w:r>
      <w:r>
        <w:t xml:space="preserve">. It carries an authoritative, byte-exact NodeSet2 baseline for explicit archival or a reported fallback when a future/unsupported construct cannot be represented by the supported </w:t>
      </w:r>
      <w:r>
        <w:rPr>
          <w:rStyle w:val="VARIABLE"/>
        </w:rPr>
        <w:t xml:space="preserve">uav:NodeModel</w:t>
      </w:r>
      <w:r>
        <w:t xml:space="preserve"> profile. A converter </w:t>
      </w:r>
      <w:r>
        <w:rPr>
          <w:b/>
        </w:rPr>
        <w:t xml:space="preserve">shall not</w:t>
      </w:r>
      <w:r>
        <w:t xml:space="preserve"> emit it by default when </w:t>
      </w:r>
      <w:r>
        <w:rPr>
          <w:rStyle w:val="VARIABLE"/>
        </w:rPr>
        <w:t xml:space="preserve">uav:nodes</w:t>
      </w:r>
      <w:r>
        <w:t xml:space="preserve"> is complete. When present, a consumer </w:t>
      </w:r>
      <w:r>
        <w:rPr>
          <w:b/>
        </w:rPr>
        <w:t xml:space="preserve">shall</w:t>
      </w:r>
      <w:r>
        <w:t xml:space="preserve"> verify its digest before use.</w:t>
      </w:r>
    </w:p>
    <w:p w14:paraId="465E0A69">
      <w:pPr>
        <w:pStyle w:val="CODE"/>
      </w:pPr>
      <w:r>
        <w:t xml:space="preserve">"uav:nodeSet": { "@type": "uav:nodeSet", "contentType": "application/opcua-nodeset+xml",</w:t>
      </w:r>
    </w:p>
    <w:p w14:paraId="351E1BD5">
      <w:pPr>
        <w:pStyle w:val="CODE"/>
      </w:pPr>
      <w:r>
        <w:t xml:space="preserve">  "encoding": "base64", "sha256": "…", "data": "…" }</w:t>
      </w:r>
    </w:p>
    <w:p w14:paraId="3EB543EC">
      <w:pPr>
        <w:pStyle w:val="PARAGRAPH"/>
      </w:pPr>
      <w:r>
        <w:rPr>
          <w:i/>
        </w:rPr>
        <w:t xml:space="preserve">Explanation.</w:t>
      </w:r>
      <w:r>
        <w:t xml:space="preserve"> The envelope pins exact NodeSet2 bytes and their SHA-256. It is separate from the native completeness proof and is not required for current UANodeSet constructs.</w:t>
      </w:r>
    </w:p>
    <w:p w14:paraId="22C875D0">
      <w:pPr>
        <w:pStyle w:val="Heading2"/>
      </w:pPr>
      <w:bookmarkStart w:id="510" w:name="_Clause_c6_4"/>
      <w:r>
        <w:t xml:space="preserve">Validation rules</w:t>
      </w:r>
      <w:bookmarkEnd w:id="510"/>
    </w:p>
    <w:p w14:paraId="63885A8A">
      <w:pPr>
        <w:pStyle w:val="PARAGRAPH"/>
      </w:pPr>
      <w:r>
        <w:t xml:space="preserve">A document that uses the vocabulary of </w:t>
      </w:r>
      <w:r>
        <w:t xml:space="preserve">Section </w:t>
      </w:r>
      <w:r>
        <w:fldChar w:fldCharType="begin"/>
      </w:r>
      <w:r>
        <w:instrText xml:space="preserve"> REF _Clause_c6_3 \r \h </w:instrText>
      </w:r>
      <w:r>
        <w:fldChar w:fldCharType="separate"/>
      </w:r>
      <w:r>
        <w:rPr>
          <w:noProof/>
        </w:rPr>
        <w:t xml:space="preserve">6.3</w:t>
      </w:r>
      <w:r>
        <w:fldChar w:fldCharType="end"/>
      </w:r>
      <w:r>
        <w:t xml:space="preserve"> </w:t>
      </w:r>
      <w:r>
        <w:rPr>
          <w:b/>
        </w:rPr>
        <w:t xml:space="preserve">shall</w:t>
      </w:r>
      <w:r>
        <w:t xml:space="preserve"> satisfy the following rules. A consumer that finds a violation </w:t>
      </w:r>
      <w:r>
        <w:rPr>
          <w:b/>
        </w:rPr>
        <w:t xml:space="preserve">shall</w:t>
      </w:r>
      <w:r>
        <w:t xml:space="preserve"> treat the document as invalid rather than silently repairing it.</w:t>
      </w:r>
    </w:p>
    <w:p w14:paraId="4FD0C722">
      <w:pPr>
        <w:pStyle w:val="PARAGRAPH"/>
      </w:pPr>
      <w:r>
        <w:rPr>
          <w:b/>
        </w:rPr>
        <w:t xml:space="preserve">Per-term domain and range.</w:t>
      </w:r>
    </w:p>
    <w:p w14:paraId="5101DD19">
      <w:pPr>
        <w:pStyle w:val="TABLE-title"/>
        <w:keepNext/>
      </w:pPr>
      <w:bookmarkStart w:id="511" w:name="_Tab_validation_rules_tab1"/>
      <w:r>
        <w:t xml:space="preserve">Table </w:t>
      </w:r>
      <w:r>
        <w:fldChar w:fldCharType="begin"/>
      </w:r>
      <w:r>
        <w:instrText xml:space="preserve"> SEQ Table \* ARABIC </w:instrText>
      </w:r>
      <w:r>
        <w:fldChar w:fldCharType="separate"/>
      </w:r>
      <w:r>
        <w:rPr>
          <w:noProof/>
        </w:rPr>
        <w:t xml:space="preserve">6</w:t>
      </w:r>
      <w:r>
        <w:fldChar w:fldCharType="end"/>
      </w:r>
      <w:r>
        <w:t xml:space="preserve"> – Validation rules</w:t>
      </w:r>
      <w:bookmarkEnd w:id="5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2EBF0214">
            <w:pPr>
              <w:pStyle w:val="TableText"/>
            </w:pPr>
            <w:r>
              <w:t xml:space="preserve">Term</w:t>
            </w:r>
          </w:p>
        </w:tc>
        <w:tc>
          <w:tcPr>
            <w:tcW w:w="2975" w:type="dxa"/>
            <w:tcBorders>
              <w:top w:val="single" w:sz="4" w:space="0" w:color="auto"/>
              <w:left w:val="single" w:sz="4" w:space="0" w:color="auto"/>
              <w:bottom w:val="double" w:sz="4" w:space="0" w:color="auto"/>
              <w:right w:val="single" w:sz="4" w:space="0" w:color="auto"/>
            </w:tcBorders>
          </w:tcPr>
          <w:p w14:paraId="4E9B98D6">
            <w:pPr>
              <w:pStyle w:val="TableText"/>
            </w:pPr>
            <w:r>
              <w:t xml:space="preserve">Domain (where it may appear)</w:t>
            </w:r>
          </w:p>
        </w:tc>
        <w:tc>
          <w:tcPr>
            <w:tcW w:w="2976" w:type="dxa"/>
            <w:tcBorders>
              <w:top w:val="single" w:sz="4" w:space="0" w:color="auto"/>
              <w:left w:val="single" w:sz="4" w:space="0" w:color="auto"/>
              <w:bottom w:val="double" w:sz="4" w:space="0" w:color="auto"/>
              <w:right w:val="single" w:sz="4" w:space="0" w:color="auto"/>
            </w:tcBorders>
          </w:tcPr>
          <w:p w14:paraId="48CD9A9A">
            <w:pPr>
              <w:pStyle w:val="TableText"/>
            </w:pPr>
            <w:r>
              <w:t xml:space="preserve">Range / allowed values</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68B4EC5D">
            <w:pPr>
              <w:pStyle w:val="TableText"/>
            </w:pPr>
            <w:r>
              <w:rPr>
                <w:rStyle w:val="VARIABLE"/>
              </w:rPr>
              <w:t xml:space="preserve">uav:isComposite</w:t>
            </w:r>
          </w:p>
        </w:tc>
        <w:tc>
          <w:tcPr>
            <w:tcW w:w="2975" w:type="dxa"/>
            <w:tcBorders>
              <w:top w:val="single" w:sz="4" w:space="0" w:color="auto"/>
              <w:left w:val="single" w:sz="4" w:space="0" w:color="auto"/>
              <w:bottom w:val="single" w:sz="4" w:space="0" w:color="auto"/>
              <w:right w:val="single" w:sz="4" w:space="0" w:color="auto"/>
            </w:tcBorders>
          </w:tcPr>
          <w:p w14:paraId="1DDB2B24">
            <w:pPr>
              <w:pStyle w:val="TableText"/>
            </w:pPr>
            <w:r>
              <w:t xml:space="preserve">type (TM root)</w:t>
            </w:r>
          </w:p>
        </w:tc>
        <w:tc>
          <w:tcPr>
            <w:tcW w:w="2976" w:type="dxa"/>
            <w:tcBorders>
              <w:top w:val="single" w:sz="4" w:space="0" w:color="auto"/>
              <w:left w:val="single" w:sz="4" w:space="0" w:color="auto"/>
              <w:bottom w:val="single" w:sz="4" w:space="0" w:color="auto"/>
              <w:right w:val="single" w:sz="4" w:space="0" w:color="auto"/>
            </w:tcBorders>
          </w:tcPr>
          <w:p w14:paraId="16DA3B36">
            <w:pPr>
              <w:pStyle w:val="TableText"/>
            </w:pPr>
            <w:r>
              <w:t xml:space="preserve">boolean</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331AE981">
            <w:pPr>
              <w:pStyle w:val="TableText"/>
            </w:pPr>
            <w:r>
              <w:rPr>
                <w:rStyle w:val="VARIABLE"/>
              </w:rPr>
              <w:t xml:space="preserve">uav:isEvent</w:t>
            </w:r>
          </w:p>
        </w:tc>
        <w:tc>
          <w:tcPr>
            <w:tcW w:w="2975" w:type="dxa"/>
            <w:tcBorders>
              <w:top w:val="single" w:sz="4" w:space="0" w:color="auto"/>
              <w:left w:val="single" w:sz="4" w:space="0" w:color="auto"/>
              <w:bottom w:val="single" w:sz="4" w:space="0" w:color="auto"/>
              <w:right w:val="single" w:sz="4" w:space="0" w:color="auto"/>
            </w:tcBorders>
          </w:tcPr>
          <w:p w14:paraId="7928CFDC">
            <w:pPr>
              <w:pStyle w:val="TableText"/>
            </w:pPr>
            <w:r>
              <w:t xml:space="preserve">event affordance</w:t>
            </w:r>
          </w:p>
        </w:tc>
        <w:tc>
          <w:tcPr>
            <w:tcW w:w="2976" w:type="dxa"/>
            <w:tcBorders>
              <w:top w:val="single" w:sz="4" w:space="0" w:color="auto"/>
              <w:left w:val="single" w:sz="4" w:space="0" w:color="auto"/>
              <w:bottom w:val="single" w:sz="4" w:space="0" w:color="auto"/>
              <w:right w:val="single" w:sz="4" w:space="0" w:color="auto"/>
            </w:tcBorders>
          </w:tcPr>
          <w:p w14:paraId="280B3451">
            <w:pPr>
              <w:pStyle w:val="TableText"/>
            </w:pPr>
            <w:r>
              <w:t xml:space="preserve">boolean</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40C0DBF7">
            <w:pPr>
              <w:pStyle w:val="TableText"/>
            </w:pPr>
            <w:r>
              <w:rPr>
                <w:rStyle w:val="VARIABLE"/>
              </w:rPr>
              <w:t xml:space="preserve">uav:eventType</w:t>
            </w:r>
          </w:p>
        </w:tc>
        <w:tc>
          <w:tcPr>
            <w:tcW w:w="2975" w:type="dxa"/>
            <w:tcBorders>
              <w:top w:val="single" w:sz="4" w:space="0" w:color="auto"/>
              <w:left w:val="single" w:sz="4" w:space="0" w:color="auto"/>
              <w:bottom w:val="single" w:sz="4" w:space="0" w:color="auto"/>
              <w:right w:val="single" w:sz="4" w:space="0" w:color="auto"/>
            </w:tcBorders>
          </w:tcPr>
          <w:p w14:paraId="28155FFF">
            <w:pPr>
              <w:pStyle w:val="TableText"/>
            </w:pPr>
            <w:r>
              <w:rPr>
                <w:rStyle w:val="VARIABLE"/>
              </w:rPr>
              <w:t xml:space="preserve">@type</w:t>
            </w:r>
            <w:r>
              <w:t xml:space="preserve"> of an event affordance</w:t>
            </w:r>
          </w:p>
        </w:tc>
        <w:tc>
          <w:tcPr>
            <w:tcW w:w="2976" w:type="dxa"/>
            <w:tcBorders>
              <w:top w:val="single" w:sz="4" w:space="0" w:color="auto"/>
              <w:left w:val="single" w:sz="4" w:space="0" w:color="auto"/>
              <w:bottom w:val="single" w:sz="4" w:space="0" w:color="auto"/>
              <w:right w:val="single" w:sz="4" w:space="0" w:color="auto"/>
            </w:tcBorders>
          </w:tcPr>
          <w:p w14:paraId="604665F3">
            <w:pPr>
              <w:pStyle w:val="TableText"/>
            </w:pPr>
            <w:r>
              <w:t xml:space="preserve">the literal term; requires </w:t>
            </w:r>
            <w:r>
              <w:rPr>
                <w:rStyle w:val="VARIABLE"/>
              </w:rPr>
              <w:t xml:space="preserve">uav:isEvent</w:t>
            </w:r>
            <w:r>
              <w:t xml:space="preserve"> not </w:t>
            </w:r>
            <w:r>
              <w:rPr>
                <w:rStyle w:val="VARIABLE"/>
              </w:rPr>
              <w:t xml:space="preserve">false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391E1B7F">
            <w:pPr>
              <w:pStyle w:val="TableText"/>
            </w:pPr>
            <w:r>
              <w:rPr>
                <w:rStyle w:val="VARIABLE"/>
              </w:rPr>
              <w:t xml:space="preserve">uav:capability</w:t>
            </w:r>
            <w:r>
              <w:t xml:space="preserve">, </w:t>
            </w:r>
            <w:r>
              <w:rPr>
                <w:rStyle w:val="VARIABLE"/>
              </w:rPr>
              <w:t xml:space="preserve">uav:componentModel</w:t>
            </w:r>
            <w:r>
              <w:t xml:space="preserve">, </w:t>
            </w:r>
            <w:r>
              <w:rPr>
                <w:rStyle w:val="VARIABLE"/>
              </w:rPr>
              <w:t xml:space="preserve">uav:reference</w:t>
            </w:r>
            <w:r>
              <w:t xml:space="preserve">, </w:t>
            </w:r>
            <w:r>
              <w:rPr>
                <w:rStyle w:val="VARIABLE"/>
              </w:rPr>
              <w:t xml:space="preserve">uav:componentOf</w:t>
            </w:r>
          </w:p>
        </w:tc>
        <w:tc>
          <w:tcPr>
            <w:tcW w:w="2975" w:type="dxa"/>
            <w:tcBorders>
              <w:top w:val="single" w:sz="4" w:space="0" w:color="auto"/>
              <w:left w:val="single" w:sz="4" w:space="0" w:color="auto"/>
              <w:bottom w:val="single" w:sz="4" w:space="0" w:color="auto"/>
              <w:right w:val="single" w:sz="4" w:space="0" w:color="auto"/>
            </w:tcBorders>
          </w:tcPr>
          <w:p w14:paraId="7BEDB81F">
            <w:pPr>
              <w:pStyle w:val="TableText"/>
            </w:pPr>
            <w:r>
              <w:t xml:space="preserve">a link </w:t>
            </w:r>
            <w:r>
              <w:rPr>
                <w:rStyle w:val="VARIABLE"/>
              </w:rPr>
              <w:t xml:space="preserve">rel</w:t>
            </w:r>
            <w:r>
              <w:t xml:space="preserve"> value</w:t>
            </w:r>
          </w:p>
        </w:tc>
        <w:tc>
          <w:tcPr>
            <w:tcW w:w="2976" w:type="dxa"/>
            <w:tcBorders>
              <w:top w:val="single" w:sz="4" w:space="0" w:color="auto"/>
              <w:left w:val="single" w:sz="4" w:space="0" w:color="auto"/>
              <w:bottom w:val="single" w:sz="4" w:space="0" w:color="auto"/>
              <w:right w:val="single" w:sz="4" w:space="0" w:color="auto"/>
            </w:tcBorders>
          </w:tcPr>
          <w:p w14:paraId="48241EAE">
            <w:pPr>
              <w:pStyle w:val="TableText"/>
            </w:pPr>
            <w:r>
              <w:t xml:space="preserve">the literal term</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6245A5D2">
            <w:pPr>
              <w:pStyle w:val="TableText"/>
            </w:pPr>
            <w:r>
              <w:t xml:space="preserve">ReferenceType compact model name</w:t>
            </w:r>
          </w:p>
        </w:tc>
        <w:tc>
          <w:tcPr>
            <w:tcW w:w="2975" w:type="dxa"/>
            <w:tcBorders>
              <w:top w:val="single" w:sz="4" w:space="0" w:color="auto"/>
              <w:left w:val="single" w:sz="4" w:space="0" w:color="auto"/>
              <w:bottom w:val="single" w:sz="4" w:space="0" w:color="auto"/>
              <w:right w:val="single" w:sz="4" w:space="0" w:color="auto"/>
            </w:tcBorders>
          </w:tcPr>
          <w:p w14:paraId="054CEE14">
            <w:pPr>
              <w:pStyle w:val="TableText"/>
            </w:pPr>
            <w:r>
              <w:t xml:space="preserve">a link </w:t>
            </w:r>
            <w:r>
              <w:rPr>
                <w:rStyle w:val="VARIABLE"/>
              </w:rPr>
              <w:t xml:space="preserve">rel</w:t>
            </w:r>
            <w:r>
              <w:t xml:space="preserve"> value</w:t>
            </w:r>
          </w:p>
        </w:tc>
        <w:tc>
          <w:tcPr>
            <w:tcW w:w="2976" w:type="dxa"/>
            <w:tcBorders>
              <w:top w:val="single" w:sz="4" w:space="0" w:color="auto"/>
              <w:left w:val="single" w:sz="4" w:space="0" w:color="auto"/>
              <w:bottom w:val="single" w:sz="4" w:space="0" w:color="auto"/>
              <w:right w:val="single" w:sz="4" w:space="0" w:color="auto"/>
            </w:tcBorders>
          </w:tcPr>
          <w:p w14:paraId="2B6F8FFA">
            <w:pPr>
              <w:pStyle w:val="TableText"/>
            </w:pPr>
            <w:r>
              <w:t xml:space="preserve">Section </w:t>
            </w:r>
            <w:r>
              <w:fldChar w:fldCharType="begin"/>
            </w:r>
            <w:r>
              <w:instrText xml:space="preserve"> REF _Clause_c6_2_1_2 \r \h </w:instrText>
            </w:r>
            <w:r>
              <w:fldChar w:fldCharType="separate"/>
            </w:r>
            <w:r>
              <w:rPr>
                <w:noProof/>
              </w:rPr>
              <w:t xml:space="preserve">6.2.1.2</w:t>
            </w:r>
            <w:r>
              <w:fldChar w:fldCharType="end"/>
            </w:r>
            <w:r>
              <w:t xml:space="preserve"> model name resolving to a ReferenceType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4206DA43">
            <w:pPr>
              <w:pStyle w:val="TableText"/>
            </w:pPr>
            <w:r>
              <w:rPr>
                <w:rStyle w:val="VARIABLE"/>
              </w:rPr>
              <w:t xml:space="preserve">uav:refName</w:t>
            </w:r>
          </w:p>
        </w:tc>
        <w:tc>
          <w:tcPr>
            <w:tcW w:w="2975" w:type="dxa"/>
            <w:tcBorders>
              <w:top w:val="single" w:sz="4" w:space="0" w:color="auto"/>
              <w:left w:val="single" w:sz="4" w:space="0" w:color="auto"/>
              <w:bottom w:val="single" w:sz="4" w:space="0" w:color="auto"/>
              <w:right w:val="single" w:sz="4" w:space="0" w:color="auto"/>
            </w:tcBorders>
          </w:tcPr>
          <w:p w14:paraId="08C83EFD">
            <w:pPr>
              <w:pStyle w:val="TableText"/>
            </w:pPr>
            <w:r>
              <w:t xml:space="preserve">a link</w:t>
            </w:r>
          </w:p>
        </w:tc>
        <w:tc>
          <w:tcPr>
            <w:tcW w:w="2976" w:type="dxa"/>
            <w:tcBorders>
              <w:top w:val="single" w:sz="4" w:space="0" w:color="auto"/>
              <w:left w:val="single" w:sz="4" w:space="0" w:color="auto"/>
              <w:bottom w:val="single" w:sz="4" w:space="0" w:color="auto"/>
              <w:right w:val="single" w:sz="4" w:space="0" w:color="auto"/>
            </w:tcBorders>
          </w:tcPr>
          <w:p w14:paraId="49B324CF">
            <w:pPr>
              <w:pStyle w:val="TableText"/>
            </w:pPr>
            <w:r>
              <w:t xml:space="preserve">non-empty string, unique among a type's links</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3BC52411">
            <w:pPr>
              <w:pStyle w:val="TableText"/>
            </w:pPr>
            <w:r>
              <w:rPr>
                <w:rStyle w:val="VARIABLE"/>
              </w:rPr>
              <w:t xml:space="preserve">uav:refId</w:t>
            </w:r>
          </w:p>
        </w:tc>
        <w:tc>
          <w:tcPr>
            <w:tcW w:w="2975" w:type="dxa"/>
            <w:tcBorders>
              <w:top w:val="single" w:sz="4" w:space="0" w:color="auto"/>
              <w:left w:val="single" w:sz="4" w:space="0" w:color="auto"/>
              <w:bottom w:val="single" w:sz="4" w:space="0" w:color="auto"/>
              <w:right w:val="single" w:sz="4" w:space="0" w:color="auto"/>
            </w:tcBorders>
          </w:tcPr>
          <w:p w14:paraId="3CAFE6D1">
            <w:pPr>
              <w:pStyle w:val="TableText"/>
            </w:pPr>
            <w:r>
              <w:t xml:space="preserve">a typed ReferenceType relation or </w:t>
            </w:r>
            <w:r>
              <w:rPr>
                <w:rStyle w:val="VARIABLE"/>
              </w:rPr>
              <w:t xml:space="preserve">uav:componentModel</w:t>
            </w:r>
            <w:r>
              <w:t xml:space="preserve"> link</w:t>
            </w:r>
          </w:p>
        </w:tc>
        <w:tc>
          <w:tcPr>
            <w:tcW w:w="2976" w:type="dxa"/>
            <w:tcBorders>
              <w:top w:val="single" w:sz="4" w:space="0" w:color="auto"/>
              <w:left w:val="single" w:sz="4" w:space="0" w:color="auto"/>
              <w:bottom w:val="single" w:sz="4" w:space="0" w:color="auto"/>
              <w:right w:val="single" w:sz="4" w:space="0" w:color="auto"/>
            </w:tcBorders>
          </w:tcPr>
          <w:p w14:paraId="41045175">
            <w:pPr>
              <w:pStyle w:val="TableText"/>
            </w:pPr>
            <w:r>
              <w:t xml:space="preserve">definitive ExpandedNodeId (</w:t>
            </w:r>
            <w:r>
              <w:t xml:space="preserve">Section </w:t>
            </w:r>
            <w:r>
              <w:fldChar w:fldCharType="begin"/>
            </w:r>
            <w:r>
              <w:instrText xml:space="preserve"> REF _Clause_c6_2_1_1 \r \h </w:instrText>
            </w:r>
            <w:r>
              <w:fldChar w:fldCharType="separate"/>
            </w:r>
            <w:r>
              <w:rPr>
                <w:noProof/>
              </w:rPr>
              <w:t xml:space="preserve">6.2.1.1</w:t>
            </w:r>
            <w:r>
              <w:fldChar w:fldCharType="end"/>
            </w:r>
            <w:r>
              <w:t xml:space="preserv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7A6B328B">
            <w:pPr>
              <w:pStyle w:val="TableText"/>
            </w:pPr>
            <w:r>
              <w:rPr>
                <w:rStyle w:val="VARIABLE"/>
              </w:rPr>
              <w:t xml:space="preserve">uav:contains</w:t>
            </w:r>
          </w:p>
        </w:tc>
        <w:tc>
          <w:tcPr>
            <w:tcW w:w="2975" w:type="dxa"/>
            <w:tcBorders>
              <w:top w:val="single" w:sz="4" w:space="0" w:color="auto"/>
              <w:left w:val="single" w:sz="4" w:space="0" w:color="auto"/>
              <w:bottom w:val="single" w:sz="4" w:space="0" w:color="auto"/>
              <w:right w:val="single" w:sz="4" w:space="0" w:color="auto"/>
            </w:tcBorders>
          </w:tcPr>
          <w:p w14:paraId="7A563363">
            <w:pPr>
              <w:pStyle w:val="TableText"/>
            </w:pPr>
            <w:r>
              <w:t xml:space="preserve">composite type</w:t>
            </w:r>
          </w:p>
        </w:tc>
        <w:tc>
          <w:tcPr>
            <w:tcW w:w="2976" w:type="dxa"/>
            <w:tcBorders>
              <w:top w:val="single" w:sz="4" w:space="0" w:color="auto"/>
              <w:left w:val="single" w:sz="4" w:space="0" w:color="auto"/>
              <w:bottom w:val="single" w:sz="4" w:space="0" w:color="auto"/>
              <w:right w:val="single" w:sz="4" w:space="0" w:color="auto"/>
            </w:tcBorders>
          </w:tcPr>
          <w:p w14:paraId="2E90D501">
            <w:pPr>
              <w:pStyle w:val="TableText"/>
            </w:pPr>
            <w:r>
              <w:t xml:space="preserve">array of </w:t>
            </w:r>
            <w:r>
              <w:rPr>
                <w:rStyle w:val="VARIABLE"/>
              </w:rPr>
              <w:t xml:space="preserve">uav:refName</w:t>
            </w:r>
            <w:r>
              <w:t xml:space="preserve"> values declared on the same type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56ADDEC5">
            <w:pPr>
              <w:pStyle w:val="TableText"/>
            </w:pPr>
            <w:r>
              <w:rPr>
                <w:rStyle w:val="VARIABLE"/>
              </w:rPr>
              <w:t xml:space="preserve">uav:containedIn</w:t>
            </w:r>
          </w:p>
        </w:tc>
        <w:tc>
          <w:tcPr>
            <w:tcW w:w="2975" w:type="dxa"/>
            <w:tcBorders>
              <w:top w:val="single" w:sz="4" w:space="0" w:color="auto"/>
              <w:left w:val="single" w:sz="4" w:space="0" w:color="auto"/>
              <w:bottom w:val="single" w:sz="4" w:space="0" w:color="auto"/>
              <w:right w:val="single" w:sz="4" w:space="0" w:color="auto"/>
            </w:tcBorders>
          </w:tcPr>
          <w:p w14:paraId="5347B1F0">
            <w:pPr>
              <w:pStyle w:val="TableText"/>
            </w:pPr>
            <w:r>
              <w:t xml:space="preserve">contained type</w:t>
            </w:r>
          </w:p>
        </w:tc>
        <w:tc>
          <w:tcPr>
            <w:tcW w:w="2976" w:type="dxa"/>
            <w:tcBorders>
              <w:top w:val="single" w:sz="4" w:space="0" w:color="auto"/>
              <w:left w:val="single" w:sz="4" w:space="0" w:color="auto"/>
              <w:bottom w:val="single" w:sz="4" w:space="0" w:color="auto"/>
              <w:right w:val="single" w:sz="4" w:space="0" w:color="auto"/>
            </w:tcBorders>
          </w:tcPr>
          <w:p w14:paraId="08BC5CE4">
            <w:pPr>
              <w:pStyle w:val="TableText"/>
            </w:pPr>
            <w:r>
              <w:t xml:space="preserve">the name of exactly one composite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4479E83B">
            <w:pPr>
              <w:pStyle w:val="TableText"/>
            </w:pPr>
            <w:r>
              <w:rPr>
                <w:rStyle w:val="VARIABLE"/>
              </w:rPr>
              <w:t xml:space="preserve">uav:id</w:t>
            </w:r>
            <w:r>
              <w:t xml:space="preserve">, </w:t>
            </w:r>
            <w:r>
              <w:rPr>
                <w:rStyle w:val="VARIABLE"/>
              </w:rPr>
              <w:t xml:space="preserve">uav:hasComponent</w:t>
            </w:r>
            <w:r>
              <w:t xml:space="preserve">, </w:t>
            </w:r>
            <w:r>
              <w:rPr>
                <w:rStyle w:val="VARIABLE"/>
              </w:rPr>
              <w:t xml:space="preserve">uav:componentOf</w:t>
            </w:r>
            <w:r>
              <w:t xml:space="preserve">, </w:t>
            </w:r>
            <w:r>
              <w:rPr>
                <w:rStyle w:val="VARIABLE"/>
              </w:rPr>
              <w:t xml:space="preserve">uav:mapToNodeId</w:t>
            </w:r>
            <w:r>
              <w:t xml:space="preserve">, </w:t>
            </w:r>
            <w:r>
              <w:rPr>
                <w:rStyle w:val="VARIABLE"/>
              </w:rPr>
              <w:t xml:space="preserve">uav:mapToType</w:t>
            </w:r>
          </w:p>
        </w:tc>
        <w:tc>
          <w:tcPr>
            <w:tcW w:w="2975" w:type="dxa"/>
            <w:tcBorders>
              <w:top w:val="single" w:sz="4" w:space="0" w:color="auto"/>
              <w:left w:val="single" w:sz="4" w:space="0" w:color="auto"/>
              <w:bottom w:val="single" w:sz="4" w:space="0" w:color="auto"/>
              <w:right w:val="single" w:sz="4" w:space="0" w:color="auto"/>
            </w:tcBorders>
          </w:tcPr>
          <w:p w14:paraId="69FA6C7F">
            <w:pPr>
              <w:pStyle w:val="TableText"/>
            </w:pPr>
            <w:r>
              <w:t xml:space="preserve">as defined in </w:t>
            </w:r>
            <w:r>
              <w:t xml:space="preserve">Sections </w:t>
            </w:r>
            <w:r>
              <w:fldChar w:fldCharType="begin"/>
            </w:r>
            <w:r>
              <w:instrText xml:space="preserve"> REF _Clause_c6_2_1 \r \h </w:instrText>
            </w:r>
            <w:r>
              <w:fldChar w:fldCharType="separate"/>
            </w:r>
            <w:r>
              <w:rPr>
                <w:noProof/>
              </w:rPr>
              <w:t xml:space="preserve">6.2.1</w:t>
            </w:r>
            <w:r>
              <w:fldChar w:fldCharType="end"/>
            </w:r>
            <w:r>
              <w:t xml:space="preserve">, </w:t>
            </w:r>
            <w:r>
              <w:fldChar w:fldCharType="begin"/>
            </w:r>
            <w:r>
              <w:instrText xml:space="preserve"> REF _Clause_c6_2_3 \r \h </w:instrText>
            </w:r>
            <w:r>
              <w:fldChar w:fldCharType="separate"/>
            </w:r>
            <w:r>
              <w:rPr>
                <w:noProof/>
              </w:rPr>
              <w:t xml:space="preserve">6.2.3</w:t>
            </w:r>
            <w:r>
              <w:fldChar w:fldCharType="end"/>
            </w:r>
            <w:r>
              <w:t xml:space="preserve">, </w:t>
            </w:r>
            <w:r>
              <w:fldChar w:fldCharType="begin"/>
            </w:r>
            <w:r>
              <w:instrText xml:space="preserve"> REF _Clause_c6_2_4 \r \h </w:instrText>
            </w:r>
            <w:r>
              <w:fldChar w:fldCharType="separate"/>
            </w:r>
            <w:r>
              <w:rPr>
                <w:noProof/>
              </w:rPr>
              <w:t xml:space="preserve">6.2.4</w:t>
            </w:r>
            <w:r>
              <w:fldChar w:fldCharType="end"/>
            </w:r>
          </w:p>
        </w:tc>
        <w:tc>
          <w:tcPr>
            <w:tcW w:w="2976" w:type="dxa"/>
            <w:tcBorders>
              <w:top w:val="single" w:sz="4" w:space="0" w:color="auto"/>
              <w:left w:val="single" w:sz="4" w:space="0" w:color="auto"/>
              <w:bottom w:val="single" w:sz="4" w:space="0" w:color="auto"/>
              <w:right w:val="single" w:sz="4" w:space="0" w:color="auto"/>
            </w:tcBorders>
          </w:tcPr>
          <w:p w14:paraId="37332E02">
            <w:pPr>
              <w:pStyle w:val="TableText"/>
            </w:pPr>
            <w:r>
              <w:t xml:space="preserve">ExpandedNodeId (</w:t>
            </w:r>
            <w:r>
              <w:t xml:space="preserve">Section </w:t>
            </w:r>
            <w:r>
              <w:fldChar w:fldCharType="begin"/>
            </w:r>
            <w:r>
              <w:instrText xml:space="preserve"> REF _Clause_c6_2_1_1 \r \h </w:instrText>
            </w:r>
            <w:r>
              <w:fldChar w:fldCharType="separate"/>
            </w:r>
            <w:r>
              <w:rPr>
                <w:noProof/>
              </w:rPr>
              <w:t xml:space="preserve">6.2.1.1</w:t>
            </w:r>
            <w:r>
              <w:fldChar w:fldCharType="end"/>
            </w:r>
            <w:r>
              <w:t xml:space="preserve">) with no </w:t>
            </w:r>
            <w:r>
              <w:rPr>
                <w:rStyle w:val="VARIABLE"/>
              </w:rPr>
              <w:t xml:space="preserve">ns=&lt;index&gt;</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312E4DD0">
            <w:pPr>
              <w:pStyle w:val="TableText"/>
            </w:pPr>
            <w:r>
              <w:rPr>
                <w:rStyle w:val="VARIABLE"/>
              </w:rPr>
              <w:t xml:space="preserve">uav:mapToTypeName</w:t>
            </w:r>
          </w:p>
        </w:tc>
        <w:tc>
          <w:tcPr>
            <w:tcW w:w="2975" w:type="dxa"/>
            <w:tcBorders>
              <w:top w:val="single" w:sz="4" w:space="0" w:color="auto"/>
              <w:left w:val="single" w:sz="4" w:space="0" w:color="auto"/>
              <w:bottom w:val="single" w:sz="4" w:space="0" w:color="auto"/>
              <w:right w:val="single" w:sz="4" w:space="0" w:color="auto"/>
            </w:tcBorders>
          </w:tcPr>
          <w:p w14:paraId="3E222234">
            <w:pPr>
              <w:pStyle w:val="TableText"/>
            </w:pPr>
            <w:r>
              <w:t xml:space="preserve">property</w:t>
            </w:r>
          </w:p>
        </w:tc>
        <w:tc>
          <w:tcPr>
            <w:tcW w:w="2976" w:type="dxa"/>
            <w:tcBorders>
              <w:top w:val="single" w:sz="4" w:space="0" w:color="auto"/>
              <w:left w:val="single" w:sz="4" w:space="0" w:color="auto"/>
              <w:bottom w:val="single" w:sz="4" w:space="0" w:color="auto"/>
              <w:right w:val="single" w:sz="4" w:space="0" w:color="auto"/>
            </w:tcBorders>
          </w:tcPr>
          <w:p w14:paraId="7CED8940">
            <w:pPr>
              <w:pStyle w:val="TableText"/>
            </w:pPr>
            <w:r>
              <w:t xml:space="preserve">compact model name of the </w:t>
            </w:r>
            <w:r>
              <w:rPr>
                <w:rStyle w:val="VARIABLE"/>
              </w:rPr>
              <w:t xml:space="preserve">uav:mapToType</w:t>
            </w:r>
            <w:r>
              <w:t xml:space="preserve"> target; requires </w:t>
            </w:r>
            <w:r>
              <w:rPr>
                <w:rStyle w:val="VARIABLE"/>
              </w:rPr>
              <w:t xml:space="preserve">uav:mapToType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661E885">
            <w:pPr>
              <w:pStyle w:val="TableText"/>
            </w:pPr>
            <w:r>
              <w:rPr>
                <w:rStyle w:val="VARIABLE"/>
              </w:rPr>
              <w:t xml:space="preserve">uav:congruentType</w:t>
            </w:r>
          </w:p>
        </w:tc>
        <w:tc>
          <w:tcPr>
            <w:tcW w:w="2975" w:type="dxa"/>
            <w:tcBorders>
              <w:top w:val="single" w:sz="4" w:space="0" w:color="auto"/>
              <w:left w:val="single" w:sz="4" w:space="0" w:color="auto"/>
              <w:bottom w:val="single" w:sz="4" w:space="0" w:color="auto"/>
              <w:right w:val="single" w:sz="4" w:space="0" w:color="auto"/>
            </w:tcBorders>
          </w:tcPr>
          <w:p w14:paraId="46D1D15B">
            <w:pPr>
              <w:pStyle w:val="TableText"/>
            </w:pPr>
            <w:r>
              <w:t xml:space="preserve">type</w:t>
            </w:r>
          </w:p>
        </w:tc>
        <w:tc>
          <w:tcPr>
            <w:tcW w:w="2976" w:type="dxa"/>
            <w:tcBorders>
              <w:top w:val="single" w:sz="4" w:space="0" w:color="auto"/>
              <w:left w:val="single" w:sz="4" w:space="0" w:color="auto"/>
              <w:bottom w:val="single" w:sz="4" w:space="0" w:color="auto"/>
              <w:right w:val="single" w:sz="4" w:space="0" w:color="auto"/>
            </w:tcBorders>
          </w:tcPr>
          <w:p w14:paraId="28C29330">
            <w:pPr>
              <w:pStyle w:val="TableText"/>
            </w:pPr>
            <w:r>
              <w:t xml:space="preserve">ExpandedNodeId or absolute IRI</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4715173">
            <w:pPr>
              <w:pStyle w:val="TableText"/>
            </w:pPr>
            <w:r>
              <w:rPr>
                <w:rStyle w:val="VARIABLE"/>
              </w:rPr>
              <w:t xml:space="preserve">uav:congruentTypeName</w:t>
            </w:r>
          </w:p>
        </w:tc>
        <w:tc>
          <w:tcPr>
            <w:tcW w:w="2975" w:type="dxa"/>
            <w:tcBorders>
              <w:top w:val="single" w:sz="4" w:space="0" w:color="auto"/>
              <w:left w:val="single" w:sz="4" w:space="0" w:color="auto"/>
              <w:bottom w:val="single" w:sz="4" w:space="0" w:color="auto"/>
              <w:right w:val="single" w:sz="4" w:space="0" w:color="auto"/>
            </w:tcBorders>
          </w:tcPr>
          <w:p w14:paraId="74ACA2E8">
            <w:pPr>
              <w:pStyle w:val="TableText"/>
            </w:pPr>
            <w:r>
              <w:t xml:space="preserve">type</w:t>
            </w:r>
          </w:p>
        </w:tc>
        <w:tc>
          <w:tcPr>
            <w:tcW w:w="2976" w:type="dxa"/>
            <w:tcBorders>
              <w:top w:val="single" w:sz="4" w:space="0" w:color="auto"/>
              <w:left w:val="single" w:sz="4" w:space="0" w:color="auto"/>
              <w:bottom w:val="single" w:sz="4" w:space="0" w:color="auto"/>
              <w:right w:val="single" w:sz="4" w:space="0" w:color="auto"/>
            </w:tcBorders>
          </w:tcPr>
          <w:p w14:paraId="2AF3670A">
            <w:pPr>
              <w:pStyle w:val="TableText"/>
            </w:pPr>
            <w:r>
              <w:t xml:space="preserve">compact model name of the </w:t>
            </w:r>
            <w:r>
              <w:rPr>
                <w:rStyle w:val="VARIABLE"/>
              </w:rPr>
              <w:t xml:space="preserve">uav:congruentType</w:t>
            </w:r>
            <w:r>
              <w:t xml:space="preserve"> target; requires </w:t>
            </w:r>
            <w:r>
              <w:rPr>
                <w:rStyle w:val="VARIABLE"/>
              </w:rPr>
              <w:t xml:space="preserve">uav:congruentType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645F6DD">
            <w:pPr>
              <w:pStyle w:val="TableText"/>
            </w:pPr>
            <w:r>
              <w:rPr>
                <w:rStyle w:val="VARIABLE"/>
              </w:rPr>
              <w:t xml:space="preserve">uav:nameNamespace</w:t>
            </w:r>
          </w:p>
        </w:tc>
        <w:tc>
          <w:tcPr>
            <w:tcW w:w="2975" w:type="dxa"/>
            <w:tcBorders>
              <w:top w:val="single" w:sz="4" w:space="0" w:color="auto"/>
              <w:left w:val="single" w:sz="4" w:space="0" w:color="auto"/>
              <w:bottom w:val="single" w:sz="4" w:space="0" w:color="auto"/>
              <w:right w:val="single" w:sz="4" w:space="0" w:color="auto"/>
            </w:tcBorders>
          </w:tcPr>
          <w:p w14:paraId="3E51B5A4">
            <w:pPr>
              <w:pStyle w:val="TableText"/>
            </w:pPr>
            <w:r>
              <w:t xml:space="preserve">type</w:t>
            </w:r>
          </w:p>
        </w:tc>
        <w:tc>
          <w:tcPr>
            <w:tcW w:w="2976" w:type="dxa"/>
            <w:tcBorders>
              <w:top w:val="single" w:sz="4" w:space="0" w:color="auto"/>
              <w:left w:val="single" w:sz="4" w:space="0" w:color="auto"/>
              <w:bottom w:val="single" w:sz="4" w:space="0" w:color="auto"/>
              <w:right w:val="single" w:sz="4" w:space="0" w:color="auto"/>
            </w:tcBorders>
          </w:tcPr>
          <w:p w14:paraId="3D3B4816">
            <w:pPr>
              <w:pStyle w:val="TableText"/>
            </w:pPr>
            <w:r>
              <w:t xml:space="preserve">absolute IRI</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0595523F">
            <w:pPr>
              <w:pStyle w:val="TableText"/>
            </w:pPr>
            <w:r>
              <w:rPr>
                <w:rStyle w:val="VARIABLE"/>
              </w:rPr>
              <w:t xml:space="preserve">uav:scaleFactor</w:t>
            </w:r>
          </w:p>
        </w:tc>
        <w:tc>
          <w:tcPr>
            <w:tcW w:w="2975" w:type="dxa"/>
            <w:tcBorders>
              <w:top w:val="single" w:sz="4" w:space="0" w:color="auto"/>
              <w:left w:val="single" w:sz="4" w:space="0" w:color="auto"/>
              <w:bottom w:val="single" w:sz="4" w:space="0" w:color="auto"/>
              <w:right w:val="single" w:sz="4" w:space="0" w:color="auto"/>
            </w:tcBorders>
          </w:tcPr>
          <w:p w14:paraId="12AB2B58">
            <w:pPr>
              <w:pStyle w:val="TableText"/>
            </w:pPr>
            <w:r>
              <w:t xml:space="preserve">property</w:t>
            </w:r>
          </w:p>
        </w:tc>
        <w:tc>
          <w:tcPr>
            <w:tcW w:w="2976" w:type="dxa"/>
            <w:tcBorders>
              <w:top w:val="single" w:sz="4" w:space="0" w:color="auto"/>
              <w:left w:val="single" w:sz="4" w:space="0" w:color="auto"/>
              <w:bottom w:val="single" w:sz="4" w:space="0" w:color="auto"/>
              <w:right w:val="single" w:sz="4" w:space="0" w:color="auto"/>
            </w:tcBorders>
          </w:tcPr>
          <w:p w14:paraId="46F34E58">
            <w:pPr>
              <w:pStyle w:val="TableText"/>
            </w:pPr>
            <w:r>
              <w:t xml:space="preserve">number, non-zero</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60A1C123">
            <w:pPr>
              <w:pStyle w:val="TableText"/>
            </w:pPr>
            <w:r>
              <w:rPr>
                <w:rStyle w:val="VARIABLE"/>
              </w:rPr>
              <w:t xml:space="preserve">uav:decimalPlaces</w:t>
            </w:r>
          </w:p>
        </w:tc>
        <w:tc>
          <w:tcPr>
            <w:tcW w:w="2975" w:type="dxa"/>
            <w:tcBorders>
              <w:top w:val="single" w:sz="4" w:space="0" w:color="auto"/>
              <w:left w:val="single" w:sz="4" w:space="0" w:color="auto"/>
              <w:bottom w:val="single" w:sz="4" w:space="0" w:color="auto"/>
              <w:right w:val="single" w:sz="4" w:space="0" w:color="auto"/>
            </w:tcBorders>
          </w:tcPr>
          <w:p w14:paraId="053A459C">
            <w:pPr>
              <w:pStyle w:val="TableText"/>
            </w:pPr>
            <w:r>
              <w:t xml:space="preserve">property</w:t>
            </w:r>
          </w:p>
        </w:tc>
        <w:tc>
          <w:tcPr>
            <w:tcW w:w="2976" w:type="dxa"/>
            <w:tcBorders>
              <w:top w:val="single" w:sz="4" w:space="0" w:color="auto"/>
              <w:left w:val="single" w:sz="4" w:space="0" w:color="auto"/>
              <w:bottom w:val="single" w:sz="4" w:space="0" w:color="auto"/>
              <w:right w:val="single" w:sz="4" w:space="0" w:color="auto"/>
            </w:tcBorders>
          </w:tcPr>
          <w:p w14:paraId="7E2F8207">
            <w:pPr>
              <w:pStyle w:val="TableText"/>
            </w:pPr>
            <w:r>
              <w:t xml:space="preserve">integer, </w:t>
            </w:r>
            <w:r>
              <w:rPr>
                <w:rStyle w:val="VARIABLE"/>
              </w:rPr>
              <w:t xml:space="preserve">&gt;= 0</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5B147468">
            <w:pPr>
              <w:pStyle w:val="TableText"/>
            </w:pPr>
            <w:r>
              <w:rPr>
                <w:rStyle w:val="VARIABLE"/>
              </w:rPr>
              <w:t xml:space="preserve">uav:propertyGroups</w:t>
            </w:r>
            <w:r>
              <w:t xml:space="preserve">, </w:t>
            </w:r>
            <w:r>
              <w:rPr>
                <w:rStyle w:val="VARIABLE"/>
              </w:rPr>
              <w:t xml:space="preserve">uav:eventGroups</w:t>
            </w:r>
            <w:r>
              <w:t xml:space="preserve">, </w:t>
            </w:r>
            <w:r>
              <w:rPr>
                <w:rStyle w:val="VARIABLE"/>
              </w:rPr>
              <w:t xml:space="preserve">uav:actionGroups</w:t>
            </w:r>
          </w:p>
        </w:tc>
        <w:tc>
          <w:tcPr>
            <w:tcW w:w="2975" w:type="dxa"/>
            <w:tcBorders>
              <w:top w:val="single" w:sz="4" w:space="0" w:color="auto"/>
              <w:left w:val="single" w:sz="4" w:space="0" w:color="auto"/>
              <w:bottom w:val="single" w:sz="4" w:space="0" w:color="auto"/>
              <w:right w:val="single" w:sz="4" w:space="0" w:color="auto"/>
            </w:tcBorders>
          </w:tcPr>
          <w:p w14:paraId="07C2CCF1">
            <w:pPr>
              <w:pStyle w:val="TableText"/>
            </w:pPr>
            <w:r>
              <w:t xml:space="preserve">type</w:t>
            </w:r>
          </w:p>
        </w:tc>
        <w:tc>
          <w:tcPr>
            <w:tcW w:w="2976" w:type="dxa"/>
            <w:tcBorders>
              <w:top w:val="single" w:sz="4" w:space="0" w:color="auto"/>
              <w:left w:val="single" w:sz="4" w:space="0" w:color="auto"/>
              <w:bottom w:val="single" w:sz="4" w:space="0" w:color="auto"/>
              <w:right w:val="single" w:sz="4" w:space="0" w:color="auto"/>
            </w:tcBorders>
          </w:tcPr>
          <w:p w14:paraId="0A3A9404">
            <w:pPr>
              <w:pStyle w:val="TableText"/>
            </w:pPr>
            <w:r>
              <w:t xml:space="preserve">array of group objects, each with a non-empty </w:t>
            </w:r>
            <w:r>
              <w:rPr>
                <w:rStyle w:val="VARIABLE"/>
              </w:rPr>
              <w:t xml:space="preserve">title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3319E34D">
            <w:pPr>
              <w:pStyle w:val="TableText"/>
            </w:pPr>
            <w:r>
              <w:rPr>
                <w:rStyle w:val="VARIABLE"/>
              </w:rPr>
              <w:t xml:space="preserve">uav:memberOf</w:t>
            </w:r>
          </w:p>
        </w:tc>
        <w:tc>
          <w:tcPr>
            <w:tcW w:w="2975" w:type="dxa"/>
            <w:tcBorders>
              <w:top w:val="single" w:sz="4" w:space="0" w:color="auto"/>
              <w:left w:val="single" w:sz="4" w:space="0" w:color="auto"/>
              <w:bottom w:val="single" w:sz="4" w:space="0" w:color="auto"/>
              <w:right w:val="single" w:sz="4" w:space="0" w:color="auto"/>
            </w:tcBorders>
          </w:tcPr>
          <w:p w14:paraId="769E9126">
            <w:pPr>
              <w:pStyle w:val="TableText"/>
            </w:pPr>
            <w:r>
              <w:t xml:space="preserve">property, event, or action</w:t>
            </w:r>
          </w:p>
        </w:tc>
        <w:tc>
          <w:tcPr>
            <w:tcW w:w="2976" w:type="dxa"/>
            <w:tcBorders>
              <w:top w:val="single" w:sz="4" w:space="0" w:color="auto"/>
              <w:left w:val="single" w:sz="4" w:space="0" w:color="auto"/>
              <w:bottom w:val="single" w:sz="4" w:space="0" w:color="auto"/>
              <w:right w:val="single" w:sz="4" w:space="0" w:color="auto"/>
            </w:tcBorders>
          </w:tcPr>
          <w:p w14:paraId="5C5AEDC8">
            <w:pPr>
              <w:pStyle w:val="TableText"/>
            </w:pPr>
            <w:r>
              <w:t xml:space="preserve">the </w:t>
            </w:r>
            <w:r>
              <w:rPr>
                <w:rStyle w:val="VARIABLE"/>
              </w:rPr>
              <w:t xml:space="preserve">title</w:t>
            </w:r>
            <w:r>
              <w:t xml:space="preserve"> of a declared group of the matching kind</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61A3A3CE">
            <w:pPr>
              <w:pStyle w:val="TableText"/>
            </w:pPr>
            <w:r>
              <w:rPr>
                <w:rStyle w:val="VARIABLE"/>
              </w:rPr>
              <w:t xml:space="preserve">uav:unitProperty</w:t>
            </w:r>
          </w:p>
        </w:tc>
        <w:tc>
          <w:tcPr>
            <w:tcW w:w="2975" w:type="dxa"/>
            <w:tcBorders>
              <w:top w:val="single" w:sz="4" w:space="0" w:color="auto"/>
              <w:left w:val="single" w:sz="4" w:space="0" w:color="auto"/>
              <w:bottom w:val="single" w:sz="4" w:space="0" w:color="auto"/>
              <w:right w:val="single" w:sz="4" w:space="0" w:color="auto"/>
            </w:tcBorders>
          </w:tcPr>
          <w:p w14:paraId="0DBAAFBA">
            <w:pPr>
              <w:pStyle w:val="TableText"/>
            </w:pPr>
            <w:r>
              <w:t xml:space="preserve">property</w:t>
            </w:r>
          </w:p>
        </w:tc>
        <w:tc>
          <w:tcPr>
            <w:tcW w:w="2976" w:type="dxa"/>
            <w:tcBorders>
              <w:top w:val="single" w:sz="4" w:space="0" w:color="auto"/>
              <w:left w:val="single" w:sz="4" w:space="0" w:color="auto"/>
              <w:bottom w:val="single" w:sz="4" w:space="0" w:color="auto"/>
              <w:right w:val="single" w:sz="4" w:space="0" w:color="auto"/>
            </w:tcBorders>
          </w:tcPr>
          <w:p w14:paraId="0E8753C1">
            <w:pPr>
              <w:pStyle w:val="TableText"/>
            </w:pPr>
            <w:r>
              <w:t xml:space="preserve">non-empty RFC 6901 JSON Pointer to a string property</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8AB26FC">
            <w:pPr>
              <w:pStyle w:val="TableText"/>
            </w:pPr>
            <w:r>
              <w:rPr>
                <w:rStyle w:val="VARIABLE"/>
              </w:rPr>
              <w:t xml:space="preserve">uav:metadata</w:t>
            </w:r>
            <w:r>
              <w:t xml:space="preserve">, </w:t>
            </w:r>
            <w:r>
              <w:rPr>
                <w:rStyle w:val="VARIABLE"/>
              </w:rPr>
              <w:t xml:space="preserve">uav:propertyConfiguration</w:t>
            </w:r>
            <w:r>
              <w:t xml:space="preserve">, </w:t>
            </w:r>
            <w:r>
              <w:rPr>
                <w:rStyle w:val="VARIABLE"/>
              </w:rPr>
              <w:t xml:space="preserve">uav:actionConfiguration</w:t>
            </w:r>
            <w:r>
              <w:t xml:space="preserve">, </w:t>
            </w:r>
            <w:r>
              <w:rPr>
                <w:rStyle w:val="VARIABLE"/>
              </w:rPr>
              <w:t xml:space="preserve">uav:eventConfiguration</w:t>
            </w:r>
          </w:p>
        </w:tc>
        <w:tc>
          <w:tcPr>
            <w:tcW w:w="2975" w:type="dxa"/>
            <w:tcBorders>
              <w:top w:val="single" w:sz="4" w:space="0" w:color="auto"/>
              <w:left w:val="single" w:sz="4" w:space="0" w:color="auto"/>
              <w:bottom w:val="single" w:sz="4" w:space="0" w:color="auto"/>
              <w:right w:val="single" w:sz="4" w:space="0" w:color="auto"/>
            </w:tcBorders>
          </w:tcPr>
          <w:p w14:paraId="617D9CC1">
            <w:pPr>
              <w:pStyle w:val="TableText"/>
            </w:pPr>
            <w:r>
              <w:t xml:space="preserve">as named</w:t>
            </w:r>
          </w:p>
        </w:tc>
        <w:tc>
          <w:tcPr>
            <w:tcW w:w="2976" w:type="dxa"/>
            <w:tcBorders>
              <w:top w:val="single" w:sz="4" w:space="0" w:color="auto"/>
              <w:left w:val="single" w:sz="4" w:space="0" w:color="auto"/>
              <w:bottom w:val="single" w:sz="4" w:space="0" w:color="auto"/>
              <w:right w:val="single" w:sz="4" w:space="0" w:color="auto"/>
            </w:tcBorders>
          </w:tcPr>
          <w:p w14:paraId="30443B31">
            <w:pPr>
              <w:pStyle w:val="TableText"/>
            </w:pPr>
            <w:r>
              <w:t xml:space="preserve">any JSON value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57328215">
            <w:pPr>
              <w:pStyle w:val="TableText"/>
            </w:pPr>
            <w:r>
              <w:rPr>
                <w:rStyle w:val="VARIABLE"/>
              </w:rPr>
              <w:t xml:space="preserve">uav:semanticId</w:t>
            </w:r>
          </w:p>
        </w:tc>
        <w:tc>
          <w:tcPr>
            <w:tcW w:w="2975" w:type="dxa"/>
            <w:tcBorders>
              <w:top w:val="single" w:sz="4" w:space="0" w:color="auto"/>
              <w:left w:val="single" w:sz="4" w:space="0" w:color="auto"/>
              <w:bottom w:val="single" w:sz="4" w:space="0" w:color="auto"/>
              <w:right w:val="single" w:sz="4" w:space="0" w:color="auto"/>
            </w:tcBorders>
          </w:tcPr>
          <w:p w14:paraId="0C805A9E">
            <w:pPr>
              <w:pStyle w:val="TableText"/>
            </w:pPr>
            <w:r>
              <w:t xml:space="preserve">type, affordance, or group</w:t>
            </w:r>
          </w:p>
        </w:tc>
        <w:tc>
          <w:tcPr>
            <w:tcW w:w="2976" w:type="dxa"/>
            <w:tcBorders>
              <w:top w:val="single" w:sz="4" w:space="0" w:color="auto"/>
              <w:left w:val="single" w:sz="4" w:space="0" w:color="auto"/>
              <w:bottom w:val="single" w:sz="4" w:space="0" w:color="auto"/>
              <w:right w:val="single" w:sz="4" w:space="0" w:color="auto"/>
            </w:tcBorders>
          </w:tcPr>
          <w:p w14:paraId="4A5E3B88">
            <w:pPr>
              <w:pStyle w:val="TableText"/>
            </w:pPr>
            <w:r>
              <w:t xml:space="preserve">absolute IRI</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E6BECEB">
            <w:pPr>
              <w:pStyle w:val="TableText"/>
            </w:pPr>
            <w:r>
              <w:rPr>
                <w:rStyle w:val="VARIABLE"/>
              </w:rPr>
              <w:t xml:space="preserve">uav:includeInherited</w:t>
            </w:r>
            <w:r>
              <w:t xml:space="preserve">, </w:t>
            </w:r>
            <w:r>
              <w:rPr>
                <w:rStyle w:val="VARIABLE"/>
              </w:rPr>
              <w:t xml:space="preserve">uav:additionalProperties</w:t>
            </w:r>
          </w:p>
        </w:tc>
        <w:tc>
          <w:tcPr>
            <w:tcW w:w="2975" w:type="dxa"/>
            <w:tcBorders>
              <w:top w:val="single" w:sz="4" w:space="0" w:color="auto"/>
              <w:left w:val="single" w:sz="4" w:space="0" w:color="auto"/>
              <w:bottom w:val="single" w:sz="4" w:space="0" w:color="auto"/>
              <w:right w:val="single" w:sz="4" w:space="0" w:color="auto"/>
            </w:tcBorders>
          </w:tcPr>
          <w:p w14:paraId="609A705F">
            <w:pPr>
              <w:pStyle w:val="TableText"/>
            </w:pPr>
            <w:r>
              <w:t xml:space="preserve">type</w:t>
            </w:r>
          </w:p>
        </w:tc>
        <w:tc>
          <w:tcPr>
            <w:tcW w:w="2976" w:type="dxa"/>
            <w:tcBorders>
              <w:top w:val="single" w:sz="4" w:space="0" w:color="auto"/>
              <w:left w:val="single" w:sz="4" w:space="0" w:color="auto"/>
              <w:bottom w:val="single" w:sz="4" w:space="0" w:color="auto"/>
              <w:right w:val="single" w:sz="4" w:space="0" w:color="auto"/>
            </w:tcBorders>
          </w:tcPr>
          <w:p w14:paraId="25284B84">
            <w:pPr>
              <w:pStyle w:val="TableText"/>
            </w:pPr>
            <w:r>
              <w:t xml:space="preserve">boolean</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7AD3382E">
            <w:pPr>
              <w:pStyle w:val="TableText"/>
            </w:pPr>
            <w:r>
              <w:rPr>
                <w:rStyle w:val="VARIABLE"/>
              </w:rPr>
              <w:t xml:space="preserve">uav:externalSchema</w:t>
            </w:r>
          </w:p>
        </w:tc>
        <w:tc>
          <w:tcPr>
            <w:tcW w:w="2975" w:type="dxa"/>
            <w:tcBorders>
              <w:top w:val="single" w:sz="4" w:space="0" w:color="auto"/>
              <w:left w:val="single" w:sz="4" w:space="0" w:color="auto"/>
              <w:bottom w:val="single" w:sz="4" w:space="0" w:color="auto"/>
              <w:right w:val="single" w:sz="4" w:space="0" w:color="auto"/>
            </w:tcBorders>
          </w:tcPr>
          <w:p w14:paraId="03FF336E">
            <w:pPr>
              <w:pStyle w:val="TableText"/>
            </w:pPr>
            <w:r>
              <w:t xml:space="preserve">affordance</w:t>
            </w:r>
          </w:p>
        </w:tc>
        <w:tc>
          <w:tcPr>
            <w:tcW w:w="2976" w:type="dxa"/>
            <w:tcBorders>
              <w:top w:val="single" w:sz="4" w:space="0" w:color="auto"/>
              <w:left w:val="single" w:sz="4" w:space="0" w:color="auto"/>
              <w:bottom w:val="single" w:sz="4" w:space="0" w:color="auto"/>
              <w:right w:val="single" w:sz="4" w:space="0" w:color="auto"/>
            </w:tcBorders>
          </w:tcPr>
          <w:p w14:paraId="5A391740">
            <w:pPr>
              <w:pStyle w:val="TableText"/>
            </w:pPr>
            <w:r>
              <w:t xml:space="preserve">URI or path</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4F28ECD8">
            <w:pPr>
              <w:pStyle w:val="TableText"/>
            </w:pPr>
            <w:r>
              <w:rPr>
                <w:rStyle w:val="VARIABLE"/>
              </w:rPr>
              <w:t xml:space="preserve">uav:modellingRule</w:t>
            </w:r>
          </w:p>
        </w:tc>
        <w:tc>
          <w:tcPr>
            <w:tcW w:w="2975" w:type="dxa"/>
            <w:tcBorders>
              <w:top w:val="single" w:sz="4" w:space="0" w:color="auto"/>
              <w:left w:val="single" w:sz="4" w:space="0" w:color="auto"/>
              <w:bottom w:val="single" w:sz="4" w:space="0" w:color="auto"/>
              <w:right w:val="single" w:sz="4" w:space="0" w:color="auto"/>
            </w:tcBorders>
          </w:tcPr>
          <w:p w14:paraId="228646F2">
            <w:pPr>
              <w:pStyle w:val="TableText"/>
            </w:pPr>
            <w:r>
              <w:t xml:space="preserve">member</w:t>
            </w:r>
          </w:p>
        </w:tc>
        <w:tc>
          <w:tcPr>
            <w:tcW w:w="2976" w:type="dxa"/>
            <w:tcBorders>
              <w:top w:val="single" w:sz="4" w:space="0" w:color="auto"/>
              <w:left w:val="single" w:sz="4" w:space="0" w:color="auto"/>
              <w:bottom w:val="single" w:sz="4" w:space="0" w:color="auto"/>
              <w:right w:val="single" w:sz="4" w:space="0" w:color="auto"/>
            </w:tcBorders>
          </w:tcPr>
          <w:p w14:paraId="5DA933F3">
            <w:pPr>
              <w:pStyle w:val="TableText"/>
            </w:pPr>
            <w:r>
              <w:t xml:space="preserve">one of </w:t>
            </w:r>
            <w:r>
              <w:rPr>
                <w:rStyle w:val="VARIABLE"/>
              </w:rPr>
              <w:t xml:space="preserve">Mandatory</w:t>
            </w:r>
            <w:r>
              <w:t xml:space="preserve">, </w:t>
            </w:r>
            <w:r>
              <w:rPr>
                <w:rStyle w:val="VARIABLE"/>
              </w:rPr>
              <w:t xml:space="preserve">Optional</w:t>
            </w:r>
            <w:r>
              <w:t xml:space="preserve">, </w:t>
            </w:r>
            <w:r>
              <w:rPr>
                <w:rStyle w:val="VARIABLE"/>
              </w:rPr>
              <w:t xml:space="preserve">MandatoryPlaceholder</w:t>
            </w:r>
            <w:r>
              <w:t xml:space="preserve">, </w:t>
            </w:r>
            <w:r>
              <w:rPr>
                <w:rStyle w:val="VARIABLE"/>
              </w:rPr>
              <w:t xml:space="preserve">OptionalPlaceholder</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6939CB2E">
            <w:pPr>
              <w:pStyle w:val="TableText"/>
            </w:pPr>
            <w:r>
              <w:rPr>
                <w:rStyle w:val="VARIABLE"/>
              </w:rPr>
              <w:t xml:space="preserve">uav:nodes</w:t>
            </w:r>
          </w:p>
        </w:tc>
        <w:tc>
          <w:tcPr>
            <w:tcW w:w="2975" w:type="dxa"/>
            <w:tcBorders>
              <w:top w:val="single" w:sz="4" w:space="0" w:color="auto"/>
              <w:left w:val="single" w:sz="4" w:space="0" w:color="auto"/>
              <w:bottom w:val="single" w:sz="4" w:space="0" w:color="auto"/>
              <w:right w:val="single" w:sz="4" w:space="0" w:color="auto"/>
            </w:tcBorders>
          </w:tcPr>
          <w:p w14:paraId="29DC10C0">
            <w:pPr>
              <w:pStyle w:val="TableText"/>
            </w:pPr>
            <w:r>
              <w:t xml:space="preserve">TD or TM root</w:t>
            </w:r>
          </w:p>
        </w:tc>
        <w:tc>
          <w:tcPr>
            <w:tcW w:w="2976" w:type="dxa"/>
            <w:tcBorders>
              <w:top w:val="single" w:sz="4" w:space="0" w:color="auto"/>
              <w:left w:val="single" w:sz="4" w:space="0" w:color="auto"/>
              <w:bottom w:val="single" w:sz="4" w:space="0" w:color="auto"/>
              <w:right w:val="single" w:sz="4" w:space="0" w:color="auto"/>
            </w:tcBorders>
          </w:tcPr>
          <w:p w14:paraId="7676FE05">
            <w:pPr>
              <w:pStyle w:val="TableText"/>
            </w:pPr>
            <w:r>
              <w:rPr>
                <w:rStyle w:val="VARIABLE"/>
              </w:rPr>
              <w:t xml:space="preserve">uav:NodeModel</w:t>
            </w:r>
            <w:r>
              <w:t xml:space="preserve"> object with supported </w:t>
            </w:r>
            <w:r>
              <w:rPr>
                <w:rStyle w:val="VARIABLE"/>
              </w:rPr>
              <w:t xml:space="preserve">profileVersion</w:t>
            </w:r>
            <w:r>
              <w:t xml:space="preserve"> and a complete </w:t>
            </w:r>
            <w:r>
              <w:rPr>
                <w:rStyle w:val="VARIABLE"/>
              </w:rPr>
              <w:t xml:space="preserve">nodes</w:t>
            </w:r>
            <w:r>
              <w:t xml:space="preserve"> array</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6F1B1940">
            <w:pPr>
              <w:pStyle w:val="TableText"/>
            </w:pPr>
            <w:r>
              <w:rPr>
                <w:rStyle w:val="VARIABLE"/>
              </w:rPr>
              <w:t xml:space="preserve">uav:nodeSet</w:t>
            </w:r>
          </w:p>
        </w:tc>
        <w:tc>
          <w:tcPr>
            <w:tcW w:w="2975" w:type="dxa"/>
            <w:tcBorders>
              <w:top w:val="single" w:sz="4" w:space="0" w:color="auto"/>
              <w:left w:val="single" w:sz="4" w:space="0" w:color="auto"/>
              <w:bottom w:val="single" w:sz="4" w:space="0" w:color="auto"/>
              <w:right w:val="single" w:sz="4" w:space="0" w:color="auto"/>
            </w:tcBorders>
          </w:tcPr>
          <w:p w14:paraId="55F5C40B">
            <w:pPr>
              <w:pStyle w:val="TableText"/>
            </w:pPr>
            <w:r>
              <w:t xml:space="preserve">TD or TM root</w:t>
            </w:r>
          </w:p>
        </w:tc>
        <w:tc>
          <w:tcPr>
            <w:tcW w:w="2976" w:type="dxa"/>
            <w:tcBorders>
              <w:top w:val="single" w:sz="4" w:space="0" w:color="auto"/>
              <w:left w:val="single" w:sz="4" w:space="0" w:color="auto"/>
              <w:bottom w:val="single" w:sz="4" w:space="0" w:color="auto"/>
              <w:right w:val="single" w:sz="4" w:space="0" w:color="auto"/>
            </w:tcBorders>
          </w:tcPr>
          <w:p w14:paraId="574ECD75">
            <w:pPr>
              <w:pStyle w:val="TableText"/>
            </w:pPr>
            <w:r>
              <w:t xml:space="preserve">exceptional envelope of </w:t>
            </w:r>
            <w:r>
              <w:t xml:space="preserve">Section </w:t>
            </w:r>
            <w:r>
              <w:fldChar w:fldCharType="begin"/>
            </w:r>
            <w:r>
              <w:instrText xml:space="preserve"> REF _Clause_c6_7_3 \r \h </w:instrText>
            </w:r>
            <w:r>
              <w:fldChar w:fldCharType="separate"/>
            </w:r>
            <w:r>
              <w:rPr>
                <w:noProof/>
              </w:rPr>
              <w:t xml:space="preserve">6.7.3</w:t>
            </w:r>
            <w:r>
              <w:fldChar w:fldCharType="end"/>
            </w:r>
          </w:p>
        </w:tc>
      </w:tr>
    </w:tbl>
    <w:p w14:paraId="4A5C67C9">
      <w:pPr>
        <w:pStyle w:val="spacer"/>
      </w:pPr>
    </w:p>
    <w:p w14:paraId="1F516BFD">
      <w:pPr>
        <w:pStyle w:val="PARAGRAPH"/>
      </w:pPr>
      <w:r>
        <w:rPr>
          <w:b/>
        </w:rPr>
        <w:t xml:space="preserve">Cross-cutting rules.</w:t>
      </w:r>
    </w:p>
    <w:p w14:paraId="164A9018">
      <w:pPr>
        <w:pStyle w:val="ListBullet"/>
        <w:numPr>
          <w:ilvl w:val="0"/>
          <w:numId w:val="21"/>
        </w:numPr>
      </w:pPr>
      <w:r>
        <w:rPr>
          <w:b/>
        </w:rPr>
        <w:t xml:space="preserve">Unique group titles.</w:t>
      </w:r>
      <w:r>
        <w:t xml:space="preserve"> The </w:t>
      </w:r>
      <w:r>
        <w:rPr>
          <w:rStyle w:val="VARIABLE"/>
        </w:rPr>
        <w:t xml:space="preserve">title</w:t>
      </w:r>
      <w:r>
        <w:t xml:space="preserve"> of every group is globally unique across </w:t>
      </w:r>
      <w:r>
        <w:rPr>
          <w:rStyle w:val="VARIABLE"/>
        </w:rPr>
        <w:t xml:space="preserve">uav:propertyGroups</w:t>
      </w:r>
      <w:r>
        <w:t xml:space="preserve">, </w:t>
      </w:r>
      <w:r>
        <w:rPr>
          <w:rStyle w:val="VARIABLE"/>
        </w:rPr>
        <w:t xml:space="preserve">uav:eventGroups</w:t>
      </w:r>
      <w:r>
        <w:t xml:space="preserve">, and </w:t>
      </w:r>
      <w:r>
        <w:rPr>
          <w:rStyle w:val="VARIABLE"/>
        </w:rPr>
        <w:t xml:space="preserve">uav:actionGroups</w:t>
      </w:r>
      <w:r>
        <w:t xml:space="preserve"> of a type. Two groups </w:t>
      </w:r>
      <w:r>
        <w:rPr>
          <w:b/>
        </w:rPr>
        <w:t xml:space="preserve">shall not</w:t>
      </w:r>
      <w:r>
        <w:t xml:space="preserve"> share a title.</w:t>
      </w:r>
    </w:p>
    <w:p w14:paraId="43742999">
      <w:pPr>
        <w:pStyle w:val="ListBullet"/>
        <w:numPr>
          <w:ilvl w:val="0"/>
          <w:numId w:val="21"/>
        </w:numPr>
      </w:pPr>
      <w:r>
        <w:rPr>
          <w:b/>
        </w:rPr>
        <w:t xml:space="preserve">Membership target.</w:t>
      </w:r>
      <w:r>
        <w:t xml:space="preserve"> A </w:t>
      </w:r>
      <w:r>
        <w:rPr>
          <w:rStyle w:val="VARIABLE"/>
        </w:rPr>
        <w:t xml:space="preserve">uav:memberOf</w:t>
      </w:r>
      <w:r>
        <w:t xml:space="preserve"> value </w:t>
      </w:r>
      <w:r>
        <w:rPr>
          <w:b/>
        </w:rPr>
        <w:t xml:space="preserve">shall</w:t>
      </w:r>
      <w:r>
        <w:t xml:space="preserve"> name a group of the matching kind: a property's </w:t>
      </w:r>
      <w:r>
        <w:rPr>
          <w:rStyle w:val="VARIABLE"/>
        </w:rPr>
        <w:t xml:space="preserve">uav:memberOf</w:t>
      </w:r>
      <w:r>
        <w:t xml:space="preserve"> </w:t>
      </w:r>
      <w:r>
        <w:rPr>
          <w:b/>
        </w:rPr>
        <w:t xml:space="preserve">shall</w:t>
      </w:r>
      <w:r>
        <w:t xml:space="preserve"> name a </w:t>
      </w:r>
      <w:r>
        <w:rPr>
          <w:rStyle w:val="VARIABLE"/>
        </w:rPr>
        <w:t xml:space="preserve">uav:propertyGroups</w:t>
      </w:r>
      <w:r>
        <w:t xml:space="preserve"> title, an event's an </w:t>
      </w:r>
      <w:r>
        <w:rPr>
          <w:rStyle w:val="VARIABLE"/>
        </w:rPr>
        <w:t xml:space="preserve">uav:eventGroups</w:t>
      </w:r>
      <w:r>
        <w:t xml:space="preserve"> title, and an action's an </w:t>
      </w:r>
      <w:r>
        <w:rPr>
          <w:rStyle w:val="VARIABLE"/>
        </w:rPr>
        <w:t xml:space="preserve">uav:actionGroups</w:t>
      </w:r>
      <w:r>
        <w:t xml:space="preserve"> title.</w:t>
      </w:r>
    </w:p>
    <w:p w14:paraId="183675DD">
      <w:pPr>
        <w:pStyle w:val="ListBullet"/>
        <w:numPr>
          <w:ilvl w:val="0"/>
          <w:numId w:val="21"/>
        </w:numPr>
      </w:pPr>
      <w:r>
        <w:rPr>
          <w:b/>
        </w:rPr>
        <w:t xml:space="preserve">Portable identity.</w:t>
      </w:r>
      <w:r>
        <w:t xml:space="preserve"> Every NodeId-valued readable term — </w:t>
      </w:r>
      <w:r>
        <w:rPr>
          <w:rStyle w:val="VARIABLE"/>
        </w:rPr>
        <w:t xml:space="preserve">uav:id</w:t>
      </w:r>
      <w:r>
        <w:t xml:space="preserve">, each entry of </w:t>
      </w:r>
      <w:r>
        <w:rPr>
          <w:rStyle w:val="VARIABLE"/>
        </w:rPr>
        <w:t xml:space="preserve">uav:hasComponent</w:t>
      </w:r>
      <w:r>
        <w:t xml:space="preserve"> and </w:t>
      </w:r>
      <w:r>
        <w:rPr>
          <w:rStyle w:val="VARIABLE"/>
        </w:rPr>
        <w:t xml:space="preserve">uav:componentOf</w:t>
      </w:r>
      <w:r>
        <w:t xml:space="preserve">, </w:t>
      </w:r>
      <w:r>
        <w:rPr>
          <w:rStyle w:val="VARIABLE"/>
        </w:rPr>
        <w:t xml:space="preserve">uav:mapToNodeId</w:t>
      </w:r>
      <w:r>
        <w:t xml:space="preserve">, </w:t>
      </w:r>
      <w:r>
        <w:rPr>
          <w:rStyle w:val="VARIABLE"/>
        </w:rPr>
        <w:t xml:space="preserve">uav:mapToType</w:t>
      </w:r>
      <w:r>
        <w:t xml:space="preserve">, </w:t>
      </w:r>
      <w:r>
        <w:rPr>
          <w:rStyle w:val="VARIABLE"/>
        </w:rPr>
        <w:t xml:space="preserve">uav:refId</w:t>
      </w:r>
      <w:r>
        <w:t xml:space="preserve">, and the </w:t>
      </w:r>
      <w:r>
        <w:rPr>
          <w:rStyle w:val="VARIABLE"/>
        </w:rPr>
        <w:t xml:space="preserve">&lt;nodeId&gt;</w:t>
      </w:r>
      <w:r>
        <w:t xml:space="preserve"> of a </w:t>
      </w:r>
      <w:r>
        <w:rPr>
          <w:rStyle w:val="VARIABLE"/>
        </w:rPr>
        <w:t xml:space="preserve">?id=</w:t>
      </w:r>
      <w:r>
        <w:t xml:space="preserve"> href — </w:t>
      </w:r>
      <w:r>
        <w:rPr>
          <w:b/>
        </w:rPr>
        <w:t xml:space="preserve">shall</w:t>
      </w:r>
      <w:r>
        <w:t xml:space="preserve"> be an ExpandedNodeId per </w:t>
      </w:r>
      <w:r>
        <w:t xml:space="preserve">Section </w:t>
      </w:r>
      <w:r>
        <w:fldChar w:fldCharType="begin"/>
      </w:r>
      <w:r>
        <w:instrText xml:space="preserve"> REF _Clause_c6_2_1_1 \r \h </w:instrText>
      </w:r>
      <w:r>
        <w:fldChar w:fldCharType="separate"/>
      </w:r>
      <w:r>
        <w:rPr>
          <w:noProof/>
        </w:rPr>
        <w:t xml:space="preserve">6.2.1.1</w:t>
      </w:r>
      <w:r>
        <w:fldChar w:fldCharType="end"/>
      </w:r>
      <w:r>
        <w:t xml:space="preserve"> and </w:t>
      </w:r>
      <w:r>
        <w:rPr>
          <w:b/>
        </w:rPr>
        <w:t xml:space="preserve">shall not</w:t>
      </w:r>
      <w:r>
        <w:t xml:space="preserve"> use the session-local </w:t>
      </w:r>
      <w:r>
        <w:rPr>
          <w:rStyle w:val="VARIABLE"/>
        </w:rPr>
        <w:t xml:space="preserve">ns=&lt;index&gt;</w:t>
      </w:r>
      <w:r>
        <w:t xml:space="preserve"> form. NodeSet-local identities inside </w:t>
      </w:r>
      <w:r>
        <w:rPr>
          <w:rStyle w:val="VARIABLE"/>
        </w:rPr>
        <w:t xml:space="preserve">uav:nodes</w:t>
      </w:r>
      <w:r>
        <w:t xml:space="preserve"> and namespace indexes inside </w:t>
      </w:r>
      <w:r>
        <w:rPr>
          <w:rStyle w:val="VARIABLE"/>
        </w:rPr>
        <w:t xml:space="preserve">uav:nodeSet</w:t>
      </w:r>
      <w:r>
        <w:t xml:space="preserve"> are resolved through their own namespace tables.</w:t>
      </w:r>
    </w:p>
    <w:p w14:paraId="0FB9E9EB">
      <w:pPr>
        <w:pStyle w:val="ListBullet"/>
        <w:numPr>
          <w:ilvl w:val="0"/>
          <w:numId w:val="21"/>
        </w:numPr>
      </w:pPr>
      <w:r>
        <w:rPr>
          <w:b/>
        </w:rPr>
        <w:t xml:space="preserve">Portable names and paths.</w:t>
      </w:r>
      <w:r>
        <w:t xml:space="preserve"> </w:t>
      </w:r>
      <w:r>
        <w:rPr>
          <w:rStyle w:val="VARIABLE"/>
        </w:rPr>
        <w:t xml:space="preserve">uav:browseName</w:t>
      </w:r>
      <w:r>
        <w:t xml:space="preserve"> </w:t>
      </w:r>
      <w:r>
        <w:rPr>
          <w:b/>
        </w:rPr>
        <w:t xml:space="preserve">shall</w:t>
      </w:r>
      <w:r>
        <w:t xml:space="preserve"> use a context-bound non-numeric prefix or the URI-qualified QualifiedName syntax of </w:t>
      </w:r>
      <w:r>
        <w:t xml:space="preserve">Section </w:t>
      </w:r>
      <w:r>
        <w:fldChar w:fldCharType="begin"/>
      </w:r>
      <w:r>
        <w:instrText xml:space="preserve"> REF _Clause_c6_2_1_3 \r \h </w:instrText>
      </w:r>
      <w:r>
        <w:fldChar w:fldCharType="separate"/>
      </w:r>
      <w:r>
        <w:rPr>
          <w:noProof/>
        </w:rPr>
        <w:t xml:space="preserve">6.2.1.3</w:t>
      </w:r>
      <w:r>
        <w:fldChar w:fldCharType="end"/>
      </w:r>
      <w:r>
        <w:t xml:space="preserve"> (or the bare name for namespace 0). </w:t>
      </w:r>
      <w:r>
        <w:rPr>
          <w:rStyle w:val="VARIABLE"/>
        </w:rPr>
        <w:t xml:space="preserve">uav:browsePath</w:t>
      </w:r>
      <w:r>
        <w:t xml:space="preserve"> </w:t>
      </w:r>
      <w:r>
        <w:rPr>
          <w:b/>
        </w:rPr>
        <w:t xml:space="preserve">shall</w:t>
      </w:r>
      <w:r>
        <w:t xml:space="preserve"> use context-bound or NamespaceUri-qualified non-base path elements. Neither readable term shall persist numeric namespace indexes.</w:t>
      </w:r>
    </w:p>
    <w:p w14:paraId="71B8923E">
      <w:pPr>
        <w:pStyle w:val="ListBullet"/>
        <w:numPr>
          <w:ilvl w:val="0"/>
          <w:numId w:val="21"/>
        </w:numPr>
      </w:pPr>
      <w:r>
        <w:rPr>
          <w:b/>
        </w:rPr>
        <w:t xml:space="preserve">Model concept names.</w:t>
      </w:r>
      <w:r>
        <w:t xml:space="preserve"> Every typed Reference </w:t>
      </w:r>
      <w:r>
        <w:rPr>
          <w:rStyle w:val="VARIABLE"/>
        </w:rPr>
        <w:t xml:space="preserve">rel</w:t>
      </w:r>
      <w:r>
        <w:t xml:space="preserve">, </w:t>
      </w:r>
      <w:r>
        <w:rPr>
          <w:rStyle w:val="VARIABLE"/>
        </w:rPr>
        <w:t xml:space="preserve">uav:mapToTypeName</w:t>
      </w:r>
      <w:r>
        <w:t xml:space="preserve">, and </w:t>
      </w:r>
      <w:r>
        <w:rPr>
          <w:rStyle w:val="VARIABLE"/>
        </w:rPr>
        <w:t xml:space="preserve">uav:congruentTypeName</w:t>
      </w:r>
      <w:r>
        <w:t xml:space="preserve"> value </w:t>
      </w:r>
      <w:r>
        <w:rPr>
          <w:b/>
        </w:rPr>
        <w:t xml:space="preserve">shall</w:t>
      </w:r>
      <w:r>
        <w:t xml:space="preserve"> use the compact model-name form of </w:t>
      </w:r>
      <w:r>
        <w:t xml:space="preserve">Section </w:t>
      </w:r>
      <w:r>
        <w:fldChar w:fldCharType="begin"/>
      </w:r>
      <w:r>
        <w:instrText xml:space="preserve"> REF _Clause_c6_2_1_2 \r \h </w:instrText>
      </w:r>
      <w:r>
        <w:fldChar w:fldCharType="separate"/>
      </w:r>
      <w:r>
        <w:rPr>
          <w:noProof/>
        </w:rPr>
        <w:t xml:space="preserve">6.2.1.2</w:t>
      </w:r>
      <w:r>
        <w:fldChar w:fldCharType="end"/>
      </w:r>
      <w:r>
        <w:t xml:space="preserve">, with a non-numeric prefix bound to the defining NamespaceUri. A consumer resolves it against the expected NodeClass; zero or multiple matches require the accompanying ExpandedNodeId, and disagreement between the two forms is an error.</w:t>
      </w:r>
    </w:p>
    <w:p w14:paraId="7BE1EB54">
      <w:pPr>
        <w:pStyle w:val="ListBullet"/>
        <w:numPr>
          <w:ilvl w:val="0"/>
          <w:numId w:val="21"/>
        </w:numPr>
      </w:pPr>
      <w:r>
        <w:rPr>
          <w:b/>
        </w:rPr>
        <w:t xml:space="preserve">Component subtypes.</w:t>
      </w:r>
      <w:r>
        <w:t xml:space="preserve"> </w:t>
      </w:r>
      <w:r>
        <w:rPr>
          <w:rStyle w:val="VARIABLE"/>
        </w:rPr>
        <w:t xml:space="preserve">uav:hasComponent</w:t>
      </w:r>
      <w:r>
        <w:t xml:space="preserve"> / </w:t>
      </w:r>
      <w:r>
        <w:rPr>
          <w:rStyle w:val="VARIABLE"/>
        </w:rPr>
        <w:t xml:space="preserve">uav:componentOf</w:t>
      </w:r>
      <w:r>
        <w:t xml:space="preserve"> cover </w:t>
      </w:r>
      <w:r>
        <w:rPr>
          <w:rStyle w:val="VARIABLE"/>
        </w:rPr>
        <w:t xml:space="preserve">HasComponent</w:t>
      </w:r>
      <w:r>
        <w:t xml:space="preserve"> and all of its subtypes for parent-child discovery. When a listed component's exact subtype matters (for example </w:t>
      </w:r>
      <w:r>
        <w:rPr>
          <w:rStyle w:val="VARIABLE"/>
        </w:rPr>
        <w:t xml:space="preserve">HasOrderedComponent</w:t>
      </w:r>
      <w:r>
        <w:t xml:space="preserve">), the document </w:t>
      </w:r>
      <w:r>
        <w:rPr>
          <w:b/>
        </w:rPr>
        <w:t xml:space="preserve">shall</w:t>
      </w:r>
      <w:r>
        <w:t xml:space="preserve"> also carry a link whose </w:t>
      </w:r>
      <w:r>
        <w:rPr>
          <w:rStyle w:val="VARIABLE"/>
        </w:rPr>
        <w:t xml:space="preserve">rel</w:t>
      </w:r>
      <w:r>
        <w:t xml:space="preserve"> is that ReferenceType's compact model name and whose </w:t>
      </w:r>
      <w:r>
        <w:rPr>
          <w:rStyle w:val="VARIABLE"/>
        </w:rPr>
        <w:t xml:space="preserve">uav:refName</w:t>
      </w:r>
      <w:r>
        <w:t xml:space="preserve"> names the reference; </w:t>
      </w:r>
      <w:r>
        <w:rPr>
          <w:rStyle w:val="VARIABLE"/>
        </w:rPr>
        <w:t xml:space="preserve">uav:refId</w:t>
      </w:r>
      <w:r>
        <w:t xml:space="preserve"> supplies the definitive ExpandedNodeId when required. A converter recreates the exact subtype from that link and otherwise uses plain </w:t>
      </w:r>
      <w:r>
        <w:rPr>
          <w:rStyle w:val="VARIABLE"/>
        </w:rPr>
        <w:t xml:space="preserve">HasComponent</w:t>
      </w:r>
      <w:r>
        <w:t xml:space="preserve"> (</w:t>
      </w:r>
      <w:r>
        <w:t xml:space="preserve">Section </w:t>
      </w:r>
      <w:r>
        <w:fldChar w:fldCharType="begin"/>
      </w:r>
      <w:r>
        <w:instrText xml:space="preserve"> REF _Clause_c6_2_3 \r \h </w:instrText>
      </w:r>
      <w:r>
        <w:fldChar w:fldCharType="separate"/>
      </w:r>
      <w:r>
        <w:rPr>
          <w:noProof/>
        </w:rPr>
        <w:t xml:space="preserve">6.2.3</w:t>
      </w:r>
      <w:r>
        <w:fldChar w:fldCharType="end"/>
      </w:r>
      <w:r>
        <w:t xml:space="preserve">).</w:t>
      </w:r>
    </w:p>
    <w:p w14:paraId="09A68499">
      <w:pPr>
        <w:pStyle w:val="ListBullet"/>
        <w:numPr>
          <w:ilvl w:val="0"/>
          <w:numId w:val="21"/>
        </w:numPr>
      </w:pPr>
      <w:r>
        <w:rPr>
          <w:b/>
        </w:rPr>
        <w:t xml:space="preserve">Event annotation consistency.</w:t>
      </w:r>
      <w:r>
        <w:t xml:space="preserve"> An event affordance annotated with </w:t>
      </w:r>
      <w:r>
        <w:rPr>
          <w:rStyle w:val="VARIABLE"/>
        </w:rPr>
        <w:t xml:space="preserve">@type: uav:eventType</w:t>
      </w:r>
      <w:r>
        <w:t xml:space="preserve"> </w:t>
      </w:r>
      <w:r>
        <w:rPr>
          <w:b/>
        </w:rPr>
        <w:t xml:space="preserve">shall not</w:t>
      </w:r>
      <w:r>
        <w:t xml:space="preserve"> set </w:t>
      </w:r>
      <w:r>
        <w:rPr>
          <w:rStyle w:val="VARIABLE"/>
        </w:rPr>
        <w:t xml:space="preserve">uav:isEvent: false</w:t>
      </w:r>
      <w:r>
        <w:t xml:space="preserve">; the two forms record the same fact (</w:t>
      </w:r>
      <w:r>
        <w:t xml:space="preserve">Section </w:t>
      </w:r>
      <w:r>
        <w:fldChar w:fldCharType="begin"/>
      </w:r>
      <w:r>
        <w:instrText xml:space="preserve"> REF _Clause_c6_2_2 \r \h </w:instrText>
      </w:r>
      <w:r>
        <w:fldChar w:fldCharType="separate"/>
      </w:r>
      <w:r>
        <w:rPr>
          <w:noProof/>
        </w:rPr>
        <w:t xml:space="preserve">6.2.2</w:t>
      </w:r>
      <w:r>
        <w:fldChar w:fldCharType="end"/>
      </w:r>
      <w:r>
        <w:t xml:space="preserve">), and a consumer treats an affordance as an EventType projection when either is present.</w:t>
      </w:r>
    </w:p>
    <w:p w14:paraId="3EED3760">
      <w:pPr>
        <w:pStyle w:val="ListBullet"/>
        <w:numPr>
          <w:ilvl w:val="0"/>
          <w:numId w:val="21"/>
        </w:numPr>
      </w:pPr>
      <w:r>
        <w:rPr>
          <w:b/>
        </w:rPr>
        <w:t xml:space="preserve">Containment consistency.</w:t>
      </w:r>
      <w:r>
        <w:t xml:space="preserve"> If a composite </w:t>
      </w:r>
      <w:r>
        <w:rPr>
          <w:rStyle w:val="VARIABLE"/>
        </w:rPr>
        <w:t xml:space="preserve">A</w:t>
      </w:r>
      <w:r>
        <w:t xml:space="preserve"> lists refName </w:t>
      </w:r>
      <w:r>
        <w:rPr>
          <w:rStyle w:val="VARIABLE"/>
        </w:rPr>
        <w:t xml:space="preserve">b</w:t>
      </w:r>
      <w:r>
        <w:t xml:space="preserve"> in </w:t>
      </w:r>
      <w:r>
        <w:rPr>
          <w:rStyle w:val="VARIABLE"/>
        </w:rPr>
        <w:t xml:space="preserve">uav:contains</w:t>
      </w:r>
      <w:r>
        <w:t xml:space="preserve">, the type reached by the link named </w:t>
      </w:r>
      <w:r>
        <w:rPr>
          <w:rStyle w:val="VARIABLE"/>
        </w:rPr>
        <w:t xml:space="preserve">b</w:t>
      </w:r>
      <w:r>
        <w:t xml:space="preserve"> </w:t>
      </w:r>
      <w:r>
        <w:rPr>
          <w:b/>
        </w:rPr>
        <w:t xml:space="preserve">shall</w:t>
      </w:r>
      <w:r>
        <w:t xml:space="preserve"> declare </w:t>
      </w:r>
      <w:r>
        <w:rPr>
          <w:rStyle w:val="VARIABLE"/>
        </w:rPr>
        <w:t xml:space="preserve">uav:containedIn: "A"</w:t>
      </w:r>
      <w:r>
        <w:t xml:space="preserve">; conversely every </w:t>
      </w:r>
      <w:r>
        <w:rPr>
          <w:rStyle w:val="VARIABLE"/>
        </w:rPr>
        <w:t xml:space="preserve">uav:containedIn: "A"</w:t>
      </w:r>
      <w:r>
        <w:t xml:space="preserve"> </w:t>
      </w:r>
      <w:r>
        <w:rPr>
          <w:b/>
        </w:rPr>
        <w:t xml:space="preserve">shall</w:t>
      </w:r>
      <w:r>
        <w:t xml:space="preserve"> be matched by an entry in </w:t>
      </w:r>
      <w:r>
        <w:rPr>
          <w:rStyle w:val="VARIABLE"/>
        </w:rPr>
        <w:t xml:space="preserve">A</w:t>
      </w:r>
      <w:r>
        <w:t xml:space="preserve">'s </w:t>
      </w:r>
      <w:r>
        <w:rPr>
          <w:rStyle w:val="VARIABLE"/>
        </w:rPr>
        <w:t xml:space="preserve">uav:contains</w:t>
      </w:r>
      <w:r>
        <w:t xml:space="preserve">.</w:t>
      </w:r>
    </w:p>
    <w:p w14:paraId="6527FD41">
      <w:pPr>
        <w:pStyle w:val="ListBullet"/>
        <w:numPr>
          <w:ilvl w:val="0"/>
          <w:numId w:val="21"/>
        </w:numPr>
      </w:pPr>
      <w:r>
        <w:rPr>
          <w:b/>
        </w:rPr>
        <w:t xml:space="preserve">Parent link direction.</w:t>
      </w:r>
      <w:r>
        <w:t xml:space="preserve"> A </w:t>
      </w:r>
      <w:r>
        <w:rPr>
          <w:rStyle w:val="VARIABLE"/>
        </w:rPr>
        <w:t xml:space="preserve">rel: uav:componentOf</w:t>
      </w:r>
      <w:r>
        <w:t xml:space="preserve"> link names the </w:t>
      </w:r>
      <w:r>
        <w:rPr>
          <w:b/>
        </w:rPr>
        <w:t xml:space="preserve">parent</w:t>
      </w:r>
      <w:r>
        <w:t xml:space="preserve"> (container) of this Thing or type: it projects to an OPC UA </w:t>
      </w:r>
      <w:r>
        <w:rPr>
          <w:rStyle w:val="VARIABLE"/>
        </w:rPr>
        <w:t xml:space="preserve">HasComponent</w:t>
      </w:r>
      <w:r>
        <w:t xml:space="preserve"> Reference </w:t>
      </w:r>
      <w:r>
        <w:rPr>
          <w:i/>
        </w:rPr>
        <w:t xml:space="preserve">from the linked (parent) node to this node</w:t>
      </w:r>
      <w:r>
        <w:t xml:space="preserve"> (equivalently an inverse </w:t>
      </w:r>
      <w:r>
        <w:rPr>
          <w:rStyle w:val="VARIABLE"/>
        </w:rPr>
        <w:t xml:space="preserve">HasComponent</w:t>
      </w:r>
      <w:r>
        <w:t xml:space="preserve"> from this node to its parent). A materializer </w:t>
      </w:r>
      <w:r>
        <w:rPr>
          <w:b/>
        </w:rPr>
        <w:t xml:space="preserve">shall</w:t>
      </w:r>
      <w:r>
        <w:t xml:space="preserve"> resolve the link </w:t>
      </w:r>
      <w:r>
        <w:rPr>
          <w:rStyle w:val="VARIABLE"/>
        </w:rPr>
        <w:t xml:space="preserve">href</w:t>
      </w:r>
      <w:r>
        <w:t xml:space="preserve"> to the parent node and create that Reference; it </w:t>
      </w:r>
      <w:r>
        <w:rPr>
          <w:b/>
        </w:rPr>
        <w:t xml:space="preserve">shall not</w:t>
      </w:r>
      <w:r>
        <w:t xml:space="preserve"> invert the direction.</w:t>
      </w:r>
    </w:p>
    <w:p w14:paraId="6A968837">
      <w:pPr>
        <w:pStyle w:val="ListBullet"/>
        <w:numPr>
          <w:ilvl w:val="0"/>
          <w:numId w:val="21"/>
        </w:numPr>
      </w:pPr>
      <w:r>
        <w:rPr>
          <w:b/>
        </w:rPr>
        <w:t xml:space="preserve">Cycle-safety.</w:t>
      </w:r>
      <w:r>
        <w:t xml:space="preserve"> The containment graph induced by </w:t>
      </w:r>
      <w:r>
        <w:rPr>
          <w:rStyle w:val="VARIABLE"/>
        </w:rPr>
        <w:t xml:space="preserve">uav:contains</w:t>
      </w:r>
      <w:r>
        <w:t xml:space="preserve"> / </w:t>
      </w:r>
      <w:r>
        <w:rPr>
          <w:rStyle w:val="VARIABLE"/>
        </w:rPr>
        <w:t xml:space="preserve">uav:containedIn</w:t>
      </w:r>
      <w:r>
        <w:t xml:space="preserve"> </w:t>
      </w:r>
      <w:r>
        <w:rPr>
          <w:b/>
        </w:rPr>
        <w:t xml:space="preserve">shall</w:t>
      </w:r>
      <w:r>
        <w:t xml:space="preserve"> be acyclic; a type </w:t>
      </w:r>
      <w:r>
        <w:rPr>
          <w:b/>
        </w:rPr>
        <w:t xml:space="preserve">shall not</w:t>
      </w:r>
      <w:r>
        <w:t xml:space="preserve"> transitively contain itself.</w:t>
      </w:r>
    </w:p>
    <w:p w14:paraId="6C13FBCE">
      <w:pPr>
        <w:pStyle w:val="ListBullet"/>
        <w:numPr>
          <w:ilvl w:val="0"/>
          <w:numId w:val="21"/>
        </w:numPr>
      </w:pPr>
      <w:r>
        <w:rPr>
          <w:b/>
        </w:rPr>
        <w:t xml:space="preserve">Scale direction and rounding.</w:t>
      </w:r>
      <w:r>
        <w:t xml:space="preserve"> The engineering value is computed as </w:t>
      </w:r>
      <w:r>
        <w:rPr>
          <w:rStyle w:val="VARIABLE"/>
        </w:rPr>
        <w:t xml:space="preserve">raw * scaleFactor</w:t>
      </w:r>
      <w:r>
        <w:t xml:space="preserve">; when </w:t>
      </w:r>
      <w:r>
        <w:rPr>
          <w:rStyle w:val="VARIABLE"/>
        </w:rPr>
        <w:t xml:space="preserve">uav:decimalPlaces</w:t>
      </w:r>
      <w:r>
        <w:t xml:space="preserve"> is present, the engineering value is rounded to that many fractional decimal places after scaling. Consumers </w:t>
      </w:r>
      <w:r>
        <w:rPr>
          <w:b/>
        </w:rPr>
        <w:t xml:space="preserve">shall not</w:t>
      </w:r>
      <w:r>
        <w:t xml:space="preserve"> apply the factor in the inverse direction.</w:t>
      </w:r>
    </w:p>
    <w:p w14:paraId="40A4CC73">
      <w:pPr>
        <w:pStyle w:val="ListBullet"/>
        <w:numPr>
          <w:ilvl w:val="0"/>
          <w:numId w:val="21"/>
        </w:numPr>
      </w:pPr>
      <w:r>
        <w:rPr>
          <w:b/>
        </w:rPr>
        <w:t xml:space="preserve">Unit pointer.</w:t>
      </w:r>
      <w:r>
        <w:t xml:space="preserve"> </w:t>
      </w:r>
      <w:r>
        <w:rPr>
          <w:rStyle w:val="VARIABLE"/>
        </w:rPr>
        <w:t xml:space="preserve">uav:unitProperty</w:t>
      </w:r>
      <w:r>
        <w:t xml:space="preserve"> </w:t>
      </w:r>
      <w:r>
        <w:rPr>
          <w:b/>
        </w:rPr>
        <w:t xml:space="preserve">shall</w:t>
      </w:r>
      <w:r>
        <w:t xml:space="preserve"> be a canonical RFC 6901 JSON Pointer that resolves, within the same document, to a string-valued property.</w:t>
      </w:r>
    </w:p>
    <w:p w14:paraId="3B5A2718">
      <w:pPr>
        <w:pStyle w:val="ListBullet"/>
        <w:numPr>
          <w:ilvl w:val="0"/>
          <w:numId w:val="21"/>
        </w:numPr>
      </w:pPr>
      <w:r>
        <w:rPr>
          <w:b/>
        </w:rPr>
        <w:t xml:space="preserve">Absolute IRIs.</w:t>
      </w:r>
      <w:r>
        <w:t xml:space="preserve"> </w:t>
      </w:r>
      <w:r>
        <w:rPr>
          <w:rStyle w:val="VARIABLE"/>
        </w:rPr>
        <w:t xml:space="preserve">uav:semanticId</w:t>
      </w:r>
      <w:r>
        <w:t xml:space="preserve"> and </w:t>
      </w:r>
      <w:r>
        <w:rPr>
          <w:rStyle w:val="VARIABLE"/>
        </w:rPr>
        <w:t xml:space="preserve">uav:nameNamespace</w:t>
      </w:r>
      <w:r>
        <w:t xml:space="preserve"> </w:t>
      </w:r>
      <w:r>
        <w:rPr>
          <w:b/>
        </w:rPr>
        <w:t xml:space="preserve">shall</w:t>
      </w:r>
      <w:r>
        <w:t xml:space="preserve"> be absolute IRIs (they have a scheme).</w:t>
      </w:r>
    </w:p>
    <w:p w14:paraId="300854BB">
      <w:pPr>
        <w:pStyle w:val="ListBullet"/>
        <w:numPr>
          <w:ilvl w:val="0"/>
          <w:numId w:val="21"/>
        </w:numPr>
      </w:pPr>
      <w:r>
        <w:rPr>
          <w:b/>
        </w:rPr>
        <w:t xml:space="preserve">Opaque objects.</w:t>
      </w:r>
      <w:r>
        <w:t xml:space="preserve"> </w:t>
      </w:r>
      <w:r>
        <w:rPr>
          <w:rStyle w:val="VARIABLE"/>
        </w:rPr>
        <w:t xml:space="preserve">uav:metadata</w:t>
      </w:r>
      <w:r>
        <w:t xml:space="preserve"> and the three configuration members are opaque: a consumer that does not understand them </w:t>
      </w:r>
      <w:r>
        <w:rPr>
          <w:b/>
        </w:rPr>
        <w:t xml:space="preserve">shall</w:t>
      </w:r>
      <w:r>
        <w:t xml:space="preserve"> carry them unchanged and </w:t>
      </w:r>
      <w:r>
        <w:rPr>
          <w:b/>
        </w:rPr>
        <w:t xml:space="preserve">shall not</w:t>
      </w:r>
      <w:r>
        <w:t xml:space="preserve"> reject a document for their content.</w:t>
      </w:r>
    </w:p>
    <w:p w14:paraId="2D7B5B3E">
      <w:pPr>
        <w:pStyle w:val="ListBullet"/>
        <w:numPr>
          <w:ilvl w:val="0"/>
          <w:numId w:val="21"/>
        </w:numPr>
      </w:pPr>
      <w:r>
        <w:rPr>
          <w:b/>
        </w:rPr>
        <w:t xml:space="preserve">Placeholders.</w:t>
      </w:r>
      <w:r>
        <w:t xml:space="preserve"> A member whose </w:t>
      </w:r>
      <w:r>
        <w:rPr>
          <w:rStyle w:val="VARIABLE"/>
        </w:rPr>
        <w:t xml:space="preserve">uav:modellingRule</w:t>
      </w:r>
      <w:r>
        <w:t xml:space="preserve"> is </w:t>
      </w:r>
      <w:r>
        <w:rPr>
          <w:rStyle w:val="VARIABLE"/>
        </w:rPr>
        <w:t xml:space="preserve">MandatoryPlaceholder</w:t>
      </w:r>
      <w:r>
        <w:t xml:space="preserve"> or </w:t>
      </w:r>
      <w:r>
        <w:rPr>
          <w:rStyle w:val="VARIABLE"/>
        </w:rPr>
        <w:t xml:space="preserve">OptionalPlaceholder</w:t>
      </w:r>
      <w:r>
        <w:t xml:space="preserve"> is a template that expands, per instance, to zero or more uniquely named members; an optional non-placeholder member is omitted per instance when absent.</w:t>
      </w:r>
    </w:p>
    <w:p w14:paraId="31A7E279">
      <w:pPr>
        <w:pStyle w:val="Heading2"/>
      </w:pPr>
      <w:bookmarkStart w:id="512" w:name="_Clause_c6_5"/>
      <w:r>
        <w:t xml:space="preserve">Thing Description and Thing Model mapping</w:t>
      </w:r>
      <w:bookmarkEnd w:id="512"/>
    </w:p>
    <w:p w14:paraId="04D68051">
      <w:pPr>
        <w:pStyle w:val="PARAGRAPH"/>
      </w:pPr>
      <w:r>
        <w:t xml:space="preserve">A Thing Model is the class-level projection and a Thing Description is the instance-level projection of the same OPC UA constructs.</w:t>
      </w:r>
    </w:p>
    <w:p w14:paraId="003A15AB">
      <w:pPr>
        <w:pStyle w:val="ListBullet"/>
        <w:numPr>
          <w:ilvl w:val="0"/>
          <w:numId w:val="21"/>
        </w:numPr>
      </w:pPr>
      <w:r>
        <w:rPr>
          <w:b/>
        </w:rPr>
        <w:t xml:space="preserve">ObjectType maps to a Thing Model.</w:t>
      </w:r>
      <w:r>
        <w:t xml:space="preserve"> An ObjectType becomes a TM whose </w:t>
      </w:r>
      <w:r>
        <w:rPr>
          <w:rStyle w:val="VARIABLE"/>
        </w:rPr>
        <w:t xml:space="preserve">@type</w:t>
      </w:r>
      <w:r>
        <w:t xml:space="preserve"> includes </w:t>
      </w:r>
      <w:r>
        <w:rPr>
          <w:rStyle w:val="VARIABLE"/>
        </w:rPr>
        <w:t xml:space="preserve">uav:objectType</w:t>
      </w:r>
      <w:r>
        <w:t xml:space="preserve">; its InstanceDeclarations become the TM's affordances with a </w:t>
      </w:r>
      <w:r>
        <w:rPr>
          <w:rStyle w:val="VARIABLE"/>
        </w:rPr>
        <w:t xml:space="preserve">uav:modellingRule</w:t>
      </w:r>
      <w:r>
        <w:t xml:space="preserve">.</w:t>
      </w:r>
    </w:p>
    <w:p w14:paraId="36948841">
      <w:pPr>
        <w:pStyle w:val="ListBullet"/>
        <w:numPr>
          <w:ilvl w:val="0"/>
          <w:numId w:val="21"/>
        </w:numPr>
      </w:pPr>
      <w:r>
        <w:rPr>
          <w:b/>
        </w:rPr>
        <w:t xml:space="preserve">Object maps to a Thing Description.</w:t>
      </w:r>
      <w:r>
        <w:t xml:space="preserve"> An Object becomes a TD whose </w:t>
      </w:r>
      <w:r>
        <w:rPr>
          <w:rStyle w:val="VARIABLE"/>
        </w:rPr>
        <w:t xml:space="preserve">@type</w:t>
      </w:r>
      <w:r>
        <w:t xml:space="preserve"> includes </w:t>
      </w:r>
      <w:r>
        <w:rPr>
          <w:rStyle w:val="VARIABLE"/>
        </w:rPr>
        <w:t xml:space="preserve">uav:object</w:t>
      </w:r>
      <w:r>
        <w:t xml:space="preserve">; a TD may reference the TM of its type through a </w:t>
      </w:r>
      <w:r>
        <w:rPr>
          <w:rStyle w:val="VARIABLE"/>
        </w:rPr>
        <w:t xml:space="preserve">tm:instanceOf</w:t>
      </w:r>
      <w:r>
        <w:t xml:space="preserve"> style link and carries concrete values and forms.</w:t>
      </w:r>
    </w:p>
    <w:p w14:paraId="0C3B92A6">
      <w:pPr>
        <w:pStyle w:val="ListBullet"/>
        <w:numPr>
          <w:ilvl w:val="0"/>
          <w:numId w:val="21"/>
        </w:numPr>
      </w:pPr>
      <w:r>
        <w:rPr>
          <w:b/>
        </w:rPr>
        <w:t xml:space="preserve">Variables map to properties.</w:t>
      </w:r>
      <w:r>
        <w:t xml:space="preserve"> A UA Variable or the declaration of a VariableType member becomes a WoT property with </w:t>
      </w:r>
      <w:r>
        <w:rPr>
          <w:rStyle w:val="VARIABLE"/>
        </w:rPr>
        <w:t xml:space="preserve">@type</w:t>
      </w:r>
      <w:r>
        <w:t xml:space="preserve"> </w:t>
      </w:r>
      <w:r>
        <w:rPr>
          <w:rStyle w:val="VARIABLE"/>
        </w:rPr>
        <w:t xml:space="preserve">uav:variable</w:t>
      </w:r>
      <w:r>
        <w:t xml:space="preserve"> (TD) or </w:t>
      </w:r>
      <w:r>
        <w:rPr>
          <w:rStyle w:val="VARIABLE"/>
        </w:rPr>
        <w:t xml:space="preserve">uav:variableType</w:t>
      </w:r>
      <w:r>
        <w:t xml:space="preserve"> (TM), a </w:t>
      </w:r>
      <w:r>
        <w:rPr>
          <w:rStyle w:val="VARIABLE"/>
        </w:rPr>
        <w:t xml:space="preserve">type</w:t>
      </w:r>
      <w:r>
        <w:t xml:space="preserve"> from the DataType, and </w:t>
      </w:r>
      <w:r>
        <w:rPr>
          <w:rStyle w:val="VARIABLE"/>
        </w:rPr>
        <w:t xml:space="preserve">readOnly</w:t>
      </w:r>
      <w:r>
        <w:t xml:space="preserve"> / </w:t>
      </w:r>
      <w:r>
        <w:rPr>
          <w:rStyle w:val="VARIABLE"/>
        </w:rPr>
        <w:t xml:space="preserve">writeOnly</w:t>
      </w:r>
      <w:r>
        <w:t xml:space="preserve"> / </w:t>
      </w:r>
      <w:r>
        <w:rPr>
          <w:rStyle w:val="VARIABLE"/>
        </w:rPr>
        <w:t xml:space="preserve">observable</w:t>
      </w:r>
      <w:r>
        <w:t xml:space="preserve"> from the AccessLevel. </w:t>
      </w:r>
      <w:r>
        <w:rPr>
          <w:rStyle w:val="VARIABLE"/>
        </w:rPr>
        <w:t xml:space="preserve">observable: true</w:t>
      </w:r>
      <w:r>
        <w:t xml:space="preserve"> and an </w:t>
      </w:r>
      <w:r>
        <w:rPr>
          <w:rStyle w:val="VARIABLE"/>
        </w:rPr>
        <w:t xml:space="preserve">observeproperty</w:t>
      </w:r>
      <w:r>
        <w:t xml:space="preserve"> form declare that the TD exposes observation through this binding; their absence does not state that the UA Variable is technically incapable of becoming a MonitoredItem, because OPC UA permits monitoring any Variable for which the Server grants the required access.</w:t>
      </w:r>
    </w:p>
    <w:p w14:paraId="176A8C18">
      <w:pPr>
        <w:pStyle w:val="ListBullet"/>
        <w:numPr>
          <w:ilvl w:val="0"/>
          <w:numId w:val="21"/>
        </w:numPr>
      </w:pPr>
      <w:r>
        <w:rPr>
          <w:b/>
        </w:rPr>
        <w:t xml:space="preserve">Methods map to actions.</w:t>
      </w:r>
      <w:r>
        <w:t xml:space="preserve"> A UA Method becomes a WoT action with </w:t>
      </w:r>
      <w:r>
        <w:rPr>
          <w:rStyle w:val="VARIABLE"/>
        </w:rPr>
        <w:t xml:space="preserve">@type</w:t>
      </w:r>
      <w:r>
        <w:t xml:space="preserve"> </w:t>
      </w:r>
      <w:r>
        <w:rPr>
          <w:rStyle w:val="VARIABLE"/>
        </w:rPr>
        <w:t xml:space="preserve">uav:method</w:t>
      </w:r>
      <w:r>
        <w:t xml:space="preserve">; its input and output arguments become the action's </w:t>
      </w:r>
      <w:r>
        <w:rPr>
          <w:rStyle w:val="VARIABLE"/>
        </w:rPr>
        <w:t xml:space="preserve">input</w:t>
      </w:r>
      <w:r>
        <w:t xml:space="preserve"> and </w:t>
      </w:r>
      <w:r>
        <w:rPr>
          <w:rStyle w:val="VARIABLE"/>
        </w:rPr>
        <w:t xml:space="preserve">output</w:t>
      </w:r>
      <w:r>
        <w:t xml:space="preserve"> DataSchemas.</w:t>
      </w:r>
    </w:p>
    <w:p w14:paraId="020911B5">
      <w:pPr>
        <w:pStyle w:val="ListBullet"/>
        <w:numPr>
          <w:ilvl w:val="0"/>
          <w:numId w:val="21"/>
        </w:numPr>
      </w:pPr>
      <w:r>
        <w:rPr>
          <w:b/>
        </w:rPr>
        <w:t xml:space="preserve">OPC UA events map to WoT events.</w:t>
      </w:r>
      <w:r>
        <w:t xml:space="preserve"> An EventType (derived from </w:t>
      </w:r>
      <w:r>
        <w:rPr>
          <w:rStyle w:val="VARIABLE"/>
        </w:rPr>
        <w:t xml:space="preserve">BaseEventType</w:t>
      </w:r>
      <w:r>
        <w:t xml:space="preserve">) becomes a WoT event affordance whose </w:t>
      </w:r>
      <w:r>
        <w:rPr>
          <w:rStyle w:val="VARIABLE"/>
        </w:rPr>
        <w:t xml:space="preserve">@type</w:t>
      </w:r>
      <w:r>
        <w:t xml:space="preserve"> includes </w:t>
      </w:r>
      <w:r>
        <w:rPr>
          <w:rStyle w:val="VARIABLE"/>
        </w:rPr>
        <w:t xml:space="preserve">uav:eventType</w:t>
      </w:r>
      <w:r>
        <w:t xml:space="preserve"> and that carries </w:t>
      </w:r>
      <w:r>
        <w:rPr>
          <w:rStyle w:val="VARIABLE"/>
        </w:rPr>
        <w:t xml:space="preserve">uav:isEvent: true</w:t>
      </w:r>
      <w:r>
        <w:t xml:space="preserve">; the event's fields become the event </w:t>
      </w:r>
      <w:r>
        <w:rPr>
          <w:rStyle w:val="VARIABLE"/>
        </w:rPr>
        <w:t xml:space="preserve">data</w:t>
      </w:r>
      <w:r>
        <w:t xml:space="preserve"> schema, the standard fields (</w:t>
      </w:r>
      <w:r>
        <w:rPr>
          <w:rStyle w:val="VARIABLE"/>
        </w:rPr>
        <w:t xml:space="preserve">EventId</w:t>
      </w:r>
      <w:r>
        <w:t xml:space="preserve">, </w:t>
      </w:r>
      <w:r>
        <w:rPr>
          <w:rStyle w:val="VARIABLE"/>
        </w:rPr>
        <w:t xml:space="preserve">EventType</w:t>
      </w:r>
      <w:r>
        <w:t xml:space="preserve">, </w:t>
      </w:r>
      <w:r>
        <w:rPr>
          <w:rStyle w:val="VARIABLE"/>
        </w:rPr>
        <w:t xml:space="preserve">SourceNode</w:t>
      </w:r>
      <w:r>
        <w:t xml:space="preserve">, </w:t>
      </w:r>
      <w:r>
        <w:rPr>
          <w:rStyle w:val="VARIABLE"/>
        </w:rPr>
        <w:t xml:space="preserve">Time</w:t>
      </w:r>
      <w:r>
        <w:t xml:space="preserve">, </w:t>
      </w:r>
      <w:r>
        <w:rPr>
          <w:rStyle w:val="VARIABLE"/>
        </w:rPr>
        <w:t xml:space="preserve">Severity</w:t>
      </w:r>
      <w:r>
        <w:t xml:space="preserve">, </w:t>
      </w:r>
      <w:r>
        <w:rPr>
          <w:rStyle w:val="VARIABLE"/>
        </w:rPr>
        <w:t xml:space="preserve">Message</w:t>
      </w:r>
      <w:r>
        <w:t xml:space="preserve">) map to the corresponding </w:t>
      </w:r>
      <w:r>
        <w:rPr>
          <w:rStyle w:val="VARIABLE"/>
        </w:rPr>
        <w:t xml:space="preserve">data</w:t>
      </w:r>
      <w:r>
        <w:t xml:space="preserve"> properties, and </w:t>
      </w:r>
      <w:r>
        <w:rPr>
          <w:rStyle w:val="VARIABLE"/>
        </w:rPr>
        <w:t xml:space="preserve">uav:eventConfiguration</w:t>
      </w:r>
      <w:r>
        <w:t xml:space="preserve"> carries opaque delivery configuration. Subscription uses the WoT </w:t>
      </w:r>
      <w:r>
        <w:rPr>
          <w:rStyle w:val="VARIABLE"/>
        </w:rPr>
        <w:t xml:space="preserve">subscribeevent</w:t>
      </w:r>
      <w:r>
        <w:t xml:space="preserve"> / </w:t>
      </w:r>
      <w:r>
        <w:rPr>
          <w:rStyle w:val="VARIABLE"/>
        </w:rPr>
        <w:t xml:space="preserve">unsubscribeevent</w:t>
      </w:r>
      <w:r>
        <w:t xml:space="preserve"> operations, realized by OPC UA event MonitoredItems. This event mapping is new in this document.</w:t>
      </w:r>
    </w:p>
    <w:p w14:paraId="461D633B">
      <w:pPr>
        <w:pStyle w:val="ListBullet"/>
        <w:numPr>
          <w:ilvl w:val="0"/>
          <w:numId w:val="21"/>
        </w:numPr>
      </w:pPr>
      <w:r>
        <w:rPr>
          <w:b/>
        </w:rPr>
        <w:t xml:space="preserve">Links and references.</w:t>
      </w:r>
      <w:r>
        <w:t xml:space="preserve"> Non-hierarchical and typed references map to </w:t>
      </w:r>
      <w:r>
        <w:rPr>
          <w:rStyle w:val="VARIABLE"/>
        </w:rPr>
        <w:t xml:space="preserve">links</w:t>
      </w:r>
      <w:r>
        <w:t xml:space="preserve"> as in </w:t>
      </w:r>
      <w:r>
        <w:t xml:space="preserve">Section </w:t>
      </w:r>
      <w:r>
        <w:fldChar w:fldCharType="begin"/>
      </w:r>
      <w:r>
        <w:instrText xml:space="preserve"> REF _Clause_c6_3_2 \r \h </w:instrText>
      </w:r>
      <w:r>
        <w:fldChar w:fldCharType="separate"/>
      </w:r>
      <w:r>
        <w:rPr>
          <w:noProof/>
        </w:rPr>
        <w:t xml:space="preserve">6.3.2</w:t>
      </w:r>
      <w:r>
        <w:fldChar w:fldCharType="end"/>
      </w:r>
      <w:r>
        <w:t xml:space="preserve">; hierarchical component references map to </w:t>
      </w:r>
      <w:r>
        <w:rPr>
          <w:rStyle w:val="VARIABLE"/>
        </w:rPr>
        <w:t xml:space="preserve">uav:hasComponent</w:t>
      </w:r>
      <w:r>
        <w:t xml:space="preserve"> / </w:t>
      </w:r>
      <w:r>
        <w:rPr>
          <w:rStyle w:val="VARIABLE"/>
        </w:rPr>
        <w:t xml:space="preserve">uav:componentOf</w:t>
      </w:r>
      <w:r>
        <w:t xml:space="preserve"> (</w:t>
      </w:r>
      <w:r>
        <w:t xml:space="preserve">Section </w:t>
      </w:r>
      <w:r>
        <w:fldChar w:fldCharType="begin"/>
      </w:r>
      <w:r>
        <w:instrText xml:space="preserve"> REF _Clause_c6_2_3 \r \h </w:instrText>
      </w:r>
      <w:r>
        <w:fldChar w:fldCharType="separate"/>
      </w:r>
      <w:r>
        <w:rPr>
          <w:noProof/>
        </w:rPr>
        <w:t xml:space="preserve">6.2.3</w:t>
      </w:r>
      <w:r>
        <w:fldChar w:fldCharType="end"/>
      </w:r>
      <w:r>
        <w:t xml:space="preserve">) or, at model level, to </w:t>
      </w:r>
      <w:r>
        <w:rPr>
          <w:rStyle w:val="VARIABLE"/>
        </w:rPr>
        <w:t xml:space="preserve">uav:contains</w:t>
      </w:r>
      <w:r>
        <w:t xml:space="preserve"> / </w:t>
      </w:r>
      <w:r>
        <w:rPr>
          <w:rStyle w:val="VARIABLE"/>
        </w:rPr>
        <w:t xml:space="preserve">uav:containedIn</w:t>
      </w:r>
      <w:r>
        <w:t xml:space="preserve">.</w:t>
      </w:r>
    </w:p>
    <w:p w14:paraId="083214B5">
      <w:pPr>
        <w:pStyle w:val="ListBullet"/>
        <w:numPr>
          <w:ilvl w:val="0"/>
          <w:numId w:val="21"/>
        </w:numPr>
      </w:pPr>
      <w:r>
        <w:rPr>
          <w:b/>
        </w:rPr>
        <w:t xml:space="preserve">Custom DataTypes and encodings.</w:t>
      </w:r>
      <w:r>
        <w:t xml:space="preserve"> A custom DataType maps to a WoT DataSchema; where the schema cannot be expressed inline, </w:t>
      </w:r>
      <w:r>
        <w:rPr>
          <w:rStyle w:val="VARIABLE"/>
        </w:rPr>
        <w:t xml:space="preserve">uav:externalSchema</w:t>
      </w:r>
      <w:r>
        <w:t xml:space="preserve"> points to its definition and, for a Structure, </w:t>
      </w:r>
      <w:r>
        <w:rPr>
          <w:rStyle w:val="VARIABLE"/>
        </w:rPr>
        <w:t xml:space="preserve">uav:mapByFieldPath</w:t>
      </w:r>
      <w:r>
        <w:t xml:space="preserve"> addresses a field.</w:t>
      </w:r>
    </w:p>
    <w:p w14:paraId="75869983">
      <w:pPr>
        <w:pStyle w:val="ListBullet"/>
        <w:numPr>
          <w:ilvl w:val="0"/>
          <w:numId w:val="21"/>
        </w:numPr>
      </w:pPr>
      <w:r>
        <w:rPr>
          <w:b/>
        </w:rPr>
        <w:t xml:space="preserve">Placeholders and optionality.</w:t>
      </w:r>
      <w:r>
        <w:t xml:space="preserve"> Modelling rules map to </w:t>
      </w:r>
      <w:r>
        <w:rPr>
          <w:rStyle w:val="VARIABLE"/>
        </w:rPr>
        <w:t xml:space="preserve">uav:modellingRule</w:t>
      </w:r>
      <w:r>
        <w:t xml:space="preserve">; placeholder members are templates (</w:t>
      </w:r>
      <w:r>
        <w:t xml:space="preserve">Section </w:t>
      </w:r>
      <w:r>
        <w:fldChar w:fldCharType="begin"/>
      </w:r>
      <w:r>
        <w:instrText xml:space="preserve"> REF _Clause_c6_4 \r \h </w:instrText>
      </w:r>
      <w:r>
        <w:fldChar w:fldCharType="separate"/>
      </w:r>
      <w:r>
        <w:rPr>
          <w:noProof/>
        </w:rPr>
        <w:t xml:space="preserve">6.4</w:t>
      </w:r>
      <w:r>
        <w:fldChar w:fldCharType="end"/>
      </w:r>
      <w:r>
        <w:t xml:space="preserve">) and optional members are omitted per instance when absent.</w:t>
      </w:r>
    </w:p>
    <w:p w14:paraId="62BA7A57">
      <w:pPr>
        <w:pStyle w:val="Heading2"/>
      </w:pPr>
      <w:bookmarkStart w:id="513" w:name="_Clause_c6_6"/>
      <w:r>
        <w:t xml:space="preserve">NodeSet2 and WoT conversion</w:t>
      </w:r>
      <w:bookmarkEnd w:id="513"/>
    </w:p>
    <w:p w14:paraId="3A1A7376">
      <w:pPr>
        <w:pStyle w:val="PARAGRAPH"/>
      </w:pPr>
      <w:r>
        <w:t xml:space="preserve">Conversion is bidirectional. The semantic/readable mapping is primary and lets a WoT consumer act on a Thing without decoding model records. If a NodeSet contains information that this vocabulary cannot yet express, </w:t>
      </w:r>
      <w:r>
        <w:rPr>
          <w:rStyle w:val="VARIABLE"/>
        </w:rPr>
        <w:t xml:space="preserve">uav:nodes</w:t>
      </w:r>
      <w:r>
        <w:t xml:space="preserve"> provides an exceptional, versioned, structured projection of the complete UANodeSet schema. No construct defined by the current UANodeSet schema requires the opaque envelope of </w:t>
      </w:r>
      <w:r>
        <w:t xml:space="preserve">Section </w:t>
      </w:r>
      <w:r>
        <w:fldChar w:fldCharType="begin"/>
      </w:r>
      <w:r>
        <w:instrText xml:space="preserve"> REF _Clause_c6_7_3 \r \h </w:instrText>
      </w:r>
      <w:r>
        <w:fldChar w:fldCharType="separate"/>
      </w:r>
      <w:r>
        <w:rPr>
          <w:noProof/>
        </w:rPr>
        <w:t xml:space="preserve">6.7.3</w:t>
      </w:r>
      <w:r>
        <w:fldChar w:fldCharType="end"/>
      </w:r>
      <w:r>
        <w:t xml:space="preserve">.</w:t>
      </w:r>
    </w:p>
    <w:p w14:paraId="171AED75">
      <w:pPr>
        <w:pStyle w:val="Heading3"/>
      </w:pPr>
      <w:bookmarkStart w:id="514" w:name="_Clause_c6_6_1"/>
      <w:r>
        <w:t xml:space="preserve">Native readable mapping</w:t>
      </w:r>
      <w:bookmarkEnd w:id="514"/>
    </w:p>
    <w:p w14:paraId="6293A16A">
      <w:pPr>
        <w:pStyle w:val="TABLE-title"/>
        <w:keepNext/>
      </w:pPr>
      <w:bookmarkStart w:id="515" w:name="_Tab_native_readable_mapping_tab1"/>
      <w:r>
        <w:t xml:space="preserve">Table </w:t>
      </w:r>
      <w:r>
        <w:fldChar w:fldCharType="begin"/>
      </w:r>
      <w:r>
        <w:instrText xml:space="preserve"> SEQ Table \* ARABIC </w:instrText>
      </w:r>
      <w:r>
        <w:fldChar w:fldCharType="separate"/>
      </w:r>
      <w:r>
        <w:rPr>
          <w:noProof/>
        </w:rPr>
        <w:t xml:space="preserve">7</w:t>
      </w:r>
      <w:r>
        <w:fldChar w:fldCharType="end"/>
      </w:r>
      <w:r>
        <w:t xml:space="preserve"> – Native readable mapping</w:t>
      </w:r>
      <w:bookmarkEnd w:id="51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30285D9E">
            <w:pPr>
              <w:pStyle w:val="TableText"/>
            </w:pPr>
            <w:r>
              <w:t xml:space="preserve">OPC UA construct</w:t>
            </w:r>
          </w:p>
        </w:tc>
        <w:tc>
          <w:tcPr>
            <w:tcW w:w="4463" w:type="dxa"/>
            <w:tcBorders>
              <w:top w:val="single" w:sz="4" w:space="0" w:color="auto"/>
              <w:left w:val="single" w:sz="4" w:space="0" w:color="auto"/>
              <w:bottom w:val="double" w:sz="4" w:space="0" w:color="auto"/>
              <w:right w:val="single" w:sz="4" w:space="0" w:color="auto"/>
            </w:tcBorders>
          </w:tcPr>
          <w:p w14:paraId="0B8436A3">
            <w:pPr>
              <w:pStyle w:val="TableText"/>
            </w:pPr>
            <w:r>
              <w:t xml:space="preserve">WoT projection</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A55C1C5">
            <w:pPr>
              <w:pStyle w:val="TableText"/>
            </w:pPr>
            <w:r>
              <w:t xml:space="preserve">Object (NodeClass)</w:t>
            </w:r>
          </w:p>
        </w:tc>
        <w:tc>
          <w:tcPr>
            <w:tcW w:w="4463" w:type="dxa"/>
            <w:tcBorders>
              <w:top w:val="single" w:sz="4" w:space="0" w:color="auto"/>
              <w:left w:val="single" w:sz="4" w:space="0" w:color="auto"/>
              <w:bottom w:val="single" w:sz="4" w:space="0" w:color="auto"/>
              <w:right w:val="single" w:sz="4" w:space="0" w:color="auto"/>
            </w:tcBorders>
          </w:tcPr>
          <w:p w14:paraId="328C330B">
            <w:pPr>
              <w:pStyle w:val="TableText"/>
            </w:pPr>
            <w:r>
              <w:t xml:space="preserve">Thing / nested Thing, </w:t>
            </w:r>
            <w:r>
              <w:rPr>
                <w:rStyle w:val="VARIABLE"/>
              </w:rPr>
              <w:t xml:space="preserve">@type</w:t>
            </w:r>
            <w:r>
              <w:t xml:space="preserve"> </w:t>
            </w:r>
            <w:r>
              <w:rPr>
                <w:rStyle w:val="VARIABLE"/>
              </w:rPr>
              <w:t xml:space="preserve">uav:object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A88B652">
            <w:pPr>
              <w:pStyle w:val="TableText"/>
            </w:pPr>
            <w:r>
              <w:t xml:space="preserve">Variable</w:t>
            </w:r>
          </w:p>
        </w:tc>
        <w:tc>
          <w:tcPr>
            <w:tcW w:w="4463" w:type="dxa"/>
            <w:tcBorders>
              <w:top w:val="single" w:sz="4" w:space="0" w:color="auto"/>
              <w:left w:val="single" w:sz="4" w:space="0" w:color="auto"/>
              <w:bottom w:val="single" w:sz="4" w:space="0" w:color="auto"/>
              <w:right w:val="single" w:sz="4" w:space="0" w:color="auto"/>
            </w:tcBorders>
          </w:tcPr>
          <w:p w14:paraId="5615BF10">
            <w:pPr>
              <w:pStyle w:val="TableText"/>
            </w:pPr>
            <w:r>
              <w:t xml:space="preserve">property, </w:t>
            </w:r>
            <w:r>
              <w:rPr>
                <w:rStyle w:val="VARIABLE"/>
              </w:rPr>
              <w:t xml:space="preserve">@type</w:t>
            </w:r>
            <w:r>
              <w:t xml:space="preserve"> </w:t>
            </w:r>
            <w:r>
              <w:rPr>
                <w:rStyle w:val="VARIABLE"/>
              </w:rPr>
              <w:t xml:space="preserve">uav:variable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D7E1684">
            <w:pPr>
              <w:pStyle w:val="TableText"/>
            </w:pPr>
            <w:r>
              <w:t xml:space="preserve">Method</w:t>
            </w:r>
          </w:p>
        </w:tc>
        <w:tc>
          <w:tcPr>
            <w:tcW w:w="4463" w:type="dxa"/>
            <w:tcBorders>
              <w:top w:val="single" w:sz="4" w:space="0" w:color="auto"/>
              <w:left w:val="single" w:sz="4" w:space="0" w:color="auto"/>
              <w:bottom w:val="single" w:sz="4" w:space="0" w:color="auto"/>
              <w:right w:val="single" w:sz="4" w:space="0" w:color="auto"/>
            </w:tcBorders>
          </w:tcPr>
          <w:p w14:paraId="791F6CAE">
            <w:pPr>
              <w:pStyle w:val="TableText"/>
            </w:pPr>
            <w:r>
              <w:t xml:space="preserve">action, </w:t>
            </w:r>
            <w:r>
              <w:rPr>
                <w:rStyle w:val="VARIABLE"/>
              </w:rPr>
              <w:t xml:space="preserve">@type</w:t>
            </w:r>
            <w:r>
              <w:t xml:space="preserve"> </w:t>
            </w:r>
            <w:r>
              <w:rPr>
                <w:rStyle w:val="VARIABLE"/>
              </w:rPr>
              <w:t xml:space="preserve">uav:method</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CEC7BE5">
            <w:pPr>
              <w:pStyle w:val="TableText"/>
            </w:pPr>
            <w:r>
              <w:t xml:space="preserve">ObjectType</w:t>
            </w:r>
          </w:p>
        </w:tc>
        <w:tc>
          <w:tcPr>
            <w:tcW w:w="4463" w:type="dxa"/>
            <w:tcBorders>
              <w:top w:val="single" w:sz="4" w:space="0" w:color="auto"/>
              <w:left w:val="single" w:sz="4" w:space="0" w:color="auto"/>
              <w:bottom w:val="single" w:sz="4" w:space="0" w:color="auto"/>
              <w:right w:val="single" w:sz="4" w:space="0" w:color="auto"/>
            </w:tcBorders>
          </w:tcPr>
          <w:p w14:paraId="221C7A6F">
            <w:pPr>
              <w:pStyle w:val="TableText"/>
            </w:pPr>
            <w:r>
              <w:t xml:space="preserve">Thing Model, </w:t>
            </w:r>
            <w:r>
              <w:rPr>
                <w:rStyle w:val="VARIABLE"/>
              </w:rPr>
              <w:t xml:space="preserve">@type</w:t>
            </w:r>
            <w:r>
              <w:t xml:space="preserve"> </w:t>
            </w:r>
            <w:r>
              <w:rPr>
                <w:rStyle w:val="VARIABLE"/>
              </w:rPr>
              <w:t xml:space="preserve">uav:objectType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EDA2E07">
            <w:pPr>
              <w:pStyle w:val="TableText"/>
            </w:pPr>
            <w:r>
              <w:t xml:space="preserve">VariableType</w:t>
            </w:r>
          </w:p>
        </w:tc>
        <w:tc>
          <w:tcPr>
            <w:tcW w:w="4463" w:type="dxa"/>
            <w:tcBorders>
              <w:top w:val="single" w:sz="4" w:space="0" w:color="auto"/>
              <w:left w:val="single" w:sz="4" w:space="0" w:color="auto"/>
              <w:bottom w:val="single" w:sz="4" w:space="0" w:color="auto"/>
              <w:right w:val="single" w:sz="4" w:space="0" w:color="auto"/>
            </w:tcBorders>
          </w:tcPr>
          <w:p w14:paraId="67C0B75E">
            <w:pPr>
              <w:pStyle w:val="TableText"/>
            </w:pPr>
            <w:r>
              <w:t xml:space="preserve">property in a TM, </w:t>
            </w:r>
            <w:r>
              <w:rPr>
                <w:rStyle w:val="VARIABLE"/>
              </w:rPr>
              <w:t xml:space="preserve">@type</w:t>
            </w:r>
            <w:r>
              <w:t xml:space="preserve"> </w:t>
            </w:r>
            <w:r>
              <w:rPr>
                <w:rStyle w:val="VARIABLE"/>
              </w:rPr>
              <w:t xml:space="preserve">uav:variableType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7DF5330">
            <w:pPr>
              <w:pStyle w:val="TableText"/>
            </w:pPr>
            <w:r>
              <w:t xml:space="preserve">EventType (subtype of </w:t>
            </w:r>
            <w:r>
              <w:rPr>
                <w:rStyle w:val="VARIABLE"/>
              </w:rPr>
              <w:t xml:space="preserve">BaseEventType</w:t>
            </w:r>
            <w:r>
              <w:t xml:space="preserve">)</w:t>
            </w:r>
          </w:p>
        </w:tc>
        <w:tc>
          <w:tcPr>
            <w:tcW w:w="4463" w:type="dxa"/>
            <w:tcBorders>
              <w:top w:val="single" w:sz="4" w:space="0" w:color="auto"/>
              <w:left w:val="single" w:sz="4" w:space="0" w:color="auto"/>
              <w:bottom w:val="single" w:sz="4" w:space="0" w:color="auto"/>
              <w:right w:val="single" w:sz="4" w:space="0" w:color="auto"/>
            </w:tcBorders>
          </w:tcPr>
          <w:p w14:paraId="2F38BCC0">
            <w:pPr>
              <w:pStyle w:val="TableText"/>
            </w:pPr>
            <w:r>
              <w:t xml:space="preserve">event affordance, </w:t>
            </w:r>
            <w:r>
              <w:rPr>
                <w:rStyle w:val="VARIABLE"/>
              </w:rPr>
              <w:t xml:space="preserve">@type</w:t>
            </w:r>
            <w:r>
              <w:t xml:space="preserve"> </w:t>
            </w:r>
            <w:r>
              <w:rPr>
                <w:rStyle w:val="VARIABLE"/>
              </w:rPr>
              <w:t xml:space="preserve">uav:eventType</w:t>
            </w:r>
            <w:r>
              <w:t xml:space="preserve">, </w:t>
            </w:r>
            <w:r>
              <w:rPr>
                <w:rStyle w:val="VARIABLE"/>
              </w:rPr>
              <w:t xml:space="preserve">uav:isEvent: true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3A10F3D">
            <w:pPr>
              <w:pStyle w:val="TableText"/>
            </w:pPr>
            <w:r>
              <w:t xml:space="preserve">DataType</w:t>
            </w:r>
          </w:p>
        </w:tc>
        <w:tc>
          <w:tcPr>
            <w:tcW w:w="4463" w:type="dxa"/>
            <w:tcBorders>
              <w:top w:val="single" w:sz="4" w:space="0" w:color="auto"/>
              <w:left w:val="single" w:sz="4" w:space="0" w:color="auto"/>
              <w:bottom w:val="single" w:sz="4" w:space="0" w:color="auto"/>
              <w:right w:val="single" w:sz="4" w:space="0" w:color="auto"/>
            </w:tcBorders>
          </w:tcPr>
          <w:p w14:paraId="12E0E3F7">
            <w:pPr>
              <w:pStyle w:val="TableText"/>
            </w:pPr>
            <w:r>
              <w:t xml:space="preserve">WoT DataSchema; custom types via </w:t>
            </w:r>
            <w:r>
              <w:rPr>
                <w:rStyle w:val="VARIABLE"/>
              </w:rPr>
              <w:t xml:space="preserve">uav:externalSchema</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92F62CE">
            <w:pPr>
              <w:pStyle w:val="TableText"/>
            </w:pPr>
            <w:r>
              <w:t xml:space="preserve">ReferenceType</w:t>
            </w:r>
          </w:p>
        </w:tc>
        <w:tc>
          <w:tcPr>
            <w:tcW w:w="4463" w:type="dxa"/>
            <w:tcBorders>
              <w:top w:val="single" w:sz="4" w:space="0" w:color="auto"/>
              <w:left w:val="single" w:sz="4" w:space="0" w:color="auto"/>
              <w:bottom w:val="single" w:sz="4" w:space="0" w:color="auto"/>
              <w:right w:val="single" w:sz="4" w:space="0" w:color="auto"/>
            </w:tcBorders>
          </w:tcPr>
          <w:p w14:paraId="35797093">
            <w:pPr>
              <w:pStyle w:val="TableText"/>
            </w:pPr>
            <w:r>
              <w:t xml:space="preserve">compact model name used directly in link </w:t>
            </w:r>
            <w:r>
              <w:rPr>
                <w:rStyle w:val="VARIABLE"/>
              </w:rPr>
              <w:t xml:space="preserve">rel</w:t>
            </w:r>
            <w:r>
              <w:t xml:space="preserve">, with optional/required </w:t>
            </w:r>
            <w:r>
              <w:rPr>
                <w:rStyle w:val="VARIABLE"/>
              </w:rPr>
              <w:t xml:space="preserve">uav:refId</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189BF1A">
            <w:pPr>
              <w:pStyle w:val="TableText"/>
            </w:pPr>
            <w:r>
              <w:t xml:space="preserve">View</w:t>
            </w:r>
          </w:p>
        </w:tc>
        <w:tc>
          <w:tcPr>
            <w:tcW w:w="4463" w:type="dxa"/>
            <w:tcBorders>
              <w:top w:val="single" w:sz="4" w:space="0" w:color="auto"/>
              <w:left w:val="single" w:sz="4" w:space="0" w:color="auto"/>
              <w:bottom w:val="single" w:sz="4" w:space="0" w:color="auto"/>
              <w:right w:val="single" w:sz="4" w:space="0" w:color="auto"/>
            </w:tcBorders>
          </w:tcPr>
          <w:p w14:paraId="32CC2E65">
            <w:pPr>
              <w:pStyle w:val="TableText"/>
            </w:pPr>
            <w:r>
              <w:t xml:space="preserve">link (</w:t>
            </w:r>
            <w:r>
              <w:rPr>
                <w:rStyle w:val="VARIABLE"/>
              </w:rPr>
              <w:t xml:space="preserve">rel</w:t>
            </w:r>
            <w:r>
              <w:t xml:space="preserve"> </w:t>
            </w:r>
            <w:r>
              <w:rPr>
                <w:rStyle w:val="VARIABLE"/>
              </w:rPr>
              <w:t xml:space="preserve">collection</w:t>
            </w:r>
            <w:r>
              <w:t xml:space="preserve">) grouping the viewed Nodes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52DA5FF">
            <w:pPr>
              <w:pStyle w:val="TableText"/>
            </w:pPr>
            <w:r>
              <w:rPr>
                <w:rStyle w:val="VARIABLE"/>
              </w:rPr>
              <w:t xml:space="preserve">NodeId</w:t>
            </w:r>
          </w:p>
        </w:tc>
        <w:tc>
          <w:tcPr>
            <w:tcW w:w="4463" w:type="dxa"/>
            <w:tcBorders>
              <w:top w:val="single" w:sz="4" w:space="0" w:color="auto"/>
              <w:left w:val="single" w:sz="4" w:space="0" w:color="auto"/>
              <w:bottom w:val="single" w:sz="4" w:space="0" w:color="auto"/>
              <w:right w:val="single" w:sz="4" w:space="0" w:color="auto"/>
            </w:tcBorders>
          </w:tcPr>
          <w:p w14:paraId="48022511">
            <w:pPr>
              <w:pStyle w:val="TableText"/>
            </w:pPr>
            <w:r>
              <w:rPr>
                <w:rStyle w:val="VARIABLE"/>
              </w:rPr>
              <w:t xml:space="preserve">uav:id</w:t>
            </w:r>
            <w:r>
              <w:t xml:space="preserve"> (ExpandedNodeId, </w:t>
            </w:r>
            <w:r>
              <w:t xml:space="preserve">Section </w:t>
            </w:r>
            <w:r>
              <w:fldChar w:fldCharType="begin"/>
            </w:r>
            <w:r>
              <w:instrText xml:space="preserve"> REF _Clause_c6_2_1_1 \r \h </w:instrText>
            </w:r>
            <w:r>
              <w:fldChar w:fldCharType="separate"/>
            </w:r>
            <w:r>
              <w:rPr>
                <w:noProof/>
              </w:rPr>
              <w:t xml:space="preserve">6.2.1.1</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E7ECF15">
            <w:pPr>
              <w:pStyle w:val="TableText"/>
            </w:pPr>
            <w:r>
              <w:rPr>
                <w:rStyle w:val="VARIABLE"/>
              </w:rPr>
              <w:t xml:space="preserve">BrowseName</w:t>
            </w:r>
          </w:p>
        </w:tc>
        <w:tc>
          <w:tcPr>
            <w:tcW w:w="4463" w:type="dxa"/>
            <w:tcBorders>
              <w:top w:val="single" w:sz="4" w:space="0" w:color="auto"/>
              <w:left w:val="single" w:sz="4" w:space="0" w:color="auto"/>
              <w:bottom w:val="single" w:sz="4" w:space="0" w:color="auto"/>
              <w:right w:val="single" w:sz="4" w:space="0" w:color="auto"/>
            </w:tcBorders>
          </w:tcPr>
          <w:p w14:paraId="22B61436">
            <w:pPr>
              <w:pStyle w:val="TableText"/>
            </w:pPr>
            <w:r>
              <w:rPr>
                <w:rStyle w:val="VARIABLE"/>
              </w:rPr>
              <w:t xml:space="preserve">uav:browseName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815E175">
            <w:pPr>
              <w:pStyle w:val="TableText"/>
            </w:pPr>
            <w:r>
              <w:rPr>
                <w:rStyle w:val="VARIABLE"/>
              </w:rPr>
              <w:t xml:space="preserve">DisplayName</w:t>
            </w:r>
          </w:p>
        </w:tc>
        <w:tc>
          <w:tcPr>
            <w:tcW w:w="4463" w:type="dxa"/>
            <w:tcBorders>
              <w:top w:val="single" w:sz="4" w:space="0" w:color="auto"/>
              <w:left w:val="single" w:sz="4" w:space="0" w:color="auto"/>
              <w:bottom w:val="single" w:sz="4" w:space="0" w:color="auto"/>
              <w:right w:val="single" w:sz="4" w:space="0" w:color="auto"/>
            </w:tcBorders>
          </w:tcPr>
          <w:p w14:paraId="3086912E">
            <w:pPr>
              <w:pStyle w:val="TableText"/>
            </w:pPr>
            <w:r>
              <w:rPr>
                <w:rStyle w:val="VARIABLE"/>
              </w:rPr>
              <w:t xml:space="preserve">title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7B3D444">
            <w:pPr>
              <w:pStyle w:val="TableText"/>
            </w:pPr>
            <w:r>
              <w:rPr>
                <w:rStyle w:val="VARIABLE"/>
              </w:rPr>
              <w:t xml:space="preserve">Description</w:t>
            </w:r>
          </w:p>
        </w:tc>
        <w:tc>
          <w:tcPr>
            <w:tcW w:w="4463" w:type="dxa"/>
            <w:tcBorders>
              <w:top w:val="single" w:sz="4" w:space="0" w:color="auto"/>
              <w:left w:val="single" w:sz="4" w:space="0" w:color="auto"/>
              <w:bottom w:val="single" w:sz="4" w:space="0" w:color="auto"/>
              <w:right w:val="single" w:sz="4" w:space="0" w:color="auto"/>
            </w:tcBorders>
          </w:tcPr>
          <w:p w14:paraId="13CA4D8D">
            <w:pPr>
              <w:pStyle w:val="TableText"/>
            </w:pPr>
            <w:r>
              <w:rPr>
                <w:rStyle w:val="VARIABLE"/>
              </w:rPr>
              <w:t xml:space="preserve">description</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2E6A91B">
            <w:pPr>
              <w:pStyle w:val="TableText"/>
            </w:pPr>
            <w:r>
              <w:rPr>
                <w:rStyle w:val="VARIABLE"/>
              </w:rPr>
              <w:t xml:space="preserve">DataType</w:t>
            </w:r>
            <w:r>
              <w:t xml:space="preserve"> + </w:t>
            </w:r>
            <w:r>
              <w:rPr>
                <w:rStyle w:val="VARIABLE"/>
              </w:rPr>
              <w:t xml:space="preserve">ValueRank</w:t>
            </w:r>
            <w:r>
              <w:t xml:space="preserve"> + </w:t>
            </w:r>
            <w:r>
              <w:rPr>
                <w:rStyle w:val="VARIABLE"/>
              </w:rPr>
              <w:t xml:space="preserve">ArrayDimensions</w:t>
            </w:r>
          </w:p>
        </w:tc>
        <w:tc>
          <w:tcPr>
            <w:tcW w:w="4463" w:type="dxa"/>
            <w:tcBorders>
              <w:top w:val="single" w:sz="4" w:space="0" w:color="auto"/>
              <w:left w:val="single" w:sz="4" w:space="0" w:color="auto"/>
              <w:bottom w:val="single" w:sz="4" w:space="0" w:color="auto"/>
              <w:right w:val="single" w:sz="4" w:space="0" w:color="auto"/>
            </w:tcBorders>
          </w:tcPr>
          <w:p w14:paraId="4AB01918">
            <w:pPr>
              <w:pStyle w:val="TableText"/>
            </w:pPr>
            <w:r>
              <w:rPr>
                <w:rStyle w:val="VARIABLE"/>
              </w:rPr>
              <w:t xml:space="preserve">type</w:t>
            </w:r>
            <w:r>
              <w:t xml:space="preserve"> and array </w:t>
            </w:r>
            <w:r>
              <w:rPr>
                <w:rStyle w:val="VARIABLE"/>
              </w:rPr>
              <w:t xml:space="preserve">items</w:t>
            </w:r>
            <w:r>
              <w:t xml:space="preserve"> of the DataSchema</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8581BD6">
            <w:pPr>
              <w:pStyle w:val="TableText"/>
            </w:pPr>
            <w:r>
              <w:rPr>
                <w:rStyle w:val="VARIABLE"/>
              </w:rPr>
              <w:t xml:space="preserve">AccessLevel</w:t>
            </w:r>
          </w:p>
        </w:tc>
        <w:tc>
          <w:tcPr>
            <w:tcW w:w="4463" w:type="dxa"/>
            <w:tcBorders>
              <w:top w:val="single" w:sz="4" w:space="0" w:color="auto"/>
              <w:left w:val="single" w:sz="4" w:space="0" w:color="auto"/>
              <w:bottom w:val="single" w:sz="4" w:space="0" w:color="auto"/>
              <w:right w:val="single" w:sz="4" w:space="0" w:color="auto"/>
            </w:tcBorders>
          </w:tcPr>
          <w:p w14:paraId="493E0E00">
            <w:pPr>
              <w:pStyle w:val="TableText"/>
            </w:pPr>
            <w:r>
              <w:rPr>
                <w:rStyle w:val="VARIABLE"/>
              </w:rPr>
              <w:t xml:space="preserve">readOnly</w:t>
            </w:r>
            <w:r>
              <w:t xml:space="preserve"> / </w:t>
            </w:r>
            <w:r>
              <w:rPr>
                <w:rStyle w:val="VARIABLE"/>
              </w:rPr>
              <w:t xml:space="preserve">writeOnly</w:t>
            </w:r>
            <w:r>
              <w:t xml:space="preserve"> / </w:t>
            </w:r>
            <w:r>
              <w:rPr>
                <w:rStyle w:val="VARIABLE"/>
              </w:rPr>
              <w:t xml:space="preserve">observable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9135D67">
            <w:pPr>
              <w:pStyle w:val="TableText"/>
            </w:pPr>
            <w:r>
              <w:rPr>
                <w:rStyle w:val="VARIABLE"/>
              </w:rPr>
              <w:t xml:space="preserve">Value</w:t>
            </w:r>
          </w:p>
        </w:tc>
        <w:tc>
          <w:tcPr>
            <w:tcW w:w="4463" w:type="dxa"/>
            <w:tcBorders>
              <w:top w:val="single" w:sz="4" w:space="0" w:color="auto"/>
              <w:left w:val="single" w:sz="4" w:space="0" w:color="auto"/>
              <w:bottom w:val="single" w:sz="4" w:space="0" w:color="auto"/>
              <w:right w:val="single" w:sz="4" w:space="0" w:color="auto"/>
            </w:tcBorders>
          </w:tcPr>
          <w:p w14:paraId="2683BAFF">
            <w:pPr>
              <w:pStyle w:val="TableText"/>
            </w:pPr>
            <w:r>
              <w:t xml:space="preserve">property value or </w:t>
            </w:r>
            <w:r>
              <w:rPr>
                <w:rStyle w:val="VARIABLE"/>
              </w:rPr>
              <w:t xml:space="preserve">const</w:t>
            </w:r>
            <w:r>
              <w:t xml:space="preserve"> / </w:t>
            </w:r>
            <w:r>
              <w:rPr>
                <w:rStyle w:val="VARIABLE"/>
              </w:rPr>
              <w:t xml:space="preserve">default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E109909">
            <w:pPr>
              <w:pStyle w:val="TableText"/>
            </w:pPr>
            <w:r>
              <w:rPr>
                <w:rStyle w:val="VARIABLE"/>
              </w:rPr>
              <w:t xml:space="preserve">HasComponent</w:t>
            </w:r>
            <w:r>
              <w:t xml:space="preserve"> / </w:t>
            </w:r>
            <w:r>
              <w:rPr>
                <w:rStyle w:val="VARIABLE"/>
              </w:rPr>
              <w:t xml:space="preserve">HasProperty</w:t>
            </w:r>
            <w:r>
              <w:t xml:space="preserve"> (forward)</w:t>
            </w:r>
          </w:p>
        </w:tc>
        <w:tc>
          <w:tcPr>
            <w:tcW w:w="4463" w:type="dxa"/>
            <w:tcBorders>
              <w:top w:val="single" w:sz="4" w:space="0" w:color="auto"/>
              <w:left w:val="single" w:sz="4" w:space="0" w:color="auto"/>
              <w:bottom w:val="single" w:sz="4" w:space="0" w:color="auto"/>
              <w:right w:val="single" w:sz="4" w:space="0" w:color="auto"/>
            </w:tcBorders>
          </w:tcPr>
          <w:p w14:paraId="0D9E8942">
            <w:pPr>
              <w:pStyle w:val="TableText"/>
            </w:pPr>
            <w:r>
              <w:rPr>
                <w:rStyle w:val="VARIABLE"/>
              </w:rPr>
              <w:t xml:space="preserve">uav:hasComponent</w:t>
            </w:r>
            <w:r>
              <w:t xml:space="preserve">, or a component </w:t>
            </w:r>
            <w:r>
              <w:rPr>
                <w:rStyle w:val="VARIABLE"/>
              </w:rPr>
              <w:t xml:space="preserve">link</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74806FE">
            <w:pPr>
              <w:pStyle w:val="TableText"/>
            </w:pPr>
            <w:r>
              <w:rPr>
                <w:rStyle w:val="VARIABLE"/>
              </w:rPr>
              <w:t xml:space="preserve">HasComponent</w:t>
            </w:r>
            <w:r>
              <w:t xml:space="preserve"> (inverse)</w:t>
            </w:r>
          </w:p>
        </w:tc>
        <w:tc>
          <w:tcPr>
            <w:tcW w:w="4463" w:type="dxa"/>
            <w:tcBorders>
              <w:top w:val="single" w:sz="4" w:space="0" w:color="auto"/>
              <w:left w:val="single" w:sz="4" w:space="0" w:color="auto"/>
              <w:bottom w:val="single" w:sz="4" w:space="0" w:color="auto"/>
              <w:right w:val="single" w:sz="4" w:space="0" w:color="auto"/>
            </w:tcBorders>
          </w:tcPr>
          <w:p w14:paraId="75849675">
            <w:pPr>
              <w:pStyle w:val="TableText"/>
            </w:pPr>
            <w:r>
              <w:rPr>
                <w:rStyle w:val="VARIABLE"/>
              </w:rPr>
              <w:t xml:space="preserve">uav:componentOf</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70E9A43">
            <w:pPr>
              <w:pStyle w:val="TableText"/>
            </w:pPr>
            <w:r>
              <w:rPr>
                <w:rStyle w:val="VARIABLE"/>
              </w:rPr>
              <w:t xml:space="preserve">HasComponent</w:t>
            </w:r>
            <w:r>
              <w:t xml:space="preserve"> subtype (for example </w:t>
            </w:r>
            <w:r>
              <w:rPr>
                <w:rStyle w:val="VARIABLE"/>
              </w:rPr>
              <w:t xml:space="preserve">HasOrderedComponent</w:t>
            </w:r>
            <w:r>
              <w:t xml:space="preserve">)</w:t>
            </w:r>
          </w:p>
        </w:tc>
        <w:tc>
          <w:tcPr>
            <w:tcW w:w="4463" w:type="dxa"/>
            <w:tcBorders>
              <w:top w:val="single" w:sz="4" w:space="0" w:color="auto"/>
              <w:left w:val="single" w:sz="4" w:space="0" w:color="auto"/>
              <w:bottom w:val="single" w:sz="4" w:space="0" w:color="auto"/>
              <w:right w:val="single" w:sz="4" w:space="0" w:color="auto"/>
            </w:tcBorders>
          </w:tcPr>
          <w:p w14:paraId="5616A2DB">
            <w:pPr>
              <w:pStyle w:val="TableText"/>
            </w:pPr>
            <w:r>
              <w:rPr>
                <w:rStyle w:val="VARIABLE"/>
              </w:rPr>
              <w:t xml:space="preserve">uav:hasComponent</w:t>
            </w:r>
            <w:r>
              <w:t xml:space="preserve"> for discovery </w:t>
            </w:r>
            <w:r>
              <w:rPr>
                <w:b/>
              </w:rPr>
              <w:t xml:space="preserve">and</w:t>
            </w:r>
            <w:r>
              <w:t xml:space="preserve"> a link whose </w:t>
            </w:r>
            <w:r>
              <w:rPr>
                <w:rStyle w:val="VARIABLE"/>
              </w:rPr>
              <w:t xml:space="preserve">rel</w:t>
            </w:r>
            <w:r>
              <w:t xml:space="preserve"> is the ReferenceType compact model name, with </w:t>
            </w:r>
            <w:r>
              <w:rPr>
                <w:rStyle w:val="VARIABLE"/>
              </w:rPr>
              <w:t xml:space="preserve">uav:refId</w:t>
            </w:r>
            <w:r>
              <w:t xml:space="preserve"> when required (</w:t>
            </w:r>
            <w:r>
              <w:t xml:space="preserve">Section </w:t>
            </w:r>
            <w:r>
              <w:fldChar w:fldCharType="begin"/>
            </w:r>
            <w:r>
              <w:instrText xml:space="preserve"> REF _Clause_c6_2_3 \r \h </w:instrText>
            </w:r>
            <w:r>
              <w:fldChar w:fldCharType="separate"/>
            </w:r>
            <w:r>
              <w:rPr>
                <w:noProof/>
              </w:rPr>
              <w:t xml:space="preserve">6.2.3</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DF94835">
            <w:pPr>
              <w:pStyle w:val="TableText"/>
            </w:pPr>
            <w:r>
              <w:t xml:space="preserve">Other typed references</w:t>
            </w:r>
          </w:p>
        </w:tc>
        <w:tc>
          <w:tcPr>
            <w:tcW w:w="4463" w:type="dxa"/>
            <w:tcBorders>
              <w:top w:val="single" w:sz="4" w:space="0" w:color="auto"/>
              <w:left w:val="single" w:sz="4" w:space="0" w:color="auto"/>
              <w:bottom w:val="single" w:sz="4" w:space="0" w:color="auto"/>
              <w:right w:val="single" w:sz="4" w:space="0" w:color="auto"/>
            </w:tcBorders>
          </w:tcPr>
          <w:p w14:paraId="205D9A7E">
            <w:pPr>
              <w:pStyle w:val="TableText"/>
            </w:pPr>
            <w:r>
              <w:t xml:space="preserve">link whose </w:t>
            </w:r>
            <w:r>
              <w:rPr>
                <w:rStyle w:val="VARIABLE"/>
              </w:rPr>
              <w:t xml:space="preserve">rel</w:t>
            </w:r>
            <w:r>
              <w:t xml:space="preserve"> is the ReferenceType compact model name and whose </w:t>
            </w:r>
            <w:r>
              <w:rPr>
                <w:rStyle w:val="VARIABLE"/>
              </w:rPr>
              <w:t xml:space="preserve">uav:refId</w:t>
            </w:r>
            <w:r>
              <w:t xml:space="preserve"> is present when required</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76FBEE7">
            <w:pPr>
              <w:pStyle w:val="TableText"/>
            </w:pPr>
            <w:r>
              <w:t xml:space="preserve">Modelling rule (</w:t>
            </w:r>
            <w:r>
              <w:rPr>
                <w:rStyle w:val="VARIABLE"/>
              </w:rPr>
              <w:t xml:space="preserve">Mandatory</w:t>
            </w:r>
            <w:r>
              <w:t xml:space="preserve"> </w:t>
            </w:r>
            <w:r>
              <w:rPr>
                <w:rStyle w:val="VARIABLE"/>
              </w:rPr>
              <w:t xml:space="preserve">i=78</w:t>
            </w:r>
            <w:r>
              <w:t xml:space="preserve">, </w:t>
            </w:r>
            <w:r>
              <w:rPr>
                <w:rStyle w:val="VARIABLE"/>
              </w:rPr>
              <w:t xml:space="preserve">Optional</w:t>
            </w:r>
            <w:r>
              <w:t xml:space="preserve"> </w:t>
            </w:r>
            <w:r>
              <w:rPr>
                <w:rStyle w:val="VARIABLE"/>
              </w:rPr>
              <w:t xml:space="preserve">i=80</w:t>
            </w:r>
            <w:r>
              <w:t xml:space="preserve">, </w:t>
            </w:r>
            <w:r>
              <w:rPr>
                <w:rStyle w:val="VARIABLE"/>
              </w:rPr>
              <w:t xml:space="preserve">MandatoryPlaceholder</w:t>
            </w:r>
            <w:r>
              <w:t xml:space="preserve"> </w:t>
            </w:r>
            <w:r>
              <w:rPr>
                <w:rStyle w:val="VARIABLE"/>
              </w:rPr>
              <w:t xml:space="preserve">i=11510</w:t>
            </w:r>
            <w:r>
              <w:t xml:space="preserve">, </w:t>
            </w:r>
            <w:r>
              <w:rPr>
                <w:rStyle w:val="VARIABLE"/>
              </w:rPr>
              <w:t xml:space="preserve">OptionalPlaceholder</w:t>
            </w:r>
            <w:r>
              <w:t xml:space="preserve"> </w:t>
            </w:r>
            <w:r>
              <w:rPr>
                <w:rStyle w:val="VARIABLE"/>
              </w:rPr>
              <w:t xml:space="preserve">i=11508</w:t>
            </w:r>
            <w:r>
              <w:t xml:space="preserve">)</w:t>
            </w:r>
          </w:p>
        </w:tc>
        <w:tc>
          <w:tcPr>
            <w:tcW w:w="4463" w:type="dxa"/>
            <w:tcBorders>
              <w:top w:val="single" w:sz="4" w:space="0" w:color="auto"/>
              <w:left w:val="single" w:sz="4" w:space="0" w:color="auto"/>
              <w:bottom w:val="single" w:sz="4" w:space="0" w:color="auto"/>
              <w:right w:val="single" w:sz="4" w:space="0" w:color="auto"/>
            </w:tcBorders>
          </w:tcPr>
          <w:p w14:paraId="3EB46C81">
            <w:pPr>
              <w:pStyle w:val="TableText"/>
            </w:pPr>
            <w:r>
              <w:rPr>
                <w:rStyle w:val="VARIABLE"/>
              </w:rPr>
              <w:t xml:space="preserve">uav:modellingRule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B192028">
            <w:pPr>
              <w:pStyle w:val="TableText"/>
            </w:pPr>
            <w:r>
              <w:t xml:space="preserve">Namespace table</w:t>
            </w:r>
          </w:p>
        </w:tc>
        <w:tc>
          <w:tcPr>
            <w:tcW w:w="4463" w:type="dxa"/>
            <w:tcBorders>
              <w:top w:val="single" w:sz="4" w:space="0" w:color="auto"/>
              <w:left w:val="single" w:sz="4" w:space="0" w:color="auto"/>
              <w:bottom w:val="single" w:sz="4" w:space="0" w:color="auto"/>
              <w:right w:val="single" w:sz="4" w:space="0" w:color="auto"/>
            </w:tcBorders>
          </w:tcPr>
          <w:p w14:paraId="4EE77C4B">
            <w:pPr>
              <w:pStyle w:val="TableText"/>
            </w:pPr>
            <w:r>
              <w:rPr>
                <w:rStyle w:val="VARIABLE"/>
              </w:rPr>
              <w:t xml:space="preserve">@context</w:t>
            </w:r>
            <w:r>
              <w:t xml:space="preserve"> prefix bindings keyed by namespace index; identity terms name namespaces by URI (</w:t>
            </w:r>
            <w:r>
              <w:t xml:space="preserve">Section </w:t>
            </w:r>
            <w:r>
              <w:fldChar w:fldCharType="begin"/>
            </w:r>
            <w:r>
              <w:instrText xml:space="preserve"> REF _Clause_c6_2_1_1 \r \h </w:instrText>
            </w:r>
            <w:r>
              <w:fldChar w:fldCharType="separate"/>
            </w:r>
            <w:r>
              <w:rPr>
                <w:noProof/>
              </w:rPr>
              <w:t xml:space="preserve">6.2.1.1</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88AF590">
            <w:pPr>
              <w:pStyle w:val="TableText"/>
            </w:pPr>
            <w:r>
              <w:t xml:space="preserve">Events (</w:t>
            </w:r>
            <w:r>
              <w:rPr>
                <w:rStyle w:val="VARIABLE"/>
              </w:rPr>
              <w:t xml:space="preserve">BaseEventType</w:t>
            </w:r>
            <w:r>
              <w:t xml:space="preserve"> subtypes)</w:t>
            </w:r>
          </w:p>
        </w:tc>
        <w:tc>
          <w:tcPr>
            <w:tcW w:w="4463" w:type="dxa"/>
            <w:tcBorders>
              <w:top w:val="single" w:sz="4" w:space="0" w:color="auto"/>
              <w:left w:val="single" w:sz="4" w:space="0" w:color="auto"/>
              <w:bottom w:val="single" w:sz="4" w:space="0" w:color="auto"/>
              <w:right w:val="single" w:sz="4" w:space="0" w:color="auto"/>
            </w:tcBorders>
          </w:tcPr>
          <w:p w14:paraId="1A44E838">
            <w:pPr>
              <w:pStyle w:val="TableText"/>
            </w:pPr>
            <w:r>
              <w:t xml:space="preserve">event affordance, </w:t>
            </w:r>
            <w:r>
              <w:rPr>
                <w:rStyle w:val="VARIABLE"/>
              </w:rPr>
              <w:t xml:space="preserve">@type</w:t>
            </w:r>
            <w:r>
              <w:t xml:space="preserve"> </w:t>
            </w:r>
            <w:r>
              <w:rPr>
                <w:rStyle w:val="VARIABLE"/>
              </w:rPr>
              <w:t xml:space="preserve">uav:eventType</w:t>
            </w:r>
            <w:r>
              <w:t xml:space="preserve">, </w:t>
            </w:r>
            <w:r>
              <w:rPr>
                <w:rStyle w:val="VARIABLE"/>
              </w:rPr>
              <w:t xml:space="preserve">uav:isEvent: true</w:t>
            </w:r>
          </w:p>
        </w:tc>
      </w:tr>
    </w:tbl>
    <w:p w14:paraId="34EADD88">
      <w:pPr>
        <w:pStyle w:val="spacer"/>
      </w:pPr>
    </w:p>
    <w:p w14:paraId="2C4E3754">
      <w:pPr>
        <w:pStyle w:val="Heading3"/>
      </w:pPr>
      <w:bookmarkStart w:id="516" w:name="_Clause_c6_6_2"/>
      <w:r>
        <w:t xml:space="preserve">Exceptional structured nodes projection</w:t>
      </w:r>
      <w:bookmarkEnd w:id="516"/>
    </w:p>
    <w:p w14:paraId="3144C5AB">
      <w:pPr>
        <w:pStyle w:val="PARAGRAPH"/>
      </w:pPr>
      <w:r>
        <w:t xml:space="preserve">A converter from NodeSet2 </w:t>
      </w:r>
      <w:r>
        <w:rPr>
          <w:b/>
        </w:rPr>
        <w:t xml:space="preserve">shall first</w:t>
      </w:r>
      <w:r>
        <w:t xml:space="preserve"> emit and verify the semantic/readable mapping of </w:t>
      </w:r>
      <w:r>
        <w:t xml:space="preserve">Section </w:t>
      </w:r>
      <w:r>
        <w:fldChar w:fldCharType="begin"/>
      </w:r>
      <w:r>
        <w:instrText xml:space="preserve"> REF _Clause_c6_6_1 \r \h </w:instrText>
      </w:r>
      <w:r>
        <w:fldChar w:fldCharType="separate"/>
      </w:r>
      <w:r>
        <w:rPr>
          <w:noProof/>
        </w:rPr>
        <w:t xml:space="preserve">6.6.1</w:t>
      </w:r>
      <w:r>
        <w:fldChar w:fldCharType="end"/>
      </w:r>
      <w:r>
        <w:t xml:space="preserve">. It </w:t>
      </w:r>
      <w:r>
        <w:rPr>
          <w:b/>
        </w:rPr>
        <w:t xml:space="preserve">shall omit</w:t>
      </w:r>
      <w:r>
        <w:t xml:space="preserve"> </w:t>
      </w:r>
      <w:r>
        <w:rPr>
          <w:rStyle w:val="VARIABLE"/>
        </w:rPr>
        <w:t xml:space="preserve">uav:nodes</w:t>
      </w:r>
      <w:r>
        <w:t xml:space="preserve"> when converting that readable document back reproduces an equivalent UANodeSet. If the comparison identifies source information not expressible by the current vocabulary, the converter </w:t>
      </w:r>
      <w:r>
        <w:rPr>
          <w:b/>
        </w:rPr>
        <w:t xml:space="preserve">shall</w:t>
      </w:r>
      <w:r>
        <w:t xml:space="preserve"> add a </w:t>
      </w:r>
      <w:r>
        <w:rPr>
          <w:rStyle w:val="VARIABLE"/>
        </w:rPr>
        <w:t xml:space="preserve">uav:nodes</w:t>
      </w:r>
      <w:r>
        <w:t xml:space="preserve"> object whose </w:t>
      </w:r>
      <w:r>
        <w:rPr>
          <w:rStyle w:val="VARIABLE"/>
        </w:rPr>
        <w:t xml:space="preserve">@type</w:t>
      </w:r>
      <w:r>
        <w:t xml:space="preserve"> is </w:t>
      </w:r>
      <w:r>
        <w:rPr>
          <w:rStyle w:val="VARIABLE"/>
        </w:rPr>
        <w:t xml:space="preserve">uav:NodeModel</w:t>
      </w:r>
      <w:r>
        <w:t xml:space="preserve"> and whose </w:t>
      </w:r>
      <w:r>
        <w:rPr>
          <w:rStyle w:val="VARIABLE"/>
        </w:rPr>
        <w:t xml:space="preserve">profileVersion</w:t>
      </w:r>
      <w:r>
        <w:t xml:space="preserve"> identifies the projection grammar. Version </w:t>
      </w:r>
      <w:r>
        <w:rPr>
          <w:rStyle w:val="VARIABLE"/>
        </w:rPr>
        <w:t xml:space="preserve">1.0</w:t>
      </w:r>
      <w:r>
        <w:t xml:space="preserve"> represents:</w:t>
      </w:r>
    </w:p>
    <w:p w14:paraId="011D3F0A">
      <w:pPr>
        <w:pStyle w:val="ListBullet"/>
        <w:numPr>
          <w:ilvl w:val="0"/>
          <w:numId w:val="21"/>
        </w:numPr>
      </w:pPr>
      <w:r>
        <w:t xml:space="preserve">the complete </w:t>
      </w:r>
      <w:r>
        <w:rPr>
          <w:rStyle w:val="VARIABLE"/>
        </w:rPr>
        <w:t xml:space="preserve">NamespaceUris</w:t>
      </w:r>
      <w:r>
        <w:t xml:space="preserve">, </w:t>
      </w:r>
      <w:r>
        <w:rPr>
          <w:rStyle w:val="VARIABLE"/>
        </w:rPr>
        <w:t xml:space="preserve">ServerUris</w:t>
      </w:r>
      <w:r>
        <w:t xml:space="preserve">, </w:t>
      </w:r>
      <w:r>
        <w:rPr>
          <w:rStyle w:val="VARIABLE"/>
        </w:rPr>
        <w:t xml:space="preserve">Models</w:t>
      </w:r>
      <w:r>
        <w:t xml:space="preserve">, </w:t>
      </w:r>
      <w:r>
        <w:rPr>
          <w:rStyle w:val="VARIABLE"/>
        </w:rPr>
        <w:t xml:space="preserve">Aliases</w:t>
      </w:r>
      <w:r>
        <w:t xml:space="preserve">, root </w:t>
      </w:r>
      <w:r>
        <w:rPr>
          <w:rStyle w:val="VARIABLE"/>
        </w:rPr>
        <w:t xml:space="preserve">Extensions</w:t>
      </w:r>
      <w:r>
        <w:t xml:space="preserve">, and </w:t>
      </w:r>
      <w:r>
        <w:rPr>
          <w:rStyle w:val="VARIABLE"/>
        </w:rPr>
        <w:t xml:space="preserve">LastModified</w:t>
      </w:r>
      <w:r>
        <w:t xml:space="preserve"> fields;</w:t>
      </w:r>
    </w:p>
    <w:p w14:paraId="3CCFE9F5">
      <w:pPr>
        <w:pStyle w:val="ListBullet"/>
        <w:numPr>
          <w:ilvl w:val="0"/>
          <w:numId w:val="21"/>
        </w:numPr>
      </w:pPr>
      <w:r>
        <w:t xml:space="preserve">every top-level and required model entry, including role permissions and access restrictions;</w:t>
      </w:r>
    </w:p>
    <w:p w14:paraId="09E78813">
      <w:pPr>
        <w:pStyle w:val="ListBullet"/>
        <w:numPr>
          <w:ilvl w:val="0"/>
          <w:numId w:val="21"/>
        </w:numPr>
      </w:pPr>
      <w:r>
        <w:t xml:space="preserve">every node of all eight NodeClasses, in source order;</w:t>
      </w:r>
    </w:p>
    <w:p w14:paraId="7FCB2B9A">
      <w:pPr>
        <w:pStyle w:val="ListBullet"/>
        <w:numPr>
          <w:ilvl w:val="0"/>
          <w:numId w:val="21"/>
        </w:numPr>
      </w:pPr>
      <w:r>
        <w:t xml:space="preserve">every common and NodeClass-specific UANodeSet attribute, localized text, category, documentation, role permission, Reference, method argument, translation, DataType definition field, and Value;</w:t>
      </w:r>
    </w:p>
    <w:p w14:paraId="6472A13F">
      <w:pPr>
        <w:pStyle w:val="ListBullet"/>
        <w:numPr>
          <w:ilvl w:val="0"/>
          <w:numId w:val="21"/>
        </w:numPr>
      </w:pPr>
      <w:r>
        <w:t xml:space="preserve">each arbitrary XML </w:t>
      </w:r>
      <w:r>
        <w:rPr>
          <w:rStyle w:val="VARIABLE"/>
        </w:rPr>
        <w:t xml:space="preserve">Value</w:t>
      </w:r>
      <w:r>
        <w:t xml:space="preserve"> or </w:t>
      </w:r>
      <w:r>
        <w:rPr>
          <w:rStyle w:val="VARIABLE"/>
        </w:rPr>
        <w:t xml:space="preserve">Extension</w:t>
      </w:r>
      <w:r>
        <w:t xml:space="preserve"> element as an individual XML fragment, not as an encoded copy of the NodeSet document.</w:t>
      </w:r>
    </w:p>
    <w:p w14:paraId="1966A254">
      <w:pPr>
        <w:pStyle w:val="PARAGRAPH"/>
      </w:pPr>
      <w:r>
        <w:t xml:space="preserve">The projection keeps NodeSet-local </w:t>
      </w:r>
      <w:r>
        <w:rPr>
          <w:rStyle w:val="VARIABLE"/>
        </w:rPr>
        <w:t xml:space="preserve">ns=&lt;index&gt;</w:t>
      </w:r>
      <w:r>
        <w:t xml:space="preserve"> identities together with its own </w:t>
      </w:r>
      <w:r>
        <w:rPr>
          <w:rStyle w:val="VARIABLE"/>
        </w:rPr>
        <w:t xml:space="preserve">namespaceUris</w:t>
      </w:r>
      <w:r>
        <w:t xml:space="preserve"> table. Those internal values are not persisted AddressSpace identities and are therefore outside the portable-identity rule of </w:t>
      </w:r>
      <w:r>
        <w:t xml:space="preserve">Section </w:t>
      </w:r>
      <w:r>
        <w:fldChar w:fldCharType="begin"/>
      </w:r>
      <w:r>
        <w:instrText xml:space="preserve"> REF _Clause_c6_2_1_1 \r \h </w:instrText>
      </w:r>
      <w:r>
        <w:fldChar w:fldCharType="separate"/>
      </w:r>
      <w:r>
        <w:rPr>
          <w:noProof/>
        </w:rPr>
        <w:t xml:space="preserve">6.2.1.1</w:t>
      </w:r>
      <w:r>
        <w:fldChar w:fldCharType="end"/>
      </w:r>
      <w:r>
        <w:t xml:space="preserve">. The readable </w:t>
      </w:r>
      <w:r>
        <w:rPr>
          <w:rStyle w:val="VARIABLE"/>
        </w:rPr>
        <w:t xml:space="preserve">uav:id</w:t>
      </w:r>
      <w:r>
        <w:t xml:space="preserve">, link, and form identities remain URI-qualified ExpandedNodeIds.</w:t>
      </w:r>
    </w:p>
    <w:p w14:paraId="64DC1190">
      <w:pPr>
        <w:pStyle w:val="PARAGRAPH"/>
      </w:pPr>
      <w:r>
        <w:t xml:space="preserve">Because UANodeSet provides </w:t>
      </w:r>
      <w:r>
        <w:rPr>
          <w:rStyle w:val="VARIABLE"/>
        </w:rPr>
        <w:t xml:space="preserve">Extensions</w:t>
      </w:r>
      <w:r>
        <w:t xml:space="preserve"> at the document and UANode levels and because arbitrary XML content is representable as an extension fragment, the projection has no exception for a construct defined by the current UANodeSet schema. A converter </w:t>
      </w:r>
      <w:r>
        <w:rPr>
          <w:b/>
        </w:rPr>
        <w:t xml:space="preserve">shall</w:t>
      </w:r>
      <w:r>
        <w:t xml:space="preserve"> reconstruct the projection and compare the result with its source before claiming lossless conversion. Emitting </w:t>
      </w:r>
      <w:r>
        <w:rPr>
          <w:rStyle w:val="VARIABLE"/>
        </w:rPr>
        <w:t xml:space="preserve">uav:nodes</w:t>
      </w:r>
      <w:r>
        <w:t xml:space="preserve"> merely as a duplicate of an already-complete readable mapping is non-conformant.</w:t>
      </w:r>
    </w:p>
    <w:p w14:paraId="6ED6557C">
      <w:pPr>
        <w:pStyle w:val="Heading3"/>
      </w:pPr>
      <w:bookmarkStart w:id="517" w:name="_Clause_c6_6_3"/>
      <w:r>
        <w:t xml:space="preserve">Layered exceptional preservation policy</w:t>
      </w:r>
      <w:bookmarkEnd w:id="517"/>
    </w:p>
    <w:p w14:paraId="36B887F5">
      <w:pPr>
        <w:pStyle w:val="PARAGRAPH"/>
      </w:pPr>
      <w:r>
        <w:t xml:space="preserve">The conversion layers are applied in this order:</w:t>
      </w:r>
    </w:p>
    <w:p w14:paraId="0BAB042B">
      <w:pPr>
        <w:pStyle w:val="ListBullet"/>
        <w:numPr>
          <w:ilvl w:val="0"/>
          <w:numId w:val="21"/>
        </w:numPr>
      </w:pPr>
      <w:r>
        <w:t xml:space="preserve">The semantic/readable vocabulary is the default. If its reverse conversion is equivalent to the source NodeSet2, the converter </w:t>
      </w:r>
      <w:r>
        <w:rPr>
          <w:b/>
        </w:rPr>
        <w:t xml:space="preserve">shall not</w:t>
      </w:r>
      <w:r>
        <w:t xml:space="preserve"> emit </w:t>
      </w:r>
      <w:r>
        <w:rPr>
          <w:rStyle w:val="VARIABLE"/>
        </w:rPr>
        <w:t xml:space="preserve">uav:nodes</w:t>
      </w:r>
      <w:r>
        <w:t xml:space="preserve"> or </w:t>
      </w:r>
      <w:r>
        <w:rPr>
          <w:rStyle w:val="VARIABLE"/>
        </w:rPr>
        <w:t xml:space="preserve">uav:nodeSet</w:t>
      </w:r>
      <w:r>
        <w:t xml:space="preserve">.</w:t>
      </w:r>
    </w:p>
    <w:p w14:paraId="0FDAFDB9">
      <w:pPr>
        <w:pStyle w:val="ListBullet"/>
        <w:numPr>
          <w:ilvl w:val="0"/>
          <w:numId w:val="21"/>
        </w:numPr>
      </w:pPr>
      <w:r>
        <w:rPr>
          <w:rStyle w:val="VARIABLE"/>
        </w:rPr>
        <w:t xml:space="preserve">uav:nodes</w:t>
      </w:r>
      <w:r>
        <w:t xml:space="preserve"> is emitted only when the comparison finds information that the current vocabulary cannot yet express.</w:t>
      </w:r>
    </w:p>
    <w:p w14:paraId="7FBD440D">
      <w:pPr>
        <w:pStyle w:val="ListBullet"/>
        <w:numPr>
          <w:ilvl w:val="0"/>
          <w:numId w:val="21"/>
        </w:numPr>
      </w:pPr>
      <w:r>
        <w:t xml:space="preserve">A converter </w:t>
      </w:r>
      <w:r>
        <w:rPr>
          <w:b/>
        </w:rPr>
        <w:t xml:space="preserve">may</w:t>
      </w:r>
      <w:r>
        <w:t xml:space="preserve"> emit </w:t>
      </w:r>
      <w:r>
        <w:rPr>
          <w:rStyle w:val="VARIABLE"/>
        </w:rPr>
        <w:t xml:space="preserve">uav:nodeSet</w:t>
      </w:r>
      <w:r>
        <w:t xml:space="preserve"> when a caller explicitly requests byte-exact archival.</w:t>
      </w:r>
    </w:p>
    <w:p w14:paraId="2A9B0ADD">
      <w:pPr>
        <w:pStyle w:val="ListBullet"/>
        <w:numPr>
          <w:ilvl w:val="0"/>
          <w:numId w:val="21"/>
        </w:numPr>
      </w:pPr>
      <w:r>
        <w:t xml:space="preserve">A converter </w:t>
      </w:r>
      <w:r>
        <w:rPr>
          <w:b/>
        </w:rPr>
        <w:t xml:space="preserve">may</w:t>
      </w:r>
      <w:r>
        <w:t xml:space="preserve"> use </w:t>
      </w:r>
      <w:r>
        <w:rPr>
          <w:rStyle w:val="VARIABLE"/>
        </w:rPr>
        <w:t xml:space="preserve">uav:nodeSet</w:t>
      </w:r>
      <w:r>
        <w:t xml:space="preserve"> as a last-resort fallback for a future schema revision or unsupported extension that it can demonstrate is not represented by the supported </w:t>
      </w:r>
      <w:r>
        <w:rPr>
          <w:rStyle w:val="VARIABLE"/>
        </w:rPr>
        <w:t xml:space="preserve">uav:NodeModel</w:t>
      </w:r>
      <w:r>
        <w:t xml:space="preserve"> profile. It </w:t>
      </w:r>
      <w:r>
        <w:rPr>
          <w:b/>
        </w:rPr>
        <w:t xml:space="preserve">shall</w:t>
      </w:r>
      <w:r>
        <w:t xml:space="preserve"> report that fallback.</w:t>
      </w:r>
    </w:p>
    <w:p w14:paraId="58879836">
      <w:pPr>
        <w:pStyle w:val="ListBullet"/>
        <w:numPr>
          <w:ilvl w:val="0"/>
          <w:numId w:val="21"/>
        </w:numPr>
      </w:pPr>
      <w:r>
        <w:t xml:space="preserve">A conformance/completeness test </w:t>
      </w:r>
      <w:r>
        <w:rPr>
          <w:b/>
        </w:rPr>
        <w:t xml:space="preserve">shall</w:t>
      </w:r>
      <w:r>
        <w:t xml:space="preserve"> forbid or remove </w:t>
      </w:r>
      <w:r>
        <w:rPr>
          <w:rStyle w:val="VARIABLE"/>
        </w:rPr>
        <w:t xml:space="preserve">uav:nodeSet</w:t>
      </w:r>
      <w:r>
        <w:t xml:space="preserve">; a test that succeeds by decoding the envelope does not prove the readable mapping plus exceptional structured projection complete.</w:t>
      </w:r>
    </w:p>
    <w:p w14:paraId="22E9678F">
      <w:pPr>
        <w:pStyle w:val="PARAGRAPH"/>
      </w:pPr>
      <w:r>
        <w:t xml:space="preserve">When </w:t>
      </w:r>
      <w:r>
        <w:rPr>
          <w:rStyle w:val="VARIABLE"/>
        </w:rPr>
        <w:t xml:space="preserve">uav:nodeSet</w:t>
      </w:r>
      <w:r>
        <w:t xml:space="preserve"> is present it is authoritative for the exact XML baseline. A consumer </w:t>
      </w:r>
      <w:r>
        <w:rPr>
          <w:b/>
        </w:rPr>
        <w:t xml:space="preserve">shall</w:t>
      </w:r>
      <w:r>
        <w:t xml:space="preserve"> verify its digest before use. A simultaneously present </w:t>
      </w:r>
      <w:r>
        <w:rPr>
          <w:rStyle w:val="VARIABLE"/>
        </w:rPr>
        <w:t xml:space="preserve">uav:nodes</w:t>
      </w:r>
      <w:r>
        <w:t xml:space="preserve"> projection and readable members </w:t>
      </w:r>
      <w:r>
        <w:rPr>
          <w:b/>
        </w:rPr>
        <w:t xml:space="preserve">shall</w:t>
      </w:r>
      <w:r>
        <w:t xml:space="preserve"> be consistent with that baseline; a conflict </w:t>
      </w:r>
      <w:r>
        <w:rPr>
          <w:b/>
        </w:rPr>
        <w:t xml:space="preserve">shall</w:t>
      </w:r>
      <w:r>
        <w:t xml:space="preserve"> be reported and </w:t>
      </w:r>
      <w:r>
        <w:rPr>
          <w:b/>
        </w:rPr>
        <w:t xml:space="preserve">shall not</w:t>
      </w:r>
      <w:r>
        <w:t xml:space="preserve"> be silently resolved.</w:t>
      </w:r>
    </w:p>
    <w:p w14:paraId="22F58722">
      <w:pPr>
        <w:pStyle w:val="Heading3"/>
      </w:pPr>
      <w:bookmarkStart w:id="518" w:name="_Clause_c6_6_4"/>
      <w:r>
        <w:t xml:space="preserve">Synthesis from an authored Thing Description or Thing Model</w:t>
      </w:r>
      <w:bookmarkEnd w:id="518"/>
    </w:p>
    <w:p w14:paraId="0986D861">
      <w:pPr>
        <w:pStyle w:val="PARAGRAPH"/>
      </w:pPr>
      <w:r>
        <w:t xml:space="preserve">When an authored document has no </w:t>
      </w:r>
      <w:r>
        <w:rPr>
          <w:rStyle w:val="VARIABLE"/>
        </w:rPr>
        <w:t xml:space="preserve">uav:nodes</w:t>
      </w:r>
      <w:r>
        <w:t xml:space="preserve">, a converter synthesizes NodeSet2 from the readable members. NodeIds that the document does not supply are generated deterministically from the target namespace URI and browse path. The same document therefore yields the same identities.</w:t>
      </w:r>
    </w:p>
    <w:p w14:paraId="5D847398">
      <w:pPr>
        <w:pStyle w:val="PARAGRAPH"/>
      </w:pPr>
      <w:r>
        <w:t xml:space="preserve">Recognized WoT and </w:t>
      </w:r>
      <w:r>
        <w:rPr>
          <w:rStyle w:val="VARIABLE"/>
        </w:rPr>
        <w:t xml:space="preserve">uav</w:t>
      </w:r>
      <w:r>
        <w:t xml:space="preserve"> facts are represented as NodeSet model facts. A JSON-LD member that the converter does not recognize or cannot map is </w:t>
      </w:r>
      <w:r>
        <w:rPr>
          <w:b/>
        </w:rPr>
        <w:t xml:space="preserve">not</w:t>
      </w:r>
      <w:r>
        <w:t xml:space="preserve"> grounds for a whole-document envelope. Instead, the converter stores only that unmapped value as a </w:t>
      </w:r>
      <w:r>
        <w:rPr>
          <w:rStyle w:val="VARIABLE"/>
        </w:rPr>
        <w:t xml:space="preserve">WoTJsonResidue</w:t>
      </w:r>
      <w:r>
        <w:t xml:space="preserve"> entry in the root UANodeSet </w:t>
      </w:r>
      <w:r>
        <w:rPr>
          <w:rStyle w:val="VARIABLE"/>
        </w:rPr>
        <w:t xml:space="preserve">Extensions</w:t>
      </w:r>
      <w:r>
        <w:t xml:space="preserve"> collection (</w:t>
      </w:r>
      <w:r>
        <w:t xml:space="preserve">Section </w:t>
      </w:r>
      <w:r>
        <w:fldChar w:fldCharType="begin"/>
      </w:r>
      <w:r>
        <w:instrText xml:space="preserve"> REF _Clause_c6_7_2 \r \h </w:instrText>
      </w:r>
      <w:r>
        <w:fldChar w:fldCharType="separate"/>
      </w:r>
      <w:r>
        <w:rPr>
          <w:noProof/>
        </w:rPr>
        <w:t xml:space="preserve">6.7.2</w:t>
      </w:r>
      <w:r>
        <w:fldChar w:fldCharType="end"/>
      </w:r>
      <w:r>
        <w:t xml:space="preserve">). Each entry identifies the original location by RFC 6901 JSON Pointer and carries the JSON value with an integrity digest. Mapped members </w:t>
      </w:r>
      <w:r>
        <w:rPr>
          <w:b/>
        </w:rPr>
        <w:t xml:space="preserve">shall not</w:t>
      </w:r>
      <w:r>
        <w:t xml:space="preserve"> be copied into the residue.</w:t>
      </w:r>
    </w:p>
    <w:p w14:paraId="7F4D2749">
      <w:pPr>
        <w:pStyle w:val="PARAGRAPH"/>
      </w:pPr>
      <w:r>
        <w:t xml:space="preserve">On conversion back to WoT, the converter first generates the document from OPC UA model facts and then applies each residue entry. A residue entry that targets an already generated member </w:t>
      </w:r>
      <w:r>
        <w:rPr>
          <w:b/>
        </w:rPr>
        <w:t xml:space="preserve">shall</w:t>
      </w:r>
      <w:r>
        <w:t xml:space="preserve"> have the same JSON value; otherwise it is a conflict and the converter </w:t>
      </w:r>
      <w:r>
        <w:rPr>
          <w:b/>
        </w:rPr>
        <w:t xml:space="preserve">shall</w:t>
      </w:r>
      <w:r>
        <w:t xml:space="preserve"> report an error rather than overwrite the OPC UA fact.</w:t>
      </w:r>
    </w:p>
    <w:p w14:paraId="32B00E51">
      <w:pPr>
        <w:pStyle w:val="Heading3"/>
      </w:pPr>
      <w:bookmarkStart w:id="519" w:name="_Clause_c6_6_5"/>
      <w:r>
        <w:t xml:space="preserve">Roundtrip invariants</w:t>
      </w:r>
      <w:bookmarkEnd w:id="519"/>
    </w:p>
    <w:p w14:paraId="07028894">
      <w:pPr>
        <w:pStyle w:val="ListBullet"/>
        <w:numPr>
          <w:ilvl w:val="0"/>
          <w:numId w:val="21"/>
        </w:numPr>
      </w:pPr>
      <w:r>
        <w:rPr>
          <w:b/>
        </w:rPr>
        <w:t xml:space="preserve">NodeSet2 → WoT → NodeSet2 (default).</w:t>
      </w:r>
      <w:r>
        <w:t xml:space="preserve"> With </w:t>
      </w:r>
      <w:r>
        <w:rPr>
          <w:rStyle w:val="VARIABLE"/>
        </w:rPr>
        <w:t xml:space="preserve">uav:nodeSet</w:t>
      </w:r>
      <w:r>
        <w:t xml:space="preserve"> absent, the readable mapping alone, or the readable mapping plus exceptional </w:t>
      </w:r>
      <w:r>
        <w:rPr>
          <w:rStyle w:val="VARIABLE"/>
        </w:rPr>
        <w:t xml:space="preserve">uav:nodes</w:t>
      </w:r>
      <w:r>
        <w:t xml:space="preserve"> when required, reproduces an equivalent UANodeSet: all model-table data, nodes, attributes, References, values, definitions, aliases, permissions, and extensions are retained. XML formatting or prefix choices need not be byte-identical.</w:t>
      </w:r>
    </w:p>
    <w:p w14:paraId="1E5B2064">
      <w:pPr>
        <w:pStyle w:val="ListBullet"/>
        <w:numPr>
          <w:ilvl w:val="0"/>
          <w:numId w:val="21"/>
        </w:numPr>
      </w:pPr>
      <w:r>
        <w:rPr>
          <w:b/>
        </w:rPr>
        <w:t xml:space="preserve">WoT → NodeSet2 → WoT.</w:t>
      </w:r>
      <w:r>
        <w:t xml:space="preserve"> Every recognized member is regenerated from OPC UA model facts and every unrecognized/unmapped JSON-LD member is restored from pointer-addressed residue with the same JSON value.</w:t>
      </w:r>
    </w:p>
    <w:p w14:paraId="361841A4">
      <w:pPr>
        <w:pStyle w:val="ListBullet"/>
        <w:numPr>
          <w:ilvl w:val="0"/>
          <w:numId w:val="21"/>
        </w:numPr>
      </w:pPr>
      <w:r>
        <w:rPr>
          <w:b/>
        </w:rPr>
        <w:t xml:space="preserve">Explicit byte archive.</w:t>
      </w:r>
      <w:r>
        <w:t xml:space="preserve"> When a caller explicitly retains </w:t>
      </w:r>
      <w:r>
        <w:rPr>
          <w:rStyle w:val="VARIABLE"/>
        </w:rPr>
        <w:t xml:space="preserve">uav:nodeSet</w:t>
      </w:r>
      <w:r>
        <w:t xml:space="preserve">, decoding it reproduces the original NodeSet2 bytes exactly after digest verification.</w:t>
      </w:r>
    </w:p>
    <w:p w14:paraId="3EE66060">
      <w:pPr>
        <w:pStyle w:val="Heading2"/>
      </w:pPr>
      <w:bookmarkStart w:id="520" w:name="_Clause_c6_7"/>
      <w:r>
        <w:t xml:space="preserve">Native projection, residue and exceptional envelope formats</w:t>
      </w:r>
      <w:bookmarkEnd w:id="520"/>
    </w:p>
    <w:p w14:paraId="2C2A1EF7">
      <w:pPr>
        <w:pStyle w:val="Heading3"/>
      </w:pPr>
      <w:bookmarkStart w:id="521" w:name="_Clause_c6_7_1"/>
      <w:r>
        <w:t xml:space="preserve">The nodes projection</w:t>
      </w:r>
      <w:bookmarkEnd w:id="521"/>
    </w:p>
    <w:p w14:paraId="7F630AE0">
      <w:pPr>
        <w:pStyle w:val="PARAGRAPH"/>
      </w:pPr>
      <w:r>
        <w:t xml:space="preserve">The exceptional </w:t>
      </w:r>
      <w:r>
        <w:rPr>
          <w:rStyle w:val="VARIABLE"/>
        </w:rPr>
        <w:t xml:space="preserve">uav:nodes</w:t>
      </w:r>
      <w:r>
        <w:t xml:space="preserve"> value is a JSON object:</w:t>
      </w:r>
    </w:p>
    <w:p w14:paraId="080784DD">
      <w:pPr>
        <w:pStyle w:val="TABLE-title"/>
        <w:keepNext/>
      </w:pPr>
      <w:bookmarkStart w:id="522" w:name="_Tab_the_nodes_projection_tab1"/>
      <w:r>
        <w:t xml:space="preserve">Table </w:t>
      </w:r>
      <w:r>
        <w:fldChar w:fldCharType="begin"/>
      </w:r>
      <w:r>
        <w:instrText xml:space="preserve"> SEQ Table \* ARABIC </w:instrText>
      </w:r>
      <w:r>
        <w:fldChar w:fldCharType="separate"/>
      </w:r>
      <w:r>
        <w:rPr>
          <w:noProof/>
        </w:rPr>
        <w:t xml:space="preserve">8</w:t>
      </w:r>
      <w:r>
        <w:fldChar w:fldCharType="end"/>
      </w:r>
      <w:r>
        <w:t xml:space="preserve"> – The nodes projection</w:t>
      </w:r>
      <w:bookmarkEnd w:id="52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3BE43E34">
            <w:pPr>
              <w:pStyle w:val="TableText"/>
            </w:pPr>
            <w:r>
              <w:t xml:space="preserve">Member</w:t>
            </w:r>
          </w:p>
        </w:tc>
        <w:tc>
          <w:tcPr>
            <w:tcW w:w="2975" w:type="dxa"/>
            <w:tcBorders>
              <w:top w:val="single" w:sz="4" w:space="0" w:color="auto"/>
              <w:left w:val="single" w:sz="4" w:space="0" w:color="auto"/>
              <w:bottom w:val="double" w:sz="4" w:space="0" w:color="auto"/>
              <w:right w:val="single" w:sz="4" w:space="0" w:color="auto"/>
            </w:tcBorders>
          </w:tcPr>
          <w:p w14:paraId="484DDE6F">
            <w:pPr>
              <w:pStyle w:val="TableText"/>
            </w:pPr>
            <w:r>
              <w:t xml:space="preserve">Required</w:t>
            </w:r>
          </w:p>
        </w:tc>
        <w:tc>
          <w:tcPr>
            <w:tcW w:w="2976" w:type="dxa"/>
            <w:tcBorders>
              <w:top w:val="single" w:sz="4" w:space="0" w:color="auto"/>
              <w:left w:val="single" w:sz="4" w:space="0" w:color="auto"/>
              <w:bottom w:val="double" w:sz="4" w:space="0" w:color="auto"/>
              <w:right w:val="single" w:sz="4" w:space="0" w:color="auto"/>
            </w:tcBorders>
          </w:tcPr>
          <w:p w14:paraId="5FB9634D">
            <w:pPr>
              <w:pStyle w:val="TableText"/>
            </w:pPr>
            <w:r>
              <w:t xml:space="preserve">Value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362E0D47">
            <w:pPr>
              <w:pStyle w:val="TableText"/>
            </w:pPr>
            <w:r>
              <w:rPr>
                <w:rStyle w:val="VARIABLE"/>
              </w:rPr>
              <w:t xml:space="preserve">@type</w:t>
            </w:r>
          </w:p>
        </w:tc>
        <w:tc>
          <w:tcPr>
            <w:tcW w:w="2975" w:type="dxa"/>
            <w:tcBorders>
              <w:top w:val="single" w:sz="4" w:space="0" w:color="auto"/>
              <w:left w:val="single" w:sz="4" w:space="0" w:color="auto"/>
              <w:bottom w:val="single" w:sz="4" w:space="0" w:color="auto"/>
              <w:right w:val="single" w:sz="4" w:space="0" w:color="auto"/>
            </w:tcBorders>
          </w:tcPr>
          <w:p w14:paraId="0F88E649">
            <w:pPr>
              <w:pStyle w:val="TableText"/>
            </w:pPr>
            <w:r>
              <w:t xml:space="preserve">yes</w:t>
            </w:r>
          </w:p>
        </w:tc>
        <w:tc>
          <w:tcPr>
            <w:tcW w:w="2976" w:type="dxa"/>
            <w:tcBorders>
              <w:top w:val="single" w:sz="4" w:space="0" w:color="auto"/>
              <w:left w:val="single" w:sz="4" w:space="0" w:color="auto"/>
              <w:bottom w:val="single" w:sz="4" w:space="0" w:color="auto"/>
              <w:right w:val="single" w:sz="4" w:space="0" w:color="auto"/>
            </w:tcBorders>
          </w:tcPr>
          <w:p w14:paraId="633184DC">
            <w:pPr>
              <w:pStyle w:val="TableText"/>
            </w:pPr>
            <w:r>
              <w:t xml:space="preserve">the constant </w:t>
            </w:r>
            <w:r>
              <w:rPr>
                <w:rStyle w:val="VARIABLE"/>
              </w:rPr>
              <w:t xml:space="preserve">uav:NodeModel</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7C13771">
            <w:pPr>
              <w:pStyle w:val="TableText"/>
            </w:pPr>
            <w:r>
              <w:rPr>
                <w:rStyle w:val="VARIABLE"/>
              </w:rPr>
              <w:t xml:space="preserve">profileVersion</w:t>
            </w:r>
          </w:p>
        </w:tc>
        <w:tc>
          <w:tcPr>
            <w:tcW w:w="2975" w:type="dxa"/>
            <w:tcBorders>
              <w:top w:val="single" w:sz="4" w:space="0" w:color="auto"/>
              <w:left w:val="single" w:sz="4" w:space="0" w:color="auto"/>
              <w:bottom w:val="single" w:sz="4" w:space="0" w:color="auto"/>
              <w:right w:val="single" w:sz="4" w:space="0" w:color="auto"/>
            </w:tcBorders>
          </w:tcPr>
          <w:p w14:paraId="654D5DDD">
            <w:pPr>
              <w:pStyle w:val="TableText"/>
            </w:pPr>
            <w:r>
              <w:t xml:space="preserve">yes</w:t>
            </w:r>
          </w:p>
        </w:tc>
        <w:tc>
          <w:tcPr>
            <w:tcW w:w="2976" w:type="dxa"/>
            <w:tcBorders>
              <w:top w:val="single" w:sz="4" w:space="0" w:color="auto"/>
              <w:left w:val="single" w:sz="4" w:space="0" w:color="auto"/>
              <w:bottom w:val="single" w:sz="4" w:space="0" w:color="auto"/>
              <w:right w:val="single" w:sz="4" w:space="0" w:color="auto"/>
            </w:tcBorders>
          </w:tcPr>
          <w:p w14:paraId="22C838E6">
            <w:pPr>
              <w:pStyle w:val="TableText"/>
            </w:pPr>
            <w:r>
              <w:t xml:space="preserve">the native projection grammar, currently </w:t>
            </w:r>
            <w:r>
              <w:rPr>
                <w:rStyle w:val="VARIABLE"/>
              </w:rPr>
              <w:t xml:space="preserve">1.0</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416A6201">
            <w:pPr>
              <w:pStyle w:val="TableText"/>
            </w:pPr>
            <w:r>
              <w:rPr>
                <w:rStyle w:val="VARIABLE"/>
              </w:rPr>
              <w:t xml:space="preserve">namespaceUris</w:t>
            </w:r>
            <w:r>
              <w:t xml:space="preserve">, </w:t>
            </w:r>
            <w:r>
              <w:rPr>
                <w:rStyle w:val="VARIABLE"/>
              </w:rPr>
              <w:t xml:space="preserve">serverUris</w:t>
            </w:r>
          </w:p>
        </w:tc>
        <w:tc>
          <w:tcPr>
            <w:tcW w:w="2975" w:type="dxa"/>
            <w:tcBorders>
              <w:top w:val="single" w:sz="4" w:space="0" w:color="auto"/>
              <w:left w:val="single" w:sz="4" w:space="0" w:color="auto"/>
              <w:bottom w:val="single" w:sz="4" w:space="0" w:color="auto"/>
              <w:right w:val="single" w:sz="4" w:space="0" w:color="auto"/>
            </w:tcBorders>
          </w:tcPr>
          <w:p w14:paraId="366B0383">
            <w:pPr>
              <w:pStyle w:val="TableText"/>
            </w:pPr>
            <w:r>
              <w:t xml:space="preserve">when present in source</w:t>
            </w:r>
          </w:p>
        </w:tc>
        <w:tc>
          <w:tcPr>
            <w:tcW w:w="2976" w:type="dxa"/>
            <w:tcBorders>
              <w:top w:val="single" w:sz="4" w:space="0" w:color="auto"/>
              <w:left w:val="single" w:sz="4" w:space="0" w:color="auto"/>
              <w:bottom w:val="single" w:sz="4" w:space="0" w:color="auto"/>
              <w:right w:val="single" w:sz="4" w:space="0" w:color="auto"/>
            </w:tcBorders>
          </w:tcPr>
          <w:p w14:paraId="50DB4C99">
            <w:pPr>
              <w:pStyle w:val="TableText"/>
            </w:pPr>
            <w:r>
              <w:t xml:space="preserve">ordered URI arrays</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70B5232F">
            <w:pPr>
              <w:pStyle w:val="TableText"/>
            </w:pPr>
            <w:r>
              <w:rPr>
                <w:rStyle w:val="VARIABLE"/>
              </w:rPr>
              <w:t xml:space="preserve">models</w:t>
            </w:r>
          </w:p>
        </w:tc>
        <w:tc>
          <w:tcPr>
            <w:tcW w:w="2975" w:type="dxa"/>
            <w:tcBorders>
              <w:top w:val="single" w:sz="4" w:space="0" w:color="auto"/>
              <w:left w:val="single" w:sz="4" w:space="0" w:color="auto"/>
              <w:bottom w:val="single" w:sz="4" w:space="0" w:color="auto"/>
              <w:right w:val="single" w:sz="4" w:space="0" w:color="auto"/>
            </w:tcBorders>
          </w:tcPr>
          <w:p w14:paraId="0D8BFD1E">
            <w:pPr>
              <w:pStyle w:val="TableText"/>
            </w:pPr>
            <w:r>
              <w:t xml:space="preserve">when present in source</w:t>
            </w:r>
          </w:p>
        </w:tc>
        <w:tc>
          <w:tcPr>
            <w:tcW w:w="2976" w:type="dxa"/>
            <w:tcBorders>
              <w:top w:val="single" w:sz="4" w:space="0" w:color="auto"/>
              <w:left w:val="single" w:sz="4" w:space="0" w:color="auto"/>
              <w:bottom w:val="single" w:sz="4" w:space="0" w:color="auto"/>
              <w:right w:val="single" w:sz="4" w:space="0" w:color="auto"/>
            </w:tcBorders>
          </w:tcPr>
          <w:p w14:paraId="69FB7C57">
            <w:pPr>
              <w:pStyle w:val="TableText"/>
            </w:pPr>
            <w:r>
              <w:t xml:space="preserve">ordered model-table entries and recursive </w:t>
            </w:r>
            <w:r>
              <w:rPr>
                <w:rStyle w:val="VARIABLE"/>
              </w:rPr>
              <w:t xml:space="preserve">requiredModels</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CCC1234">
            <w:pPr>
              <w:pStyle w:val="TableText"/>
            </w:pPr>
            <w:r>
              <w:rPr>
                <w:rStyle w:val="VARIABLE"/>
              </w:rPr>
              <w:t xml:space="preserve">aliases</w:t>
            </w:r>
          </w:p>
        </w:tc>
        <w:tc>
          <w:tcPr>
            <w:tcW w:w="2975" w:type="dxa"/>
            <w:tcBorders>
              <w:top w:val="single" w:sz="4" w:space="0" w:color="auto"/>
              <w:left w:val="single" w:sz="4" w:space="0" w:color="auto"/>
              <w:bottom w:val="single" w:sz="4" w:space="0" w:color="auto"/>
              <w:right w:val="single" w:sz="4" w:space="0" w:color="auto"/>
            </w:tcBorders>
          </w:tcPr>
          <w:p w14:paraId="657A3D51">
            <w:pPr>
              <w:pStyle w:val="TableText"/>
            </w:pPr>
            <w:r>
              <w:t xml:space="preserve">when present in source</w:t>
            </w:r>
          </w:p>
        </w:tc>
        <w:tc>
          <w:tcPr>
            <w:tcW w:w="2976" w:type="dxa"/>
            <w:tcBorders>
              <w:top w:val="single" w:sz="4" w:space="0" w:color="auto"/>
              <w:left w:val="single" w:sz="4" w:space="0" w:color="auto"/>
              <w:bottom w:val="single" w:sz="4" w:space="0" w:color="auto"/>
              <w:right w:val="single" w:sz="4" w:space="0" w:color="auto"/>
            </w:tcBorders>
          </w:tcPr>
          <w:p w14:paraId="66DE07E9">
            <w:pPr>
              <w:pStyle w:val="TableText"/>
            </w:pPr>
            <w:r>
              <w:t xml:space="preserve">ordered alias/value records</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C0387DF">
            <w:pPr>
              <w:pStyle w:val="TableText"/>
            </w:pPr>
            <w:r>
              <w:rPr>
                <w:rStyle w:val="VARIABLE"/>
              </w:rPr>
              <w:t xml:space="preserve">extensions</w:t>
            </w:r>
          </w:p>
        </w:tc>
        <w:tc>
          <w:tcPr>
            <w:tcW w:w="2975" w:type="dxa"/>
            <w:tcBorders>
              <w:top w:val="single" w:sz="4" w:space="0" w:color="auto"/>
              <w:left w:val="single" w:sz="4" w:space="0" w:color="auto"/>
              <w:bottom w:val="single" w:sz="4" w:space="0" w:color="auto"/>
              <w:right w:val="single" w:sz="4" w:space="0" w:color="auto"/>
            </w:tcBorders>
          </w:tcPr>
          <w:p w14:paraId="70FFB1AE">
            <w:pPr>
              <w:pStyle w:val="TableText"/>
            </w:pPr>
            <w:r>
              <w:t xml:space="preserve">when present in source</w:t>
            </w:r>
          </w:p>
        </w:tc>
        <w:tc>
          <w:tcPr>
            <w:tcW w:w="2976" w:type="dxa"/>
            <w:tcBorders>
              <w:top w:val="single" w:sz="4" w:space="0" w:color="auto"/>
              <w:left w:val="single" w:sz="4" w:space="0" w:color="auto"/>
              <w:bottom w:val="single" w:sz="4" w:space="0" w:color="auto"/>
              <w:right w:val="single" w:sz="4" w:space="0" w:color="auto"/>
            </w:tcBorders>
          </w:tcPr>
          <w:p w14:paraId="2A01B74B">
            <w:pPr>
              <w:pStyle w:val="TableText"/>
            </w:pPr>
            <w:r>
              <w:t xml:space="preserve">ordered XML extension fragments</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61B7904C">
            <w:pPr>
              <w:pStyle w:val="TableText"/>
            </w:pPr>
            <w:r>
              <w:rPr>
                <w:rStyle w:val="VARIABLE"/>
              </w:rPr>
              <w:t xml:space="preserve">lastModified</w:t>
            </w:r>
          </w:p>
        </w:tc>
        <w:tc>
          <w:tcPr>
            <w:tcW w:w="2975" w:type="dxa"/>
            <w:tcBorders>
              <w:top w:val="single" w:sz="4" w:space="0" w:color="auto"/>
              <w:left w:val="single" w:sz="4" w:space="0" w:color="auto"/>
              <w:bottom w:val="single" w:sz="4" w:space="0" w:color="auto"/>
              <w:right w:val="single" w:sz="4" w:space="0" w:color="auto"/>
            </w:tcBorders>
          </w:tcPr>
          <w:p w14:paraId="0D36A141">
            <w:pPr>
              <w:pStyle w:val="TableText"/>
            </w:pPr>
            <w:r>
              <w:t xml:space="preserve">when present in source</w:t>
            </w:r>
          </w:p>
        </w:tc>
        <w:tc>
          <w:tcPr>
            <w:tcW w:w="2976" w:type="dxa"/>
            <w:tcBorders>
              <w:top w:val="single" w:sz="4" w:space="0" w:color="auto"/>
              <w:left w:val="single" w:sz="4" w:space="0" w:color="auto"/>
              <w:bottom w:val="single" w:sz="4" w:space="0" w:color="auto"/>
              <w:right w:val="single" w:sz="4" w:space="0" w:color="auto"/>
            </w:tcBorders>
          </w:tcPr>
          <w:p w14:paraId="7B9DD5D0">
            <w:pPr>
              <w:pStyle w:val="TableText"/>
            </w:pPr>
            <w:r>
              <w:t xml:space="preserve">XML Schema </w:t>
            </w:r>
            <w:r>
              <w:rPr>
                <w:rStyle w:val="VARIABLE"/>
              </w:rPr>
              <w:t xml:space="preserve">dateTime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71BE29F8">
            <w:pPr>
              <w:pStyle w:val="TableText"/>
            </w:pPr>
            <w:r>
              <w:rPr>
                <w:rStyle w:val="VARIABLE"/>
              </w:rPr>
              <w:t xml:space="preserve">nodes</w:t>
            </w:r>
          </w:p>
        </w:tc>
        <w:tc>
          <w:tcPr>
            <w:tcW w:w="2975" w:type="dxa"/>
            <w:tcBorders>
              <w:top w:val="single" w:sz="4" w:space="0" w:color="auto"/>
              <w:left w:val="single" w:sz="4" w:space="0" w:color="auto"/>
              <w:bottom w:val="single" w:sz="4" w:space="0" w:color="auto"/>
              <w:right w:val="single" w:sz="4" w:space="0" w:color="auto"/>
            </w:tcBorders>
          </w:tcPr>
          <w:p w14:paraId="1A445E26">
            <w:pPr>
              <w:pStyle w:val="TableText"/>
            </w:pPr>
            <w:r>
              <w:t xml:space="preserve">yes</w:t>
            </w:r>
          </w:p>
        </w:tc>
        <w:tc>
          <w:tcPr>
            <w:tcW w:w="2976" w:type="dxa"/>
            <w:tcBorders>
              <w:top w:val="single" w:sz="4" w:space="0" w:color="auto"/>
              <w:left w:val="single" w:sz="4" w:space="0" w:color="auto"/>
              <w:bottom w:val="single" w:sz="4" w:space="0" w:color="auto"/>
              <w:right w:val="single" w:sz="4" w:space="0" w:color="auto"/>
            </w:tcBorders>
          </w:tcPr>
          <w:p w14:paraId="2AB5E3EA">
            <w:pPr>
              <w:pStyle w:val="TableText"/>
            </w:pPr>
            <w:r>
              <w:t xml:space="preserve">ordered complete node records</w:t>
            </w:r>
          </w:p>
        </w:tc>
      </w:tr>
    </w:tbl>
    <w:p w14:paraId="5E085662">
      <w:pPr>
        <w:pStyle w:val="spacer"/>
      </w:pPr>
    </w:p>
    <w:p w14:paraId="6D8AD17D">
      <w:pPr>
        <w:pStyle w:val="PARAGRAPH"/>
      </w:pPr>
      <w:r>
        <w:t xml:space="preserve">Each node record has </w:t>
      </w:r>
      <w:r>
        <w:rPr>
          <w:rStyle w:val="VARIABLE"/>
        </w:rPr>
        <w:t xml:space="preserve">nodeClass</w:t>
      </w:r>
      <w:r>
        <w:t xml:space="preserve">, </w:t>
      </w:r>
      <w:r>
        <w:rPr>
          <w:rStyle w:val="VARIABLE"/>
        </w:rPr>
        <w:t xml:space="preserve">nodeId</w:t>
      </w:r>
      <w:r>
        <w:t xml:space="preserve">, and </w:t>
      </w:r>
      <w:r>
        <w:rPr>
          <w:rStyle w:val="VARIABLE"/>
        </w:rPr>
        <w:t xml:space="preserve">browseName</w:t>
      </w:r>
      <w:r>
        <w:t xml:space="preserve">, followed by the applicable fields of </w:t>
      </w:r>
      <w:r>
        <w:rPr>
          <w:rStyle w:val="VARIABLE"/>
        </w:rPr>
        <w:t xml:space="preserve">UANode</w:t>
      </w:r>
      <w:r>
        <w:t xml:space="preserve"> and its concrete NodeClass in the UANodeSet schema. The grammar uses lower-camel-case names corresponding to the XSD field names. </w:t>
      </w:r>
      <w:r>
        <w:rPr>
          <w:rStyle w:val="VARIABLE"/>
        </w:rPr>
        <w:t xml:space="preserve">references</w:t>
      </w:r>
      <w:r>
        <w:t xml:space="preserve">, localized-text arrays, DataType </w:t>
      </w:r>
      <w:r>
        <w:rPr>
          <w:rStyle w:val="VARIABLE"/>
        </w:rPr>
        <w:t xml:space="preserve">definition</w:t>
      </w:r>
      <w:r>
        <w:t xml:space="preserve">, </w:t>
      </w:r>
      <w:r>
        <w:rPr>
          <w:rStyle w:val="VARIABLE"/>
        </w:rPr>
        <w:t xml:space="preserve">argumentDescriptions</w:t>
      </w:r>
      <w:r>
        <w:t xml:space="preserve">, and </w:t>
      </w:r>
      <w:r>
        <w:rPr>
          <w:rStyle w:val="VARIABLE"/>
        </w:rPr>
        <w:t xml:space="preserve">translations</w:t>
      </w:r>
      <w:r>
        <w:t xml:space="preserve"> are structured JSON. </w:t>
      </w:r>
      <w:r>
        <w:rPr>
          <w:rStyle w:val="VARIABLE"/>
        </w:rPr>
        <w:t xml:space="preserve">valueXml</w:t>
      </w:r>
      <w:r>
        <w:t xml:space="preserve"> and entries of </w:t>
      </w:r>
      <w:r>
        <w:rPr>
          <w:rStyle w:val="VARIABLE"/>
        </w:rPr>
        <w:t xml:space="preserve">extensions</w:t>
      </w:r>
      <w:r>
        <w:t xml:space="preserve"> contain one well-formed XML element each. A worked example is </w:t>
      </w:r>
      <w:r>
        <w:rPr>
          <w:rStyle w:val="VARIABLE"/>
        </w:rPr>
        <w:t xml:space="preserve">examples/05-native-node-model.jsonld</w:t>
      </w:r>
      <w:r>
        <w:t xml:space="preserve">.</w:t>
      </w:r>
    </w:p>
    <w:p w14:paraId="2595BEE0">
      <w:pPr>
        <w:pStyle w:val="Heading3"/>
      </w:pPr>
      <w:bookmarkStart w:id="523" w:name="_Clause_c6_7_2"/>
      <w:r>
        <w:t xml:space="preserve">The WoTJsonResidue NodeSet Extension</w:t>
      </w:r>
      <w:bookmarkEnd w:id="523"/>
    </w:p>
    <w:p w14:paraId="5B78A3EB">
      <w:pPr>
        <w:pStyle w:val="PARAGRAPH"/>
      </w:pPr>
      <w:r>
        <w:t xml:space="preserve">The root UANodeSet </w:t>
      </w:r>
      <w:r>
        <w:rPr>
          <w:rStyle w:val="VARIABLE"/>
        </w:rPr>
        <w:t xml:space="preserve">Extensions</w:t>
      </w:r>
      <w:r>
        <w:t xml:space="preserve"> collection may contain one </w:t>
      </w:r>
      <w:r>
        <w:rPr>
          <w:rStyle w:val="VARIABLE"/>
        </w:rPr>
        <w:t xml:space="preserve">WoTJsonResidue</w:t>
      </w:r>
      <w:r>
        <w:t xml:space="preserve"> element in the Binding namespace:</w:t>
      </w:r>
    </w:p>
    <w:p w14:paraId="1DFC0184">
      <w:pPr>
        <w:pStyle w:val="CODE"/>
      </w:pPr>
      <w:r>
        <w:t xml:space="preserve">&lt;uav:WoTJsonResidue</w:t>
      </w:r>
    </w:p>
    <w:p w14:paraId="5213DA3F">
      <w:pPr>
        <w:pStyle w:val="CODE"/>
      </w:pPr>
      <w:r>
        <w:t xml:space="preserve">    xmlns:uav="http://opcfoundation.org/UA/WoT-Binding/"</w:t>
      </w:r>
    </w:p>
    <w:p w14:paraId="495A1C2D">
      <w:pPr>
        <w:pStyle w:val="CODE"/>
      </w:pPr>
      <w:r>
        <w:t xml:space="preserve">    Version="1.0"&gt;</w:t>
      </w:r>
    </w:p>
    <w:p w14:paraId="1FFCB1ED">
      <w:pPr>
        <w:pStyle w:val="CODE"/>
      </w:pPr>
      <w:r>
        <w:t xml:space="preserve">  &lt;uav:Member Pointer="/properties/PumpSpeed/vendor:quality"</w:t>
      </w:r>
    </w:p>
    <w:p w14:paraId="19C87FDB">
      <w:pPr>
        <w:pStyle w:val="CODE"/>
      </w:pPr>
      <w:r>
        <w:t xml:space="preserve">      Encoding="base64"</w:t>
      </w:r>
    </w:p>
    <w:p w14:paraId="73B76269">
      <w:pPr>
        <w:pStyle w:val="CODE"/>
      </w:pPr>
      <w:r>
        <w:t xml:space="preserve">      Sha256="..."&gt;eyJtb2RlIjoiZ29vZCJ9&lt;/uav:Member&gt;</w:t>
      </w:r>
    </w:p>
    <w:p w14:paraId="53CDCFB1">
      <w:pPr>
        <w:pStyle w:val="CODE"/>
      </w:pPr>
      <w:r>
        <w:t xml:space="preserve">  &lt;uav:Member Pointer="/links/-"</w:t>
      </w:r>
    </w:p>
    <w:p w14:paraId="4EFAEE66">
      <w:pPr>
        <w:pStyle w:val="CODE"/>
      </w:pPr>
      <w:r>
        <w:t xml:space="preserve">      LinkRel="tm:extends"</w:t>
      </w:r>
    </w:p>
    <w:p w14:paraId="3D7C3D12">
      <w:pPr>
        <w:pStyle w:val="CODE"/>
      </w:pPr>
      <w:r>
        <w:t xml:space="preserve">      LinkHref="nsu=http://example.com/base;i=1001"</w:t>
      </w:r>
    </w:p>
    <w:p w14:paraId="67718B06">
      <w:pPr>
        <w:pStyle w:val="CODE"/>
      </w:pPr>
      <w:r>
        <w:t xml:space="preserve">      Encoding="base64"</w:t>
      </w:r>
    </w:p>
    <w:p w14:paraId="66EE034D">
      <w:pPr>
        <w:pStyle w:val="CODE"/>
      </w:pPr>
      <w:r>
        <w:t xml:space="preserve">      Sha256="..."&gt;eyJocmVmbGFuZyI6ImVuIn0=&lt;/uav:Member&gt;</w:t>
      </w:r>
    </w:p>
    <w:p w14:paraId="333BCF2D">
      <w:pPr>
        <w:pStyle w:val="CODE"/>
      </w:pPr>
      <w:r>
        <w:t xml:space="preserve">&lt;/uav:WoTJsonResidue&gt;</w:t>
      </w:r>
    </w:p>
    <w:p w14:paraId="30112ECA">
      <w:pPr>
        <w:pStyle w:val="PARAGRAPH"/>
      </w:pPr>
      <w:r>
        <w:rPr>
          <w:rStyle w:val="VARIABLE"/>
        </w:rPr>
        <w:t xml:space="preserve">Pointer</w:t>
      </w:r>
      <w:r>
        <w:t xml:space="preserve"> is an RFC 6901 JSON Pointer into the regenerated WoT document. </w:t>
      </w:r>
      <w:r>
        <w:rPr>
          <w:rStyle w:val="VARIABLE"/>
        </w:rPr>
        <w:t xml:space="preserve">Encoding</w:t>
      </w:r>
      <w:r>
        <w:t xml:space="preserve"> is </w:t>
      </w:r>
      <w:r>
        <w:rPr>
          <w:rStyle w:val="VARIABLE"/>
        </w:rPr>
        <w:t xml:space="preserve">base64</w:t>
      </w:r>
      <w:r>
        <w:t xml:space="preserve">; the decoded bytes are exactly one JSON value; </w:t>
      </w:r>
      <w:r>
        <w:rPr>
          <w:rStyle w:val="VARIABLE"/>
        </w:rPr>
        <w:t xml:space="preserve">Sha256</w:t>
      </w:r>
      <w:r>
        <w:t xml:space="preserve"> is the lower-case hexadecimal SHA-256 digest of those decoded bytes. A link whose array position is not stable across regeneration uses </w:t>
      </w:r>
      <w:r>
        <w:rPr>
          <w:rStyle w:val="VARIABLE"/>
        </w:rPr>
        <w:t xml:space="preserve">Pointer="/links/-"</w:t>
      </w:r>
      <w:r>
        <w:t xml:space="preserve"> and the optional selector attributes </w:t>
      </w:r>
      <w:r>
        <w:rPr>
          <w:rStyle w:val="VARIABLE"/>
        </w:rPr>
        <w:t xml:space="preserve">LinkRel</w:t>
      </w:r>
      <w:r>
        <w:t xml:space="preserve">, </w:t>
      </w:r>
      <w:r>
        <w:rPr>
          <w:rStyle w:val="VARIABLE"/>
        </w:rPr>
        <w:t xml:space="preserve">LinkHref</w:t>
      </w:r>
      <w:r>
        <w:t xml:space="preserve">, </w:t>
      </w:r>
      <w:r>
        <w:rPr>
          <w:rStyle w:val="VARIABLE"/>
        </w:rPr>
        <w:t xml:space="preserve">LinkRefId</w:t>
      </w:r>
      <w:r>
        <w:t xml:space="preserve">, and </w:t>
      </w:r>
      <w:r>
        <w:rPr>
          <w:rStyle w:val="VARIABLE"/>
        </w:rPr>
        <w:t xml:space="preserve">LinkRefName</w:t>
      </w:r>
      <w:r>
        <w:t xml:space="preserve">; the decoded JSON object then contains only the unmapped link members. The converter matches the regenerated link by those stable identifiers or creates it if the readable mapping did not emit one. It </w:t>
      </w:r>
      <w:r>
        <w:rPr>
          <w:b/>
        </w:rPr>
        <w:t xml:space="preserve">shall not</w:t>
      </w:r>
      <w:r>
        <w:t xml:space="preserve"> address mapped-link extras by the source array index.</w:t>
      </w:r>
    </w:p>
    <w:p w14:paraId="67F9E74E">
      <w:pPr>
        <w:pStyle w:val="PARAGRAPH"/>
      </w:pPr>
      <w:r>
        <w:t xml:space="preserve">A converter </w:t>
      </w:r>
      <w:r>
        <w:rPr>
          <w:b/>
        </w:rPr>
        <w:t xml:space="preserve">shall</w:t>
      </w:r>
      <w:r>
        <w:t xml:space="preserve"> verify the digest, JSON syntax, pointer syntax, size/depth limits, selectors, and conflicts before applying residue. It </w:t>
      </w:r>
      <w:r>
        <w:rPr>
          <w:b/>
        </w:rPr>
        <w:t xml:space="preserve">shall</w:t>
      </w:r>
      <w:r>
        <w:t xml:space="preserve"> store only unmapped members or unmapped submembers, never a copy of the complete TD/TM and never a duplicate of a mapped OPC UA fact. Additional </w:t>
      </w:r>
      <w:r>
        <w:rPr>
          <w:rStyle w:val="VARIABLE"/>
        </w:rPr>
        <w:t xml:space="preserve">@context</w:t>
      </w:r>
      <w:r>
        <w:t xml:space="preserve"> terms are merged into the regenerated </w:t>
      </w:r>
      <w:r>
        <w:rPr>
          <w:rStyle w:val="VARIABLE"/>
        </w:rPr>
        <w:t xml:space="preserve">uav</w:t>
      </w:r>
      <w:r>
        <w:t xml:space="preserve"> context object by term name rather than by the authored array position.</w:t>
      </w:r>
    </w:p>
    <w:p w14:paraId="5A3B99CA">
      <w:pPr>
        <w:pStyle w:val="Heading3"/>
      </w:pPr>
      <w:bookmarkStart w:id="524" w:name="_Clause_c6_7_3"/>
      <w:r>
        <w:t xml:space="preserve">The exceptional nodeSet envelope</w:t>
      </w:r>
      <w:bookmarkEnd w:id="524"/>
    </w:p>
    <w:p w14:paraId="1A09FCF1">
      <w:pPr>
        <w:pStyle w:val="PARAGRAPH"/>
      </w:pPr>
      <w:r>
        <w:t xml:space="preserve">The optional </w:t>
      </w:r>
      <w:r>
        <w:rPr>
          <w:rStyle w:val="VARIABLE"/>
        </w:rPr>
        <w:t xml:space="preserve">uav:nodeSet</w:t>
      </w:r>
      <w:r>
        <w:t xml:space="preserve"> envelope is a JSON object with these members:</w:t>
      </w:r>
    </w:p>
    <w:p w14:paraId="465970B6">
      <w:pPr>
        <w:pStyle w:val="TABLE-title"/>
        <w:keepNext/>
      </w:pPr>
      <w:bookmarkStart w:id="525" w:name="_Tab_the_exceptional_nodeset_envelope_tab1"/>
      <w:r>
        <w:t xml:space="preserve">Table </w:t>
      </w:r>
      <w:r>
        <w:fldChar w:fldCharType="begin"/>
      </w:r>
      <w:r>
        <w:instrText xml:space="preserve"> SEQ Table \* ARABIC </w:instrText>
      </w:r>
      <w:r>
        <w:fldChar w:fldCharType="separate"/>
      </w:r>
      <w:r>
        <w:rPr>
          <w:noProof/>
        </w:rPr>
        <w:t xml:space="preserve">9</w:t>
      </w:r>
      <w:r>
        <w:fldChar w:fldCharType="end"/>
      </w:r>
      <w:r>
        <w:t xml:space="preserve"> – The exceptional nodeSet envelope</w:t>
      </w:r>
      <w:bookmarkEnd w:id="52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7EFF41C3">
            <w:pPr>
              <w:pStyle w:val="TableText"/>
            </w:pPr>
            <w:r>
              <w:t xml:space="preserve">Member</w:t>
            </w:r>
          </w:p>
        </w:tc>
        <w:tc>
          <w:tcPr>
            <w:tcW w:w="2975" w:type="dxa"/>
            <w:tcBorders>
              <w:top w:val="single" w:sz="4" w:space="0" w:color="auto"/>
              <w:left w:val="single" w:sz="4" w:space="0" w:color="auto"/>
              <w:bottom w:val="double" w:sz="4" w:space="0" w:color="auto"/>
              <w:right w:val="single" w:sz="4" w:space="0" w:color="auto"/>
            </w:tcBorders>
          </w:tcPr>
          <w:p w14:paraId="1619F1AD">
            <w:pPr>
              <w:pStyle w:val="TableText"/>
            </w:pPr>
            <w:r>
              <w:t xml:space="preserve">Required</w:t>
            </w:r>
          </w:p>
        </w:tc>
        <w:tc>
          <w:tcPr>
            <w:tcW w:w="2976" w:type="dxa"/>
            <w:tcBorders>
              <w:top w:val="single" w:sz="4" w:space="0" w:color="auto"/>
              <w:left w:val="single" w:sz="4" w:space="0" w:color="auto"/>
              <w:bottom w:val="double" w:sz="4" w:space="0" w:color="auto"/>
              <w:right w:val="single" w:sz="4" w:space="0" w:color="auto"/>
            </w:tcBorders>
          </w:tcPr>
          <w:p w14:paraId="1FE99252">
            <w:pPr>
              <w:pStyle w:val="TableText"/>
            </w:pPr>
            <w:r>
              <w:t xml:space="preserve">Value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A2996E6">
            <w:pPr>
              <w:pStyle w:val="TableText"/>
            </w:pPr>
            <w:r>
              <w:rPr>
                <w:rStyle w:val="VARIABLE"/>
              </w:rPr>
              <w:t xml:space="preserve">@type</w:t>
            </w:r>
          </w:p>
        </w:tc>
        <w:tc>
          <w:tcPr>
            <w:tcW w:w="2975" w:type="dxa"/>
            <w:tcBorders>
              <w:top w:val="single" w:sz="4" w:space="0" w:color="auto"/>
              <w:left w:val="single" w:sz="4" w:space="0" w:color="auto"/>
              <w:bottom w:val="single" w:sz="4" w:space="0" w:color="auto"/>
              <w:right w:val="single" w:sz="4" w:space="0" w:color="auto"/>
            </w:tcBorders>
          </w:tcPr>
          <w:p w14:paraId="6370DA37">
            <w:pPr>
              <w:pStyle w:val="TableText"/>
            </w:pPr>
            <w:r>
              <w:t xml:space="preserve">yes</w:t>
            </w:r>
          </w:p>
        </w:tc>
        <w:tc>
          <w:tcPr>
            <w:tcW w:w="2976" w:type="dxa"/>
            <w:tcBorders>
              <w:top w:val="single" w:sz="4" w:space="0" w:color="auto"/>
              <w:left w:val="single" w:sz="4" w:space="0" w:color="auto"/>
              <w:bottom w:val="single" w:sz="4" w:space="0" w:color="auto"/>
              <w:right w:val="single" w:sz="4" w:space="0" w:color="auto"/>
            </w:tcBorders>
          </w:tcPr>
          <w:p w14:paraId="01073006">
            <w:pPr>
              <w:pStyle w:val="TableText"/>
            </w:pPr>
            <w:r>
              <w:t xml:space="preserve">the constant </w:t>
            </w:r>
            <w:r>
              <w:rPr>
                <w:rStyle w:val="VARIABLE"/>
              </w:rPr>
              <w:t xml:space="preserve">uav:nodeSet</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7985528F">
            <w:pPr>
              <w:pStyle w:val="TableText"/>
            </w:pPr>
            <w:r>
              <w:rPr>
                <w:rStyle w:val="VARIABLE"/>
              </w:rPr>
              <w:t xml:space="preserve">contentType</w:t>
            </w:r>
          </w:p>
        </w:tc>
        <w:tc>
          <w:tcPr>
            <w:tcW w:w="2975" w:type="dxa"/>
            <w:tcBorders>
              <w:top w:val="single" w:sz="4" w:space="0" w:color="auto"/>
              <w:left w:val="single" w:sz="4" w:space="0" w:color="auto"/>
              <w:bottom w:val="single" w:sz="4" w:space="0" w:color="auto"/>
              <w:right w:val="single" w:sz="4" w:space="0" w:color="auto"/>
            </w:tcBorders>
          </w:tcPr>
          <w:p w14:paraId="551C0B9A">
            <w:pPr>
              <w:pStyle w:val="TableText"/>
            </w:pPr>
            <w:r>
              <w:t xml:space="preserve">yes</w:t>
            </w:r>
          </w:p>
        </w:tc>
        <w:tc>
          <w:tcPr>
            <w:tcW w:w="2976" w:type="dxa"/>
            <w:tcBorders>
              <w:top w:val="single" w:sz="4" w:space="0" w:color="auto"/>
              <w:left w:val="single" w:sz="4" w:space="0" w:color="auto"/>
              <w:bottom w:val="single" w:sz="4" w:space="0" w:color="auto"/>
              <w:right w:val="single" w:sz="4" w:space="0" w:color="auto"/>
            </w:tcBorders>
          </w:tcPr>
          <w:p w14:paraId="7F659E21">
            <w:pPr>
              <w:pStyle w:val="TableText"/>
            </w:pPr>
            <w:r>
              <w:t xml:space="preserve">the media type of the decoded bytes, for example </w:t>
            </w:r>
            <w:r>
              <w:rPr>
                <w:rStyle w:val="VARIABLE"/>
              </w:rPr>
              <w:t xml:space="preserve">application/opcua-nodeset+xml</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44521747">
            <w:pPr>
              <w:pStyle w:val="TableText"/>
            </w:pPr>
            <w:r>
              <w:rPr>
                <w:rStyle w:val="VARIABLE"/>
              </w:rPr>
              <w:t xml:space="preserve">encoding</w:t>
            </w:r>
          </w:p>
        </w:tc>
        <w:tc>
          <w:tcPr>
            <w:tcW w:w="2975" w:type="dxa"/>
            <w:tcBorders>
              <w:top w:val="single" w:sz="4" w:space="0" w:color="auto"/>
              <w:left w:val="single" w:sz="4" w:space="0" w:color="auto"/>
              <w:bottom w:val="single" w:sz="4" w:space="0" w:color="auto"/>
              <w:right w:val="single" w:sz="4" w:space="0" w:color="auto"/>
            </w:tcBorders>
          </w:tcPr>
          <w:p w14:paraId="33E465BD">
            <w:pPr>
              <w:pStyle w:val="TableText"/>
            </w:pPr>
            <w:r>
              <w:t xml:space="preserve">yes</w:t>
            </w:r>
          </w:p>
        </w:tc>
        <w:tc>
          <w:tcPr>
            <w:tcW w:w="2976" w:type="dxa"/>
            <w:tcBorders>
              <w:top w:val="single" w:sz="4" w:space="0" w:color="auto"/>
              <w:left w:val="single" w:sz="4" w:space="0" w:color="auto"/>
              <w:bottom w:val="single" w:sz="4" w:space="0" w:color="auto"/>
              <w:right w:val="single" w:sz="4" w:space="0" w:color="auto"/>
            </w:tcBorders>
          </w:tcPr>
          <w:p w14:paraId="0D21C77F">
            <w:pPr>
              <w:pStyle w:val="TableText"/>
            </w:pPr>
            <w:r>
              <w:t xml:space="preserve">the constant </w:t>
            </w:r>
            <w:r>
              <w:rPr>
                <w:rStyle w:val="VARIABLE"/>
              </w:rPr>
              <w:t xml:space="preserve">base64</w:t>
            </w:r>
            <w:r>
              <w:t xml:space="preserve"> (RFC 4648 section 4)</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575458BC">
            <w:pPr>
              <w:pStyle w:val="TableText"/>
            </w:pPr>
            <w:r>
              <w:rPr>
                <w:rStyle w:val="VARIABLE"/>
              </w:rPr>
              <w:t xml:space="preserve">sha256</w:t>
            </w:r>
          </w:p>
        </w:tc>
        <w:tc>
          <w:tcPr>
            <w:tcW w:w="2975" w:type="dxa"/>
            <w:tcBorders>
              <w:top w:val="single" w:sz="4" w:space="0" w:color="auto"/>
              <w:left w:val="single" w:sz="4" w:space="0" w:color="auto"/>
              <w:bottom w:val="single" w:sz="4" w:space="0" w:color="auto"/>
              <w:right w:val="single" w:sz="4" w:space="0" w:color="auto"/>
            </w:tcBorders>
          </w:tcPr>
          <w:p w14:paraId="76689D7C">
            <w:pPr>
              <w:pStyle w:val="TableText"/>
            </w:pPr>
            <w:r>
              <w:t xml:space="preserve">yes</w:t>
            </w:r>
          </w:p>
        </w:tc>
        <w:tc>
          <w:tcPr>
            <w:tcW w:w="2976" w:type="dxa"/>
            <w:tcBorders>
              <w:top w:val="single" w:sz="4" w:space="0" w:color="auto"/>
              <w:left w:val="single" w:sz="4" w:space="0" w:color="auto"/>
              <w:bottom w:val="single" w:sz="4" w:space="0" w:color="auto"/>
              <w:right w:val="single" w:sz="4" w:space="0" w:color="auto"/>
            </w:tcBorders>
          </w:tcPr>
          <w:p w14:paraId="061124E2">
            <w:pPr>
              <w:pStyle w:val="TableText"/>
            </w:pPr>
            <w:r>
              <w:t xml:space="preserve">the lower-case hexadecimal SHA-256 digest of the </w:t>
            </w:r>
            <w:r>
              <w:rPr>
                <w:b/>
              </w:rPr>
              <w:t xml:space="preserve">decoded</w:t>
            </w:r>
            <w:r>
              <w:t xml:space="preserve"> bytes</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7D3A8006">
            <w:pPr>
              <w:pStyle w:val="TableText"/>
            </w:pPr>
            <w:r>
              <w:rPr>
                <w:rStyle w:val="VARIABLE"/>
              </w:rPr>
              <w:t xml:space="preserve">data</w:t>
            </w:r>
          </w:p>
        </w:tc>
        <w:tc>
          <w:tcPr>
            <w:tcW w:w="2975" w:type="dxa"/>
            <w:tcBorders>
              <w:top w:val="single" w:sz="4" w:space="0" w:color="auto"/>
              <w:left w:val="single" w:sz="4" w:space="0" w:color="auto"/>
              <w:bottom w:val="single" w:sz="4" w:space="0" w:color="auto"/>
              <w:right w:val="single" w:sz="4" w:space="0" w:color="auto"/>
            </w:tcBorders>
          </w:tcPr>
          <w:p w14:paraId="521678C7">
            <w:pPr>
              <w:pStyle w:val="TableText"/>
            </w:pPr>
            <w:r>
              <w:t xml:space="preserve">yes</w:t>
            </w:r>
          </w:p>
        </w:tc>
        <w:tc>
          <w:tcPr>
            <w:tcW w:w="2976" w:type="dxa"/>
            <w:tcBorders>
              <w:top w:val="single" w:sz="4" w:space="0" w:color="auto"/>
              <w:left w:val="single" w:sz="4" w:space="0" w:color="auto"/>
              <w:bottom w:val="single" w:sz="4" w:space="0" w:color="auto"/>
              <w:right w:val="single" w:sz="4" w:space="0" w:color="auto"/>
            </w:tcBorders>
          </w:tcPr>
          <w:p w14:paraId="160DFAA1">
            <w:pPr>
              <w:pStyle w:val="TableText"/>
            </w:pPr>
            <w:r>
              <w:t xml:space="preserve">the base64 encoding of the canonical NodeSet2 XML bytes</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6F751F4B">
            <w:pPr>
              <w:pStyle w:val="TableText"/>
            </w:pPr>
            <w:r>
              <w:rPr>
                <w:rStyle w:val="VARIABLE"/>
              </w:rPr>
              <w:t xml:space="preserve">profileVersion</w:t>
            </w:r>
          </w:p>
        </w:tc>
        <w:tc>
          <w:tcPr>
            <w:tcW w:w="2975" w:type="dxa"/>
            <w:tcBorders>
              <w:top w:val="single" w:sz="4" w:space="0" w:color="auto"/>
              <w:left w:val="single" w:sz="4" w:space="0" w:color="auto"/>
              <w:bottom w:val="single" w:sz="4" w:space="0" w:color="auto"/>
              <w:right w:val="single" w:sz="4" w:space="0" w:color="auto"/>
            </w:tcBorders>
          </w:tcPr>
          <w:p w14:paraId="05E79075">
            <w:pPr>
              <w:pStyle w:val="TableText"/>
            </w:pPr>
            <w:r>
              <w:t xml:space="preserve">recommended</w:t>
            </w:r>
          </w:p>
        </w:tc>
        <w:tc>
          <w:tcPr>
            <w:tcW w:w="2976" w:type="dxa"/>
            <w:tcBorders>
              <w:top w:val="single" w:sz="4" w:space="0" w:color="auto"/>
              <w:left w:val="single" w:sz="4" w:space="0" w:color="auto"/>
              <w:bottom w:val="single" w:sz="4" w:space="0" w:color="auto"/>
              <w:right w:val="single" w:sz="4" w:space="0" w:color="auto"/>
            </w:tcBorders>
          </w:tcPr>
          <w:p w14:paraId="4238B0A9">
            <w:pPr>
              <w:pStyle w:val="TableText"/>
            </w:pPr>
            <w:r>
              <w:t xml:space="preserve">the preservation profile version, for example </w:t>
            </w:r>
            <w:r>
              <w:rPr>
                <w:rStyle w:val="VARIABLE"/>
              </w:rPr>
              <w:t xml:space="preserve">1.0</w:t>
            </w:r>
          </w:p>
        </w:tc>
      </w:tr>
    </w:tbl>
    <w:p w14:paraId="238C72E7">
      <w:pPr>
        <w:pStyle w:val="spacer"/>
      </w:pPr>
    </w:p>
    <w:p w14:paraId="6066188B">
      <w:pPr>
        <w:pStyle w:val="PARAGRAPH"/>
      </w:pPr>
      <w:r>
        <w:t xml:space="preserve">The decoded bytes </w:t>
      </w:r>
      <w:r>
        <w:rPr>
          <w:b/>
        </w:rPr>
        <w:t xml:space="preserve">shall</w:t>
      </w:r>
      <w:r>
        <w:t xml:space="preserve"> be a well-formed XML document whose root element is </w:t>
      </w:r>
      <w:r>
        <w:rPr>
          <w:rStyle w:val="VARIABLE"/>
        </w:rPr>
        <w:t xml:space="preserve">UANodeSet</w:t>
      </w:r>
      <w:r>
        <w:t xml:space="preserve"> in the namespace </w:t>
      </w:r>
      <w:r>
        <w:rPr>
          <w:rStyle w:val="VARIABLE"/>
        </w:rPr>
        <w:t xml:space="preserve">http://opcfoundation.org/UA/2011/03/UANodeSet.xsd</w:t>
      </w:r>
      <w:r>
        <w:t xml:space="preserve">. This format is not the default conversion representation. An explicit archival example is </w:t>
      </w:r>
      <w:r>
        <w:rPr>
          <w:rStyle w:val="VARIABLE"/>
        </w:rPr>
        <w:t xml:space="preserve">examples/03-nodeset-preservation-envelope.jsonld</w:t>
      </w:r>
      <w:r>
        <w:t xml:space="preserve">.</w:t>
      </w:r>
    </w:p>
    <w:p w14:paraId="3BC1B8B8" w14:textId="12BB010D" w:rsidR="005E69BD" w:rsidRPr="00EC120D" w:rsidRDefault="006235B1" w:rsidP="002E7A22">
      <w:pPr>
        <w:pStyle w:val="Heading1"/>
        <w:pageBreakBefore/>
      </w:pPr>
      <w:bookmarkStart w:id="526" w:name="_Clause_c7"/>
      <w:bookmarkStart w:id="539" w:name="_Ref85018491"/>
      <w:bookmarkStart w:id="405" w:name="_Ref37835213"/>
      <w:bookmarkStart w:id="406" w:name="_Toc184117007"/>
      <w:r w:rsidRPr="00EC120D">
        <w:lastRenderedPageBreak/>
        <w:t>Profiles and conformance units</w:t>
      </w:r>
      <w:r w:rsidR="001B5D46" w:rsidRPr="00EC120D">
        <w:t xml:space="preserve"/>
      </w:r>
      <w:r w:rsidRPr="00EC120D">
        <w:t/>
      </w:r>
      <w:bookmarkEnd w:id="405"/>
      <w:bookmarkEnd w:id="406"/>
      <w:bookmarkEnd w:id="539"/>
      <w:bookmarkEnd w:id="526"/>
    </w:p>
    <w:p w14:paraId="3C254E13">
      <w:pPr>
        <w:pStyle w:val="PARAGRAPH"/>
      </w:pPr>
      <w:r>
        <w:t xml:space="preserve">A Server, a Thing Description author, or a converter declares conformance to the units it implements. The units are independent; a profile is a named set of units.</w:t>
      </w:r>
    </w:p>
    <w:p w14:paraId="105FC62A">
      <w:pPr>
        <w:pStyle w:val="TABLE-title"/>
        <w:keepNext/>
      </w:pPr>
      <w:bookmarkStart w:id="527" w:name="_Tab_profiles_and_conformance_units_tab1"/>
      <w:r>
        <w:t xml:space="preserve">Table </w:t>
      </w:r>
      <w:r>
        <w:fldChar w:fldCharType="begin"/>
      </w:r>
      <w:r>
        <w:instrText xml:space="preserve"> SEQ Table \* ARABIC </w:instrText>
      </w:r>
      <w:r>
        <w:fldChar w:fldCharType="separate"/>
      </w:r>
      <w:r>
        <w:rPr>
          <w:noProof/>
        </w:rPr>
        <w:t xml:space="preserve">10</w:t>
      </w:r>
      <w:r>
        <w:fldChar w:fldCharType="end"/>
      </w:r>
      <w:r>
        <w:t xml:space="preserve"> – Profiles and conformance units</w:t>
      </w:r>
      <w:bookmarkEnd w:id="52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12562AB6">
            <w:pPr>
              <w:pStyle w:val="TableText"/>
            </w:pPr>
            <w:r>
              <w:t xml:space="preserve">Unit</w:t>
            </w:r>
          </w:p>
        </w:tc>
        <w:tc>
          <w:tcPr>
            <w:tcW w:w="4463" w:type="dxa"/>
            <w:tcBorders>
              <w:top w:val="single" w:sz="4" w:space="0" w:color="auto"/>
              <w:left w:val="single" w:sz="4" w:space="0" w:color="auto"/>
              <w:bottom w:val="double" w:sz="4" w:space="0" w:color="auto"/>
              <w:right w:val="single" w:sz="4" w:space="0" w:color="auto"/>
            </w:tcBorders>
          </w:tcPr>
          <w:p w14:paraId="263C5B08">
            <w:pPr>
              <w:pStyle w:val="TableText"/>
            </w:pPr>
            <w:r>
              <w:t xml:space="preserve">Requirement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38EADC3">
            <w:pPr>
              <w:pStyle w:val="TableText"/>
            </w:pPr>
            <w:r>
              <w:rPr>
                <w:b/>
              </w:rPr>
              <w:t xml:space="preserve">WoT-ProtocolBinding</w:t>
            </w:r>
          </w:p>
        </w:tc>
        <w:tc>
          <w:tcPr>
            <w:tcW w:w="4463" w:type="dxa"/>
            <w:tcBorders>
              <w:top w:val="single" w:sz="4" w:space="0" w:color="auto"/>
              <w:left w:val="single" w:sz="4" w:space="0" w:color="auto"/>
              <w:bottom w:val="single" w:sz="4" w:space="0" w:color="auto"/>
              <w:right w:val="single" w:sz="4" w:space="0" w:color="auto"/>
            </w:tcBorders>
          </w:tcPr>
          <w:p w14:paraId="79468C0A">
            <w:pPr>
              <w:pStyle w:val="TableText"/>
            </w:pPr>
            <w:r>
              <w:t xml:space="preserve">The preserved protocol binding of </w:t>
            </w:r>
            <w:r>
              <w:t xml:space="preserve">Section </w:t>
            </w:r>
            <w:r>
              <w:fldChar w:fldCharType="begin"/>
            </w:r>
            <w:r>
              <w:instrText xml:space="preserve"> REF _Clause_c6_2 \r \h </w:instrText>
            </w:r>
            <w:r>
              <w:fldChar w:fldCharType="separate"/>
            </w:r>
            <w:r>
              <w:rPr>
                <w:noProof/>
              </w:rPr>
              <w:t xml:space="preserve">6.2</w:t>
            </w:r>
            <w:r>
              <w:fldChar w:fldCharType="end"/>
            </w:r>
            <w:r>
              <w:t xml:space="preserve">: URI/base/href, the four service mappings, access levels, and the security schemes.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47F8348">
            <w:pPr>
              <w:pStyle w:val="TableText"/>
            </w:pPr>
            <w:r>
              <w:rPr>
                <w:b/>
              </w:rPr>
              <w:t xml:space="preserve">WoT-NativeMapping</w:t>
            </w:r>
          </w:p>
        </w:tc>
        <w:tc>
          <w:tcPr>
            <w:tcW w:w="4463" w:type="dxa"/>
            <w:tcBorders>
              <w:top w:val="single" w:sz="4" w:space="0" w:color="auto"/>
              <w:left w:val="single" w:sz="4" w:space="0" w:color="auto"/>
              <w:bottom w:val="single" w:sz="4" w:space="0" w:color="auto"/>
              <w:right w:val="single" w:sz="4" w:space="0" w:color="auto"/>
            </w:tcBorders>
          </w:tcPr>
          <w:p w14:paraId="2751018C">
            <w:pPr>
              <w:pStyle w:val="TableText"/>
            </w:pPr>
            <w:r>
              <w:t xml:space="preserve">The semantic/readable mapping of </w:t>
            </w:r>
            <w:r>
              <w:t xml:space="preserve">Section </w:t>
            </w:r>
            <w:r>
              <w:fldChar w:fldCharType="begin"/>
            </w:r>
            <w:r>
              <w:instrText xml:space="preserve"> REF _Clause_c6_6_1 \r \h </w:instrText>
            </w:r>
            <w:r>
              <w:fldChar w:fldCharType="separate"/>
            </w:r>
            <w:r>
              <w:rPr>
                <w:noProof/>
              </w:rPr>
              <w:t xml:space="preserve">6.6.1</w:t>
            </w:r>
            <w:r>
              <w:fldChar w:fldCharType="end"/>
            </w:r>
            <w:r>
              <w:t xml:space="preserve">, including proof that </w:t>
            </w:r>
            <w:r>
              <w:rPr>
                <w:rStyle w:val="VARIABLE"/>
              </w:rPr>
              <w:t xml:space="preserve">uav:nodes</w:t>
            </w:r>
            <w:r>
              <w:t xml:space="preserve"> is omitted when that mapping is complete.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7333478">
            <w:pPr>
              <w:pStyle w:val="TableText"/>
            </w:pPr>
            <w:r>
              <w:rPr>
                <w:b/>
              </w:rPr>
              <w:t xml:space="preserve">WoT-StructuredFallback</w:t>
            </w:r>
          </w:p>
        </w:tc>
        <w:tc>
          <w:tcPr>
            <w:tcW w:w="4463" w:type="dxa"/>
            <w:tcBorders>
              <w:top w:val="single" w:sz="4" w:space="0" w:color="auto"/>
              <w:left w:val="single" w:sz="4" w:space="0" w:color="auto"/>
              <w:bottom w:val="single" w:sz="4" w:space="0" w:color="auto"/>
              <w:right w:val="single" w:sz="4" w:space="0" w:color="auto"/>
            </w:tcBorders>
          </w:tcPr>
          <w:p w14:paraId="33A7CEF3">
            <w:pPr>
              <w:pStyle w:val="TableText"/>
            </w:pPr>
            <w:r>
              <w:t xml:space="preserve">The exceptional complete </w:t>
            </w:r>
            <w:r>
              <w:rPr>
                <w:rStyle w:val="VARIABLE"/>
              </w:rPr>
              <w:t xml:space="preserve">uav:nodes</w:t>
            </w:r>
            <w:r>
              <w:t xml:space="preserve"> projection of </w:t>
            </w:r>
            <w:r>
              <w:t xml:space="preserve">Sections </w:t>
            </w:r>
            <w:r>
              <w:fldChar w:fldCharType="begin"/>
            </w:r>
            <w:r>
              <w:instrText xml:space="preserve"> REF _Clause_c6_6_2 \r \h </w:instrText>
            </w:r>
            <w:r>
              <w:fldChar w:fldCharType="separate"/>
            </w:r>
            <w:r>
              <w:rPr>
                <w:noProof/>
              </w:rPr>
              <w:t xml:space="preserve">6.6.2</w:t>
            </w:r>
            <w:r>
              <w:fldChar w:fldCharType="end"/>
            </w:r>
            <w:r>
              <w:t xml:space="preserve"> and </w:t>
            </w:r>
            <w:r>
              <w:fldChar w:fldCharType="begin"/>
            </w:r>
            <w:r>
              <w:instrText xml:space="preserve"> REF _Clause_c6_7_1 \r \h </w:instrText>
            </w:r>
            <w:r>
              <w:fldChar w:fldCharType="separate"/>
            </w:r>
            <w:r>
              <w:rPr>
                <w:noProof/>
              </w:rPr>
              <w:t xml:space="preserve">6.7.1</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16CBBC9">
            <w:pPr>
              <w:pStyle w:val="TableText"/>
            </w:pPr>
            <w:r>
              <w:rPr>
                <w:b/>
              </w:rPr>
              <w:t xml:space="preserve">WoT-JsonResidue</w:t>
            </w:r>
          </w:p>
        </w:tc>
        <w:tc>
          <w:tcPr>
            <w:tcW w:w="4463" w:type="dxa"/>
            <w:tcBorders>
              <w:top w:val="single" w:sz="4" w:space="0" w:color="auto"/>
              <w:left w:val="single" w:sz="4" w:space="0" w:color="auto"/>
              <w:bottom w:val="single" w:sz="4" w:space="0" w:color="auto"/>
              <w:right w:val="single" w:sz="4" w:space="0" w:color="auto"/>
            </w:tcBorders>
          </w:tcPr>
          <w:p w14:paraId="6B93D1AF">
            <w:pPr>
              <w:pStyle w:val="TableText"/>
            </w:pPr>
            <w:r>
              <w:t xml:space="preserve">Pointer-addressed unmapped-member preservation using the NodeSet Extension of </w:t>
            </w:r>
            <w:r>
              <w:t xml:space="preserve">Section </w:t>
            </w:r>
            <w:r>
              <w:fldChar w:fldCharType="begin"/>
            </w:r>
            <w:r>
              <w:instrText xml:space="preserve"> REF _Clause_c6_7_2 \r \h </w:instrText>
            </w:r>
            <w:r>
              <w:fldChar w:fldCharType="separate"/>
            </w:r>
            <w:r>
              <w:rPr>
                <w:noProof/>
              </w:rPr>
              <w:t xml:space="preserve">6.7.2</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F43079A">
            <w:pPr>
              <w:pStyle w:val="TableText"/>
            </w:pPr>
            <w:r>
              <w:rPr>
                <w:b/>
              </w:rPr>
              <w:t xml:space="preserve">WoT-NodeSetPreservation</w:t>
            </w:r>
          </w:p>
        </w:tc>
        <w:tc>
          <w:tcPr>
            <w:tcW w:w="4463" w:type="dxa"/>
            <w:tcBorders>
              <w:top w:val="single" w:sz="4" w:space="0" w:color="auto"/>
              <w:left w:val="single" w:sz="4" w:space="0" w:color="auto"/>
              <w:bottom w:val="single" w:sz="4" w:space="0" w:color="auto"/>
              <w:right w:val="single" w:sz="4" w:space="0" w:color="auto"/>
            </w:tcBorders>
          </w:tcPr>
          <w:p w14:paraId="333F9E2D">
            <w:pPr>
              <w:pStyle w:val="TableText"/>
            </w:pPr>
            <w:r>
              <w:t xml:space="preserve">The exceptional </w:t>
            </w:r>
            <w:r>
              <w:rPr>
                <w:rStyle w:val="VARIABLE"/>
              </w:rPr>
              <w:t xml:space="preserve">uav:nodeSet</w:t>
            </w:r>
            <w:r>
              <w:t xml:space="preserve"> envelope of </w:t>
            </w:r>
            <w:r>
              <w:t xml:space="preserve">Section </w:t>
            </w:r>
            <w:r>
              <w:fldChar w:fldCharType="begin"/>
            </w:r>
            <w:r>
              <w:instrText xml:space="preserve"> REF _Clause_c6_7_3 \r \h </w:instrText>
            </w:r>
            <w:r>
              <w:fldChar w:fldCharType="separate"/>
            </w:r>
            <w:r>
              <w:rPr>
                <w:noProof/>
              </w:rPr>
              <w:t xml:space="preserve">6.7.3</w:t>
            </w:r>
            <w:r>
              <w:fldChar w:fldCharType="end"/>
            </w:r>
            <w:r>
              <w:t xml:space="preserve">, including digest verification.</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C46F46E">
            <w:pPr>
              <w:pStyle w:val="TableText"/>
            </w:pPr>
            <w:r>
              <w:rPr>
                <w:b/>
              </w:rPr>
              <w:t xml:space="preserve">WoT-ExactRoundtrip</w:t>
            </w:r>
          </w:p>
        </w:tc>
        <w:tc>
          <w:tcPr>
            <w:tcW w:w="4463" w:type="dxa"/>
            <w:tcBorders>
              <w:top w:val="single" w:sz="4" w:space="0" w:color="auto"/>
              <w:left w:val="single" w:sz="4" w:space="0" w:color="auto"/>
              <w:bottom w:val="single" w:sz="4" w:space="0" w:color="auto"/>
              <w:right w:val="single" w:sz="4" w:space="0" w:color="auto"/>
            </w:tcBorders>
          </w:tcPr>
          <w:p w14:paraId="42F58D92">
            <w:pPr>
              <w:pStyle w:val="TableText"/>
            </w:pPr>
            <w:r>
              <w:t xml:space="preserve">The native, envelope-free roundtrip invariants of </w:t>
            </w:r>
            <w:r>
              <w:t xml:space="preserve">Section </w:t>
            </w:r>
            <w:r>
              <w:fldChar w:fldCharType="begin"/>
            </w:r>
            <w:r>
              <w:instrText xml:space="preserve"> REF _Clause_c6_6_5 \r \h </w:instrText>
            </w:r>
            <w:r>
              <w:fldChar w:fldCharType="separate"/>
            </w:r>
            <w:r>
              <w:rPr>
                <w:noProof/>
              </w:rPr>
              <w:t xml:space="preserve">6.6.5</w:t>
            </w:r>
            <w:r>
              <w:fldChar w:fldCharType="end"/>
            </w:r>
            <w:r>
              <w:t xml:space="preserve">, including JSON residue.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DE1B4EC">
            <w:pPr>
              <w:pStyle w:val="TableText"/>
            </w:pPr>
            <w:r>
              <w:rPr>
                <w:b/>
              </w:rPr>
              <w:t xml:space="preserve">WoT-EventMapping</w:t>
            </w:r>
          </w:p>
        </w:tc>
        <w:tc>
          <w:tcPr>
            <w:tcW w:w="4463" w:type="dxa"/>
            <w:tcBorders>
              <w:top w:val="single" w:sz="4" w:space="0" w:color="auto"/>
              <w:left w:val="single" w:sz="4" w:space="0" w:color="auto"/>
              <w:bottom w:val="single" w:sz="4" w:space="0" w:color="auto"/>
              <w:right w:val="single" w:sz="4" w:space="0" w:color="auto"/>
            </w:tcBorders>
          </w:tcPr>
          <w:p w14:paraId="73B824F3">
            <w:pPr>
              <w:pStyle w:val="TableText"/>
            </w:pPr>
            <w:r>
              <w:t xml:space="preserve">The OPC UA event to WoT event mapping of </w:t>
            </w:r>
            <w:r>
              <w:t xml:space="preserve">Section </w:t>
            </w:r>
            <w:r>
              <w:fldChar w:fldCharType="begin"/>
            </w:r>
            <w:r>
              <w:instrText xml:space="preserve"> REF _Clause_c6_5 \r \h </w:instrText>
            </w:r>
            <w:r>
              <w:fldChar w:fldCharType="separate"/>
            </w:r>
            <w:r>
              <w:rPr>
                <w:noProof/>
              </w:rPr>
              <w:t xml:space="preserve">6.5</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431BAF9">
            <w:pPr>
              <w:pStyle w:val="TableText"/>
            </w:pPr>
            <w:r>
              <w:rPr>
                <w:b/>
              </w:rPr>
              <w:t xml:space="preserve">WoT-ModelVocabulary</w:t>
            </w:r>
          </w:p>
        </w:tc>
        <w:tc>
          <w:tcPr>
            <w:tcW w:w="4463" w:type="dxa"/>
            <w:tcBorders>
              <w:top w:val="single" w:sz="4" w:space="0" w:color="auto"/>
              <w:left w:val="single" w:sz="4" w:space="0" w:color="auto"/>
              <w:bottom w:val="single" w:sz="4" w:space="0" w:color="auto"/>
              <w:right w:val="single" w:sz="4" w:space="0" w:color="auto"/>
            </w:tcBorders>
          </w:tcPr>
          <w:p w14:paraId="7BE4CCC7">
            <w:pPr>
              <w:pStyle w:val="TableText"/>
            </w:pPr>
            <w:r>
              <w:t xml:space="preserve">The model and platform vocabulary of </w:t>
            </w:r>
            <w:r>
              <w:t xml:space="preserve">Section </w:t>
            </w:r>
            <w:r>
              <w:fldChar w:fldCharType="begin"/>
            </w:r>
            <w:r>
              <w:instrText xml:space="preserve"> REF _Clause_c6_3 \r \h </w:instrText>
            </w:r>
            <w:r>
              <w:fldChar w:fldCharType="separate"/>
            </w:r>
            <w:r>
              <w:rPr>
                <w:noProof/>
              </w:rPr>
              <w:t xml:space="preserve">6.3</w:t>
            </w:r>
            <w:r>
              <w:fldChar w:fldCharType="end"/>
            </w:r>
            <w:r>
              <w:t xml:space="preserve"> and its validation rules in </w:t>
            </w:r>
            <w:r>
              <w:t xml:space="preserve">Section </w:t>
            </w:r>
            <w:r>
              <w:fldChar w:fldCharType="begin"/>
            </w:r>
            <w:r>
              <w:instrText xml:space="preserve"> REF _Clause_c6_4 \r \h </w:instrText>
            </w:r>
            <w:r>
              <w:fldChar w:fldCharType="separate"/>
            </w:r>
            <w:r>
              <w:rPr>
                <w:noProof/>
              </w:rPr>
              <w:t xml:space="preserve">6.4</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122B9BA">
            <w:pPr>
              <w:pStyle w:val="TableText"/>
            </w:pPr>
            <w:r>
              <w:rPr>
                <w:b/>
              </w:rPr>
              <w:t xml:space="preserve">WoT-ExternalResolver</w:t>
            </w:r>
          </w:p>
        </w:tc>
        <w:tc>
          <w:tcPr>
            <w:tcW w:w="4463" w:type="dxa"/>
            <w:tcBorders>
              <w:top w:val="single" w:sz="4" w:space="0" w:color="auto"/>
              <w:left w:val="single" w:sz="4" w:space="0" w:color="auto"/>
              <w:bottom w:val="single" w:sz="4" w:space="0" w:color="auto"/>
              <w:right w:val="single" w:sz="4" w:space="0" w:color="auto"/>
            </w:tcBorders>
          </w:tcPr>
          <w:p w14:paraId="00CC719A">
            <w:pPr>
              <w:pStyle w:val="TableText"/>
            </w:pPr>
            <w:r>
              <w:t xml:space="preserve">Resolution of </w:t>
            </w:r>
            <w:r>
              <w:rPr>
                <w:rStyle w:val="VARIABLE"/>
              </w:rPr>
              <w:t xml:space="preserve">uav:externalSchema</w:t>
            </w:r>
            <w:r>
              <w:t xml:space="preserve">, </w:t>
            </w:r>
            <w:r>
              <w:rPr>
                <w:rStyle w:val="VARIABLE"/>
              </w:rPr>
              <w:t xml:space="preserve">uav:mapToType</w:t>
            </w:r>
            <w:r>
              <w:t xml:space="preserve">, </w:t>
            </w:r>
            <w:r>
              <w:rPr>
                <w:rStyle w:val="VARIABLE"/>
              </w:rPr>
              <w:t xml:space="preserve">uav:mapToNodeId</w:t>
            </w:r>
            <w:r>
              <w:t xml:space="preserve">, and cross-document links.</w:t>
            </w:r>
          </w:p>
        </w:tc>
      </w:tr>
    </w:tbl>
    <w:p w14:paraId="4804266B">
      <w:pPr>
        <w:pStyle w:val="spacer"/>
      </w:pPr>
    </w:p>
    <w:p w14:paraId="3CAF6CFF">
      <w:pPr>
        <w:pStyle w:val="PARAGRAPH"/>
      </w:pPr>
      <w:r>
        <w:t xml:space="preserve">Recommended profiles:</w:t>
      </w:r>
    </w:p>
    <w:p w14:paraId="41072280">
      <w:pPr>
        <w:pStyle w:val="ListBullet"/>
        <w:numPr>
          <w:ilvl w:val="0"/>
          <w:numId w:val="21"/>
        </w:numPr>
      </w:pPr>
      <w:r>
        <w:rPr>
          <w:b/>
        </w:rPr>
        <w:t xml:space="preserve">WoT-Reader</w:t>
      </w:r>
      <w:r>
        <w:t xml:space="preserve"> — WoT-ProtocolBinding and WoT-NativeMapping. The minimum for a client that reads a Thing Description and talks to the Server.</w:t>
      </w:r>
    </w:p>
    <w:p w14:paraId="54A7D48E">
      <w:pPr>
        <w:pStyle w:val="ListBullet"/>
        <w:numPr>
          <w:ilvl w:val="0"/>
          <w:numId w:val="21"/>
        </w:numPr>
      </w:pPr>
      <w:r>
        <w:rPr>
          <w:b/>
        </w:rPr>
        <w:t xml:space="preserve">WoT-Modeller</w:t>
      </w:r>
      <w:r>
        <w:t xml:space="preserve"> — WoT-Reader plus WoT-ModelVocabulary and WoT-EventMapping. For tools that author or interpret Thing Models.</w:t>
      </w:r>
    </w:p>
    <w:p w14:paraId="12756780">
      <w:pPr>
        <w:pStyle w:val="ListBullet"/>
        <w:numPr>
          <w:ilvl w:val="0"/>
          <w:numId w:val="21"/>
        </w:numPr>
      </w:pPr>
      <w:r>
        <w:rPr>
          <w:b/>
        </w:rPr>
        <w:t xml:space="preserve">WoT-Converter</w:t>
      </w:r>
      <w:r>
        <w:t xml:space="preserve"> — WoT-Modeller plus WoT-StructuredFallback, WoT-JsonResidue and WoT-ExactRoundtrip. For tools that convert between NodeSet2 and WoT losslessly without requiring an envelope.</w:t>
      </w:r>
    </w:p>
    <w:p w14:paraId="5A8319E1">
      <w:pPr>
        <w:pStyle w:val="ListBullet"/>
        <w:numPr>
          <w:ilvl w:val="0"/>
          <w:numId w:val="21"/>
        </w:numPr>
      </w:pPr>
      <w:r>
        <w:rPr>
          <w:b/>
        </w:rPr>
        <w:t xml:space="preserve">WoT-ArchivalConverter</w:t>
      </w:r>
      <w:r>
        <w:t xml:space="preserve"> — WoT-Converter plus WoT-NodeSetPreservation. For callers that explicitly require the original NodeSet2 bytes.</w:t>
      </w:r>
    </w:p>
    <w:p w14:paraId="6B4A45F1">
      <w:pPr>
        <w:pStyle w:val="Heading1"/>
      </w:pPr>
      <w:bookmarkStart w:id="528" w:name="_Clause_c8"/>
      <w:r>
        <w:t xml:space="preserve">Namespaces</w:t>
      </w:r>
      <w:bookmarkEnd w:id="528"/>
    </w:p>
    <w:p w14:paraId="49E581B0">
      <w:pPr>
        <w:pStyle w:val="Heading2"/>
      </w:pPr>
      <w:bookmarkStart w:id="540" w:name="_Ref127248897"/>
      <w:bookmarkStart w:id="529" w:name="_Clause_c8_1"/>
      <w:r>
        <w:t xml:space="preserve">Namespace metadata</w:t>
      </w:r>
      <w:bookmarkEnd w:id="529"/>
      <w:bookmarkEnd w:id="540"/>
    </w:p>
    <w:p w14:paraId="1EA1AA03">
      <w:pPr>
        <w:pStyle w:val="PARAGRAPH"/>
      </w:pPr>
      <w:r>
        <w:t xml:space="preserve">The namespace metadata provide standardized information about the elements of this namespace, which an aggregating Server relies on. All Nodes defined by this document are static: they are identical in every Server, including the Value Attribute.</w:t>
      </w:r>
    </w:p>
    <w:p w14:paraId="77118488">
      <w:pPr>
        <w:pStyle w:val="PARAGRAPH"/>
      </w:pPr>
      <w:r>
        <w:t xml:space="preserve">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4B96D8F6">
      <w:pPr>
        <w:pStyle w:val="TABLE-title"/>
        <w:keepNext/>
      </w:pPr>
      <w:bookmarkStart w:id="543" w:name="_Ref16863029"/>
      <w:bookmarkStart w:id="530" w:name="_Tab_namespace_metadata_tab1"/>
      <w:r>
        <w:t xml:space="preserve">Table </w:t>
      </w:r>
      <w:r>
        <w:fldChar w:fldCharType="begin"/>
      </w:r>
      <w:r>
        <w:instrText xml:space="preserve"> SEQ Table \* ARABIC </w:instrText>
      </w:r>
      <w:r>
        <w:fldChar w:fldCharType="separate"/>
      </w:r>
      <w:r>
        <w:rPr>
          <w:noProof/>
        </w:rPr>
        <w:t xml:space="preserve">11</w:t>
      </w:r>
      <w:r>
        <w:fldChar w:fldCharType="end"/>
      </w:r>
      <w:r>
        <w:t xml:space="preserve"> – NamespaceMetadata Object for this document</w:t>
      </w:r>
      <w:bookmarkEnd w:id="530"/>
      <w:bookmarkEnd w:id="54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trPr>
          <w:tblHeader/>
          <w:jc w:val="center"/>
        </w:trPr>
        <w:tc>
          <w:tcPr>
            <w:tcW w:w="2800" w:type="dxa"/>
            <w:tcBorders>
              <w:top w:val="single" w:sz="4" w:space="0" w:color="auto"/>
              <w:left w:val="single" w:sz="4" w:space="0" w:color="auto"/>
              <w:bottom w:val="double" w:sz="4" w:space="0" w:color="auto"/>
              <w:right w:val="single" w:sz="4" w:space="0" w:color="auto"/>
            </w:tcBorders>
          </w:tcPr>
          <w:p w14:paraId="19FEF64D">
            <w:pPr>
              <w:pStyle w:val="TableText"/>
            </w:pPr>
            <w:r>
              <w:t xml:space="preserve">Property</w:t>
            </w:r>
          </w:p>
        </w:tc>
        <w:tc>
          <w:tcPr>
            <w:tcW w:w="2000" w:type="dxa"/>
            <w:tcBorders>
              <w:top w:val="single" w:sz="4" w:space="0" w:color="auto"/>
              <w:left w:val="single" w:sz="4" w:space="0" w:color="auto"/>
              <w:bottom w:val="double" w:sz="4" w:space="0" w:color="auto"/>
              <w:right w:val="single" w:sz="4" w:space="0" w:color="auto"/>
            </w:tcBorders>
          </w:tcPr>
          <w:p w14:paraId="0C6AB65F">
            <w:pPr>
              <w:pStyle w:val="TableText"/>
            </w:pPr>
            <w:r>
              <w:t xml:space="preserve">DataType</w:t>
            </w:r>
          </w:p>
        </w:tc>
        <w:tc>
          <w:tcPr>
            <w:tcW w:w="4126" w:type="dxa"/>
            <w:tcBorders>
              <w:top w:val="single" w:sz="4" w:space="0" w:color="auto"/>
              <w:left w:val="single" w:sz="4" w:space="0" w:color="auto"/>
              <w:bottom w:val="double" w:sz="4" w:space="0" w:color="auto"/>
              <w:right w:val="single" w:sz="4" w:space="0" w:color="auto"/>
            </w:tcBorders>
          </w:tcPr>
          <w:p w14:paraId="237B19AC">
            <w:pPr>
              <w:pStyle w:val="TableText"/>
            </w:pPr>
            <w:r>
              <w:t xml:space="preserve">Value</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00D45825">
            <w:pPr>
              <w:pStyle w:val="TableText"/>
            </w:pPr>
            <w:r>
              <w:t xml:space="preserve">NamespaceUri</w:t>
            </w:r>
          </w:p>
        </w:tc>
        <w:tc>
          <w:tcPr>
            <w:tcW w:w="2000" w:type="dxa"/>
            <w:tcBorders>
              <w:top w:val="single" w:sz="4" w:space="0" w:color="auto"/>
              <w:left w:val="single" w:sz="4" w:space="0" w:color="auto"/>
              <w:bottom w:val="single" w:sz="4" w:space="0" w:color="auto"/>
              <w:right w:val="single" w:sz="4" w:space="0" w:color="auto"/>
            </w:tcBorders>
          </w:tcPr>
          <w:p w14:paraId="76AA8E3A">
            <w:pPr>
              <w:pStyle w:val="TableText"/>
            </w:pPr>
            <w:r>
              <w:t xml:space="preserve">String</w:t>
            </w:r>
          </w:p>
        </w:tc>
        <w:tc>
          <w:tcPr>
            <w:tcW w:w="4126" w:type="dxa"/>
            <w:tcBorders>
              <w:top w:val="single" w:sz="4" w:space="0" w:color="auto"/>
              <w:left w:val="single" w:sz="4" w:space="0" w:color="auto"/>
              <w:bottom w:val="single" w:sz="4" w:space="0" w:color="auto"/>
              <w:right w:val="single" w:sz="4" w:space="0" w:color="auto"/>
            </w:tcBorders>
          </w:tcPr>
          <w:p w14:paraId="58988B59">
            <w:pPr>
              <w:pStyle w:val="TableText"/>
            </w:pPr>
            <w:r>
              <w:t xml:space="preserve">http://opcfoundation.org/UA/WoT-Binding/</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07CA19F8">
            <w:pPr>
              <w:pStyle w:val="TableText"/>
            </w:pPr>
            <w:r>
              <w:t xml:space="preserve">NamespaceVersion</w:t>
            </w:r>
          </w:p>
        </w:tc>
        <w:tc>
          <w:tcPr>
            <w:tcW w:w="2000" w:type="dxa"/>
            <w:tcBorders>
              <w:top w:val="single" w:sz="4" w:space="0" w:color="auto"/>
              <w:left w:val="single" w:sz="4" w:space="0" w:color="auto"/>
              <w:bottom w:val="single" w:sz="4" w:space="0" w:color="auto"/>
              <w:right w:val="single" w:sz="4" w:space="0" w:color="auto"/>
            </w:tcBorders>
          </w:tcPr>
          <w:p w14:paraId="330996E9">
            <w:pPr>
              <w:pStyle w:val="TableText"/>
            </w:pPr>
            <w:r>
              <w:t xml:space="preserve">String</w:t>
            </w:r>
          </w:p>
        </w:tc>
        <w:tc>
          <w:tcPr>
            <w:tcW w:w="4126" w:type="dxa"/>
            <w:tcBorders>
              <w:top w:val="single" w:sz="4" w:space="0" w:color="auto"/>
              <w:left w:val="single" w:sz="4" w:space="0" w:color="auto"/>
              <w:bottom w:val="single" w:sz="4" w:space="0" w:color="auto"/>
              <w:right w:val="single" w:sz="4" w:space="0" w:color="auto"/>
            </w:tcBorders>
          </w:tcPr>
          <w:p w14:paraId="15627D31">
            <w:pPr>
              <w:pStyle w:val="TableText"/>
            </w:pPr>
            <w:r>
              <w:t xml:space="preserve">1.10.0</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094D4BA2">
            <w:pPr>
              <w:pStyle w:val="TableText"/>
            </w:pPr>
            <w:r>
              <w:t xml:space="preserve">NamespacePublicationDate</w:t>
            </w:r>
          </w:p>
        </w:tc>
        <w:tc>
          <w:tcPr>
            <w:tcW w:w="2000" w:type="dxa"/>
            <w:tcBorders>
              <w:top w:val="single" w:sz="4" w:space="0" w:color="auto"/>
              <w:left w:val="single" w:sz="4" w:space="0" w:color="auto"/>
              <w:bottom w:val="single" w:sz="4" w:space="0" w:color="auto"/>
              <w:right w:val="single" w:sz="4" w:space="0" w:color="auto"/>
            </w:tcBorders>
          </w:tcPr>
          <w:p w14:paraId="534F71EA">
            <w:pPr>
              <w:pStyle w:val="TableText"/>
            </w:pPr>
            <w:r>
              <w:t xml:space="preserve">DateTime</w:t>
            </w:r>
          </w:p>
        </w:tc>
        <w:tc>
          <w:tcPr>
            <w:tcW w:w="4126" w:type="dxa"/>
            <w:tcBorders>
              <w:top w:val="single" w:sz="4" w:space="0" w:color="auto"/>
              <w:left w:val="single" w:sz="4" w:space="0" w:color="auto"/>
              <w:bottom w:val="single" w:sz="4" w:space="0" w:color="auto"/>
              <w:right w:val="single" w:sz="4" w:space="0" w:color="auto"/>
            </w:tcBorders>
          </w:tcPr>
          <w:p w14:paraId="433DAE0F">
            <w:pPr>
              <w:pStyle w:val="TableText"/>
            </w:pPr>
            <w:r>
              <w:t xml:space="preserve">2026-07-29</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26A3EA99">
            <w:pPr>
              <w:pStyle w:val="TableText"/>
            </w:pPr>
            <w:r>
              <w:t xml:space="preserve">IsNamespaceSubset</w:t>
            </w:r>
          </w:p>
        </w:tc>
        <w:tc>
          <w:tcPr>
            <w:tcW w:w="2000" w:type="dxa"/>
            <w:tcBorders>
              <w:top w:val="single" w:sz="4" w:space="0" w:color="auto"/>
              <w:left w:val="single" w:sz="4" w:space="0" w:color="auto"/>
              <w:bottom w:val="single" w:sz="4" w:space="0" w:color="auto"/>
              <w:right w:val="single" w:sz="4" w:space="0" w:color="auto"/>
            </w:tcBorders>
          </w:tcPr>
          <w:p w14:paraId="5483CC10">
            <w:pPr>
              <w:pStyle w:val="TableText"/>
            </w:pPr>
            <w:r>
              <w:t xml:space="preserve">Boolean</w:t>
            </w:r>
          </w:p>
        </w:tc>
        <w:tc>
          <w:tcPr>
            <w:tcW w:w="4126" w:type="dxa"/>
            <w:tcBorders>
              <w:top w:val="single" w:sz="4" w:space="0" w:color="auto"/>
              <w:left w:val="single" w:sz="4" w:space="0" w:color="auto"/>
              <w:bottom w:val="single" w:sz="4" w:space="0" w:color="auto"/>
              <w:right w:val="single" w:sz="4" w:space="0" w:color="auto"/>
            </w:tcBorders>
          </w:tcPr>
          <w:p w14:paraId="400D4470">
            <w:pPr>
              <w:pStyle w:val="TableText"/>
            </w:pPr>
            <w:r>
              <w:t xml:space="preserve">False</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7C6DF597">
            <w:pPr>
              <w:pStyle w:val="TableText"/>
            </w:pPr>
            <w:r>
              <w:t xml:space="preserve">StaticNodeIdTypes</w:t>
            </w:r>
          </w:p>
        </w:tc>
        <w:tc>
          <w:tcPr>
            <w:tcW w:w="2000" w:type="dxa"/>
            <w:tcBorders>
              <w:top w:val="single" w:sz="4" w:space="0" w:color="auto"/>
              <w:left w:val="single" w:sz="4" w:space="0" w:color="auto"/>
              <w:bottom w:val="single" w:sz="4" w:space="0" w:color="auto"/>
              <w:right w:val="single" w:sz="4" w:space="0" w:color="auto"/>
            </w:tcBorders>
          </w:tcPr>
          <w:p w14:paraId="5578F5ED">
            <w:pPr>
              <w:pStyle w:val="TableText"/>
            </w:pPr>
            <w:r>
              <w:t xml:space="preserve">IdType[]</w:t>
            </w:r>
          </w:p>
        </w:tc>
        <w:tc>
          <w:tcPr>
            <w:tcW w:w="4126" w:type="dxa"/>
            <w:tcBorders>
              <w:top w:val="single" w:sz="4" w:space="0" w:color="auto"/>
              <w:left w:val="single" w:sz="4" w:space="0" w:color="auto"/>
              <w:bottom w:val="single" w:sz="4" w:space="0" w:color="auto"/>
              <w:right w:val="single" w:sz="4" w:space="0" w:color="auto"/>
            </w:tcBorders>
          </w:tcPr>
          <w:p w14:paraId="57F1B058">
            <w:pPr>
              <w:pStyle w:val="TableText"/>
            </w:pPr>
            <w:r>
              <w:t xml:space="preserve">0 (Numeric)</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7A801AB2">
            <w:pPr>
              <w:pStyle w:val="TableText"/>
            </w:pPr>
            <w:r>
              <w:t xml:space="preserve">StaticNumericNodeIdRange</w:t>
            </w:r>
          </w:p>
        </w:tc>
        <w:tc>
          <w:tcPr>
            <w:tcW w:w="2000" w:type="dxa"/>
            <w:tcBorders>
              <w:top w:val="single" w:sz="4" w:space="0" w:color="auto"/>
              <w:left w:val="single" w:sz="4" w:space="0" w:color="auto"/>
              <w:bottom w:val="single" w:sz="4" w:space="0" w:color="auto"/>
              <w:right w:val="single" w:sz="4" w:space="0" w:color="auto"/>
            </w:tcBorders>
          </w:tcPr>
          <w:p w14:paraId="084F70E1">
            <w:pPr>
              <w:pStyle w:val="TableText"/>
            </w:pPr>
            <w:r>
              <w:t xml:space="preserve">NumericRange[]</w:t>
            </w:r>
          </w:p>
        </w:tc>
        <w:tc>
          <w:tcPr>
            <w:tcW w:w="4126" w:type="dxa"/>
            <w:tcBorders>
              <w:top w:val="single" w:sz="4" w:space="0" w:color="auto"/>
              <w:left w:val="single" w:sz="4" w:space="0" w:color="auto"/>
              <w:bottom w:val="single" w:sz="4" w:space="0" w:color="auto"/>
              <w:right w:val="single" w:sz="4" w:space="0" w:color="auto"/>
            </w:tcBorders>
          </w:tcPr>
          <w:p w14:paraId="493D4FA5">
            <w:pPr>
              <w:pStyle w:val="TableText"/>
            </w:pPr>
            <w:r>
              <w:t xml:space="preserve">--</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1D97E370">
            <w:pPr>
              <w:pStyle w:val="TableText"/>
            </w:pPr>
            <w:r>
              <w:t xml:space="preserve">StaticStringNodeIdPattern</w:t>
            </w:r>
          </w:p>
        </w:tc>
        <w:tc>
          <w:tcPr>
            <w:tcW w:w="2000" w:type="dxa"/>
            <w:tcBorders>
              <w:top w:val="single" w:sz="4" w:space="0" w:color="auto"/>
              <w:left w:val="single" w:sz="4" w:space="0" w:color="auto"/>
              <w:bottom w:val="single" w:sz="4" w:space="0" w:color="auto"/>
              <w:right w:val="single" w:sz="4" w:space="0" w:color="auto"/>
            </w:tcBorders>
          </w:tcPr>
          <w:p w14:paraId="17066237">
            <w:pPr>
              <w:pStyle w:val="TableText"/>
            </w:pPr>
            <w:r>
              <w:t xml:space="preserve">String</w:t>
            </w:r>
          </w:p>
        </w:tc>
        <w:tc>
          <w:tcPr>
            <w:tcW w:w="4126" w:type="dxa"/>
            <w:tcBorders>
              <w:top w:val="single" w:sz="4" w:space="0" w:color="auto"/>
              <w:left w:val="single" w:sz="4" w:space="0" w:color="auto"/>
              <w:bottom w:val="single" w:sz="4" w:space="0" w:color="auto"/>
              <w:right w:val="single" w:sz="4" w:space="0" w:color="auto"/>
            </w:tcBorders>
          </w:tcPr>
          <w:p w14:paraId="084C30A6">
            <w:pPr>
              <w:pStyle w:val="TableText"/>
            </w:pPr>
            <w:r>
              <w:t xml:space="preserve">--</w:t>
            </w:r>
          </w:p>
        </w:tc>
      </w:tr>
    </w:tbl>
    <w:p w14:paraId="32E40B3A">
      <w:pPr>
        <w:pStyle w:val="spacer"/>
      </w:pPr>
    </w:p>
    <w:p w14:paraId="14436C49">
      <w:pPr>
        <w:pStyle w:val="PARAGRAPH"/>
      </w:pPr>
      <w:r>
        <w:t xml:space="preserve">The IsNamespaceSubset Property is False because the UANodeSet XML file contains the complete namespace. A Server exposing only a subset sets it to True.</w:t>
      </w:r>
    </w:p>
    <w:p w14:paraId="2EE1EBC5">
      <w:pPr>
        <w:pStyle w:val="Heading2"/>
      </w:pPr>
      <w:bookmarkStart w:id="541" w:name="_Ref55114991"/>
      <w:bookmarkStart w:id="531" w:name="_Clause_c8_2"/>
      <w:r>
        <w:t xml:space="preserve">Handling of OPC UA namespaces</w:t>
      </w:r>
      <w:bookmarkEnd w:id="531"/>
      <w:bookmarkEnd w:id="541"/>
    </w:p>
    <w:p w14:paraId="1BF4CB94">
      <w:pPr>
        <w:pStyle w:val="PARAGRAPH"/>
      </w:pPr>
      <w:r>
        <w:t xml:space="preserve">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1402D8C7">
      <w:pPr>
        <w:pStyle w:val="TABLE-title"/>
        <w:keepNext/>
      </w:pPr>
      <w:bookmarkStart w:id="532" w:name="_Tab_handling_of_opc_ua_namespaces_tab1"/>
      <w:r>
        <w:t xml:space="preserve">Table </w:t>
      </w:r>
      <w:r>
        <w:fldChar w:fldCharType="begin"/>
      </w:r>
      <w:r>
        <w:instrText xml:space="preserve"> SEQ Table \* ARABIC </w:instrText>
      </w:r>
      <w:r>
        <w:fldChar w:fldCharType="separate"/>
      </w:r>
      <w:r>
        <w:rPr>
          <w:noProof/>
        </w:rPr>
        <w:t xml:space="preserve">12</w:t>
      </w:r>
      <w:r>
        <w:fldChar w:fldCharType="end"/>
      </w:r>
      <w:r>
        <w:t xml:space="preserve"> – Namespaces used in an OpenUSD Server</w:t>
      </w:r>
      <w:bookmarkEnd w:id="53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trPr>
          <w:tblHeader/>
          <w:jc w:val="center"/>
        </w:trPr>
        <w:tc>
          <w:tcPr>
            <w:tcW w:w="3400" w:type="dxa"/>
            <w:tcBorders>
              <w:top w:val="single" w:sz="4" w:space="0" w:color="auto"/>
              <w:left w:val="single" w:sz="4" w:space="0" w:color="auto"/>
              <w:bottom w:val="double" w:sz="4" w:space="0" w:color="auto"/>
              <w:right w:val="single" w:sz="4" w:space="0" w:color="auto"/>
            </w:tcBorders>
          </w:tcPr>
          <w:p w14:paraId="6AE74776">
            <w:pPr>
              <w:pStyle w:val="TableText"/>
            </w:pPr>
            <w:r>
              <w:t xml:space="preserve">NamespaceURI</w:t>
            </w:r>
          </w:p>
        </w:tc>
        <w:tc>
          <w:tcPr>
            <w:tcW w:w="5526" w:type="dxa"/>
            <w:tcBorders>
              <w:top w:val="single" w:sz="4" w:space="0" w:color="auto"/>
              <w:left w:val="single" w:sz="4" w:space="0" w:color="auto"/>
              <w:bottom w:val="double" w:sz="4" w:space="0" w:color="auto"/>
              <w:right w:val="single" w:sz="4" w:space="0" w:color="auto"/>
            </w:tcBorders>
          </w:tcPr>
          <w:p w14:paraId="6FBA0BAB">
            <w:pPr>
              <w:pStyle w:val="TableText"/>
            </w:pPr>
            <w:r>
              <w:t xml:space="preserve">Description</w:t>
            </w:r>
          </w:p>
        </w:tc>
      </w:tr>
      <w:tr>
        <w:trPr>
          <w:jc w:val="center"/>
        </w:trPr>
        <w:tc>
          <w:tcPr>
            <w:tcW w:w="3400" w:type="dxa"/>
            <w:tcBorders>
              <w:top w:val="single" w:sz="4" w:space="0" w:color="auto"/>
              <w:left w:val="single" w:sz="4" w:space="0" w:color="auto"/>
              <w:bottom w:val="single" w:sz="4" w:space="0" w:color="auto"/>
              <w:right w:val="single" w:sz="4" w:space="0" w:color="auto"/>
            </w:tcBorders>
          </w:tcPr>
          <w:p w14:paraId="397DE111">
            <w:pPr>
              <w:pStyle w:val="TableText"/>
            </w:pPr>
            <w:r>
              <w:t xml:space="preserve">http://opcfoundation.org/UA/</w:t>
            </w:r>
          </w:p>
        </w:tc>
        <w:tc>
          <w:tcPr>
            <w:tcW w:w="5526" w:type="dxa"/>
            <w:tcBorders>
              <w:top w:val="single" w:sz="4" w:space="0" w:color="auto"/>
              <w:left w:val="single" w:sz="4" w:space="0" w:color="auto"/>
              <w:bottom w:val="single" w:sz="4" w:space="0" w:color="auto"/>
              <w:right w:val="single" w:sz="4" w:space="0" w:color="auto"/>
            </w:tcBorders>
          </w:tcPr>
          <w:p w14:paraId="19C01F40">
            <w:pPr>
              <w:pStyle w:val="TableText"/>
            </w:pPr>
            <w:r>
              <w:t xml:space="preserve">Namespace for NodeIds and BrowseNames defined in the OPC UA specification (OPC 10000-3, OPC 10000-5).</w:t>
            </w:r>
          </w:p>
        </w:tc>
      </w:tr>
      <w:tr>
        <w:trPr>
          <w:jc w:val="center"/>
        </w:trPr>
        <w:tc>
          <w:tcPr>
            <w:tcW w:w="3400" w:type="dxa"/>
            <w:tcBorders>
              <w:top w:val="single" w:sz="4" w:space="0" w:color="auto"/>
              <w:left w:val="single" w:sz="4" w:space="0" w:color="auto"/>
              <w:bottom w:val="single" w:sz="4" w:space="0" w:color="auto"/>
              <w:right w:val="single" w:sz="4" w:space="0" w:color="auto"/>
            </w:tcBorders>
          </w:tcPr>
          <w:p w14:paraId="3C250236">
            <w:pPr>
              <w:pStyle w:val="TableText"/>
            </w:pPr>
            <w:r>
              <w:t xml:space="preserve">Local Server URI</w:t>
            </w:r>
          </w:p>
        </w:tc>
        <w:tc>
          <w:tcPr>
            <w:tcW w:w="5526" w:type="dxa"/>
            <w:tcBorders>
              <w:top w:val="single" w:sz="4" w:space="0" w:color="auto"/>
              <w:left w:val="single" w:sz="4" w:space="0" w:color="auto"/>
              <w:bottom w:val="single" w:sz="4" w:space="0" w:color="auto"/>
              <w:right w:val="single" w:sz="4" w:space="0" w:color="auto"/>
            </w:tcBorders>
          </w:tcPr>
          <w:p w14:paraId="46056183">
            <w:pPr>
              <w:pStyle w:val="TableText"/>
            </w:pPr>
            <w:r>
              <w:t xml:space="preserve">Namespace for Nodes defined in the local Server. This namespace shall have index 1.</w:t>
            </w:r>
          </w:p>
        </w:tc>
      </w:tr>
      <w:tr>
        <w:trPr>
          <w:jc w:val="center"/>
        </w:trPr>
        <w:tc>
          <w:tcPr>
            <w:tcW w:w="3400" w:type="dxa"/>
            <w:tcBorders>
              <w:top w:val="single" w:sz="4" w:space="0" w:color="auto"/>
              <w:left w:val="single" w:sz="4" w:space="0" w:color="auto"/>
              <w:bottom w:val="single" w:sz="4" w:space="0" w:color="auto"/>
              <w:right w:val="single" w:sz="4" w:space="0" w:color="auto"/>
            </w:tcBorders>
          </w:tcPr>
          <w:p w14:paraId="0A014901">
            <w:pPr>
              <w:pStyle w:val="TableText"/>
            </w:pPr>
            <w:r>
              <w:t xml:space="preserve">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12D0379C">
            <w:pPr>
              <w:pStyle w:val="TableText"/>
            </w:pPr>
            <w:r>
              <w:t xml:space="preserve">Namespace of the RequiredModel that carries the abstract registry base types this document extends.</w:t>
            </w:r>
          </w:p>
        </w:tc>
      </w:tr>
      <w:tr>
        <w:trPr>
          <w:jc w:val="center"/>
        </w:trPr>
        <w:tc>
          <w:tcPr>
            <w:tcW w:w="3400" w:type="dxa"/>
            <w:tcBorders>
              <w:top w:val="single" w:sz="4" w:space="0" w:color="auto"/>
              <w:left w:val="single" w:sz="4" w:space="0" w:color="auto"/>
              <w:bottom w:val="single" w:sz="4" w:space="0" w:color="auto"/>
              <w:right w:val="single" w:sz="4" w:space="0" w:color="auto"/>
            </w:tcBorders>
          </w:tcPr>
          <w:p w14:paraId="3FC95756">
            <w:pPr>
              <w:pStyle w:val="TableText"/>
            </w:pPr>
            <w:r>
              <w:t xml:space="preserve">http://opcfoundation.org/UA/WoT-Binding/</w:t>
            </w:r>
          </w:p>
        </w:tc>
        <w:tc>
          <w:tcPr>
            <w:tcW w:w="5526" w:type="dxa"/>
            <w:tcBorders>
              <w:top w:val="single" w:sz="4" w:space="0" w:color="auto"/>
              <w:left w:val="single" w:sz="4" w:space="0" w:color="auto"/>
              <w:bottom w:val="single" w:sz="4" w:space="0" w:color="auto"/>
              <w:right w:val="single" w:sz="4" w:space="0" w:color="auto"/>
            </w:tcBorders>
          </w:tcPr>
          <w:p w14:paraId="3BD481D4">
            <w:pPr>
              <w:pStyle w:val="TableText"/>
            </w:pPr>
            <w:r>
              <w:t xml:space="preserve">Namespace for NodeIds and BrowseNames defined in this document.</w:t>
            </w:r>
          </w:p>
        </w:tc>
      </w:tr>
      <w:tr>
        <w:trPr>
          <w:jc w:val="center"/>
        </w:trPr>
        <w:tc>
          <w:tcPr>
            <w:tcW w:w="3400" w:type="dxa"/>
            <w:tcBorders>
              <w:top w:val="single" w:sz="4" w:space="0" w:color="auto"/>
              <w:left w:val="single" w:sz="4" w:space="0" w:color="auto"/>
              <w:bottom w:val="single" w:sz="4" w:space="0" w:color="auto"/>
              <w:right w:val="single" w:sz="4" w:space="0" w:color="auto"/>
            </w:tcBorders>
          </w:tcPr>
          <w:p w14:paraId="2922D9AD">
            <w:pPr>
              <w:pStyle w:val="TableText"/>
            </w:pPr>
            <w:r>
              <w:t xml:space="preserve">Vendor specific types</w:t>
            </w:r>
          </w:p>
        </w:tc>
        <w:tc>
          <w:tcPr>
            <w:tcW w:w="5526" w:type="dxa"/>
            <w:tcBorders>
              <w:top w:val="single" w:sz="4" w:space="0" w:color="auto"/>
              <w:left w:val="single" w:sz="4" w:space="0" w:color="auto"/>
              <w:bottom w:val="single" w:sz="4" w:space="0" w:color="auto"/>
              <w:right w:val="single" w:sz="4" w:space="0" w:color="auto"/>
            </w:tcBorders>
          </w:tcPr>
          <w:p w14:paraId="406BF398">
            <w:pPr>
              <w:pStyle w:val="TableText"/>
            </w:pPr>
            <w:r>
              <w:t xml:space="preserve">A Server may provide vendor-specific types derived from the types defined in this document, in one or more additional namespaces.</w:t>
            </w:r>
          </w:p>
        </w:tc>
      </w:tr>
    </w:tbl>
    <w:p w14:paraId="0F63B53D">
      <w:pPr>
        <w:pStyle w:val="spacer"/>
      </w:pPr>
    </w:p>
    <w:p w14:paraId="5413F9C3">
      <w:pPr>
        <w:pStyle w:val="PARAGRAPH"/>
      </w:pPr>
      <w:r>
        <w:t xml:space="preserve">The following table lists the namespaces and their indexes used for BrowseNames in this document. The default namespace of this document is not listed, because every BrowseName without a prefix uses it.</w:t>
      </w:r>
    </w:p>
    <w:p w14:paraId="193A572E">
      <w:pPr>
        <w:pStyle w:val="TABLE-title"/>
        <w:keepNext/>
      </w:pPr>
      <w:bookmarkStart w:id="542" w:name="_Ref16577438"/>
      <w:bookmarkStart w:id="533" w:name="_Tab_handling_of_opc_ua_namespaces_tab2"/>
      <w:r>
        <w:t xml:space="preserve">Table </w:t>
      </w:r>
      <w:r>
        <w:fldChar w:fldCharType="begin"/>
      </w:r>
      <w:r>
        <w:instrText xml:space="preserve"> SEQ Table \* ARABIC </w:instrText>
      </w:r>
      <w:r>
        <w:fldChar w:fldCharType="separate"/>
      </w:r>
      <w:r>
        <w:rPr>
          <w:noProof/>
        </w:rPr>
        <w:t xml:space="preserve">13</w:t>
      </w:r>
      <w:r>
        <w:fldChar w:fldCharType="end"/>
      </w:r>
      <w:r>
        <w:t xml:space="preserve"> – Namespaces used in this document</w:t>
      </w:r>
      <w:bookmarkEnd w:id="533"/>
      <w:bookmarkEnd w:id="5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trPr>
          <w:tblHeader/>
          <w:jc w:val="center"/>
        </w:trPr>
        <w:tc>
          <w:tcPr>
            <w:tcW w:w="3800" w:type="dxa"/>
            <w:tcBorders>
              <w:top w:val="single" w:sz="4" w:space="0" w:color="auto"/>
              <w:left w:val="single" w:sz="4" w:space="0" w:color="auto"/>
              <w:bottom w:val="double" w:sz="4" w:space="0" w:color="auto"/>
              <w:right w:val="single" w:sz="4" w:space="0" w:color="auto"/>
            </w:tcBorders>
          </w:tcPr>
          <w:p w14:paraId="62E1A4F4">
            <w:pPr>
              <w:pStyle w:val="TableText"/>
            </w:pPr>
            <w:r>
              <w:t xml:space="preserve">NamespaceURI</w:t>
            </w:r>
          </w:p>
        </w:tc>
        <w:tc>
          <w:tcPr>
            <w:tcW w:w="1600" w:type="dxa"/>
            <w:tcBorders>
              <w:top w:val="single" w:sz="4" w:space="0" w:color="auto"/>
              <w:left w:val="single" w:sz="4" w:space="0" w:color="auto"/>
              <w:bottom w:val="double" w:sz="4" w:space="0" w:color="auto"/>
              <w:right w:val="single" w:sz="4" w:space="0" w:color="auto"/>
            </w:tcBorders>
          </w:tcPr>
          <w:p w14:paraId="5ADCB2EC">
            <w:pPr>
              <w:pStyle w:val="TableText"/>
            </w:pPr>
            <w:r>
              <w:t xml:space="preserve">Namespace Index</w:t>
            </w:r>
          </w:p>
        </w:tc>
        <w:tc>
          <w:tcPr>
            <w:tcW w:w="3526" w:type="dxa"/>
            <w:tcBorders>
              <w:top w:val="single" w:sz="4" w:space="0" w:color="auto"/>
              <w:left w:val="single" w:sz="4" w:space="0" w:color="auto"/>
              <w:bottom w:val="double" w:sz="4" w:space="0" w:color="auto"/>
              <w:right w:val="single" w:sz="4" w:space="0" w:color="auto"/>
            </w:tcBorders>
          </w:tcPr>
          <w:p w14:paraId="2083F9D4">
            <w:pPr>
              <w:pStyle w:val="TableText"/>
            </w:pPr>
            <w:r>
              <w:t xml:space="preserve">Example</w:t>
            </w:r>
          </w:p>
        </w:tc>
      </w:tr>
      <w:tr>
        <w:trPr>
          <w:jc w:val="center"/>
        </w:trPr>
        <w:tc>
          <w:tcPr>
            <w:tcW w:w="3800" w:type="dxa"/>
            <w:tcBorders>
              <w:top w:val="single" w:sz="4" w:space="0" w:color="auto"/>
              <w:left w:val="single" w:sz="4" w:space="0" w:color="auto"/>
              <w:bottom w:val="single" w:sz="4" w:space="0" w:color="auto"/>
              <w:right w:val="single" w:sz="4" w:space="0" w:color="auto"/>
            </w:tcBorders>
          </w:tcPr>
          <w:p w14:paraId="718766CD">
            <w:pPr>
              <w:pStyle w:val="TableText"/>
            </w:pPr>
            <w:r>
              <w:t xml:space="preserve">http://opcfoundation.org/UA/</w:t>
            </w:r>
          </w:p>
        </w:tc>
        <w:tc>
          <w:tcPr>
            <w:tcW w:w="1600" w:type="dxa"/>
            <w:tcBorders>
              <w:top w:val="single" w:sz="4" w:space="0" w:color="auto"/>
              <w:left w:val="single" w:sz="4" w:space="0" w:color="auto"/>
              <w:bottom w:val="single" w:sz="4" w:space="0" w:color="auto"/>
              <w:right w:val="single" w:sz="4" w:space="0" w:color="auto"/>
            </w:tcBorders>
          </w:tcPr>
          <w:p w14:paraId="7F492928">
            <w:pPr>
              <w:pStyle w:val="TableText"/>
            </w:pPr>
            <w:r>
              <w:t xml:space="preserve">0</w:t>
            </w:r>
          </w:p>
        </w:tc>
        <w:tc>
          <w:tcPr>
            <w:tcW w:w="3526" w:type="dxa"/>
            <w:tcBorders>
              <w:top w:val="single" w:sz="4" w:space="0" w:color="auto"/>
              <w:left w:val="single" w:sz="4" w:space="0" w:color="auto"/>
              <w:bottom w:val="single" w:sz="4" w:space="0" w:color="auto"/>
              <w:right w:val="single" w:sz="4" w:space="0" w:color="auto"/>
            </w:tcBorders>
          </w:tcPr>
          <w:p w14:paraId="74535A06">
            <w:pPr>
              <w:pStyle w:val="TableText"/>
            </w:pPr>
            <w:r>
              <w:t xml:space="preserve">0:EngineeringUnits</w:t>
            </w:r>
          </w:p>
        </w:tc>
      </w:tr>
      <w:tr>
        <w:trPr>
          <w:jc w:val="center"/>
        </w:trPr>
        <w:tc>
          <w:tcPr>
            <w:tcW w:w="3800" w:type="dxa"/>
            <w:tcBorders>
              <w:top w:val="single" w:sz="4" w:space="0" w:color="auto"/>
              <w:left w:val="single" w:sz="4" w:space="0" w:color="auto"/>
              <w:bottom w:val="single" w:sz="4" w:space="0" w:color="auto"/>
              <w:right w:val="single" w:sz="4" w:space="0" w:color="auto"/>
            </w:tcBorders>
          </w:tcPr>
          <w:p w14:paraId="75E615CC">
            <w:pPr>
              <w:pStyle w:val="TableText"/>
            </w:pPr>
            <w:r>
              <w:t xml:space="preserve">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5B9282F8">
            <w:pPr>
              <w:pStyle w:val="TableText"/>
            </w:pPr>
            <w:r>
              <w:t xml:space="preserve">1</w:t>
            </w:r>
          </w:p>
        </w:tc>
        <w:tc>
          <w:tcPr>
            <w:tcW w:w="3526" w:type="dxa"/>
            <w:tcBorders>
              <w:top w:val="single" w:sz="4" w:space="0" w:color="auto"/>
              <w:left w:val="single" w:sz="4" w:space="0" w:color="auto"/>
              <w:bottom w:val="single" w:sz="4" w:space="0" w:color="auto"/>
              <w:right w:val="single" w:sz="4" w:space="0" w:color="auto"/>
            </w:tcBorders>
          </w:tcPr>
          <w:p w14:paraId="3454903D">
            <w:pPr>
              <w:pStyle w:val="TableText"/>
            </w:pPr>
            <w:r>
              <w:t xml:space="preserve">1:ResourceType</w:t>
            </w:r>
          </w:p>
        </w:tc>
      </w:tr>
    </w:tbl>
    <w:p w14:paraId="186917D6">
      <w:pPr>
        <w:pStyle w:val="spacer"/>
      </w:pPr>
    </w:p>
    <w:p w14:paraId="0EC1431D">
      <w:pPr>
        <w:pStyle w:val="ANNEXtitle"/>
        <w:pageBreakBefore/>
      </w:pPr>
      <w:bookmarkStart w:id="544" w:name="_Ref37835123"/>
      <w:bookmarkStart w:id="534" w:name="_Annex_cA"/>
      <w:r>
        <w:t xml:space="preserve">(normative)</w:t>
      </w:r>
      <w:r>
        <w:br/>
      </w:r>
      <w:r>
        <w:br/>
      </w:r>
      <w:r>
        <w:t xml:space="preserve">WoT binding namespace and machine-readable artifacts</w:t>
      </w:r>
      <w:bookmarkEnd w:id="534"/>
      <w:bookmarkEnd w:id="544"/>
    </w:p>
    <w:p w14:paraId="062ADCA7">
      <w:pPr>
        <w:pStyle w:val="ANNEX-heading1"/>
      </w:pPr>
      <w:bookmarkStart w:id="535" w:name="_Clause_cA_1"/>
      <w:r>
        <w:t xml:space="preserve">Namespace and capability identifier</w:t>
      </w:r>
      <w:bookmarkEnd w:id="535"/>
    </w:p>
    <w:p w14:paraId="60E7588C">
      <w:pPr>
        <w:pStyle w:val="PARAGRAPH"/>
      </w:pPr>
      <w:r>
        <w:t xml:space="preserve">The vocabulary defined by this document is identified by the following URI:</w:t>
      </w:r>
    </w:p>
    <w:p w14:paraId="090491FA">
      <w:pPr>
        <w:pStyle w:val="CODE"/>
      </w:pPr>
      <w:r>
        <w:t xml:space="preserve">http://opcfoundation.org/UA/WoT-Binding/</w:t>
      </w:r>
    </w:p>
    <w:p w14:paraId="04DA9362">
      <w:pPr>
        <w:pStyle w:val="PARAGRAPH"/>
      </w:pPr>
      <w:r>
        <w:t xml:space="preserve">The capability identifier of this document, used in the conformance units of WoT Binding, is WOTB.</w:t>
      </w:r>
    </w:p>
    <w:p w14:paraId="08331574">
      <w:pPr>
        <w:pStyle w:val="PARAGRAPH"/>
      </w:pPr>
      <w:r>
        <w:t xml:space="preserve">This document publishes no UANodeSet XML file, because it defines no OPC UA information model. The machine-readable artifacts it does define are the JSON-LD context and the JSON Schema described below; they are normative and a conforming implementation is validated against them.</w:t>
      </w:r>
    </w:p>
    <w:p w14:paraId="0CF2E9E4">
      <w:pPr>
        <w:pStyle w:val="ANNEX-heading1"/>
      </w:pPr>
      <w:bookmarkStart w:id="536" w:name="_Clause_cA_2"/>
      <w:r>
        <w:t xml:space="preserve">JSON-LD context and JSON Schema</w:t>
      </w:r>
      <w:bookmarkEnd w:id="536"/>
    </w:p>
    <w:p w14:paraId="437A61B5">
      <w:pPr>
        <w:pStyle w:val="PARAGRAPH"/>
      </w:pPr>
      <w:r>
        <w:t xml:space="preserve">The machine-readable vocabulary is </w:t>
      </w:r>
      <w:r>
        <w:rPr>
          <w:rStyle w:val="VARIABLE"/>
        </w:rPr>
        <w:t xml:space="preserve">opc-ua-wot-binding.context.jsonld</w:t>
      </w:r>
      <w:r>
        <w:t xml:space="preserve">; it binds the </w:t>
      </w:r>
      <w:r>
        <w:rPr>
          <w:rStyle w:val="VARIABLE"/>
        </w:rPr>
        <w:t xml:space="preserve">uav</w:t>
      </w:r>
      <w:r>
        <w:t xml:space="preserve"> prefix and declares every term of </w:t>
      </w:r>
      <w:r>
        <w:t xml:space="preserve">Sections </w:t>
      </w:r>
      <w:r>
        <w:t xml:space="preserve">5</w:t>
      </w:r>
      <w:r>
        <w:t xml:space="preserve">, </w:t>
      </w:r>
      <w:r>
        <w:t xml:space="preserve">6</w:t>
      </w:r>
      <w:r>
        <w:t xml:space="preserve">, and </w:t>
      </w:r>
      <w:r>
        <w:t xml:space="preserve">10</w:t>
      </w:r>
      <w:r>
        <w:t xml:space="preserve">. The structural constraints are </w:t>
      </w:r>
      <w:r>
        <w:rPr>
          <w:rStyle w:val="VARIABLE"/>
        </w:rPr>
        <w:t xml:space="preserve">opc-ua-wot-binding.schema.json</w:t>
      </w:r>
      <w:r>
        <w:t xml:space="preserve">, a JSON Schema (2020-12) that validates the </w:t>
      </w:r>
      <w:r>
        <w:rPr>
          <w:rStyle w:val="VARIABLE"/>
        </w:rPr>
        <w:t xml:space="preserve">uav</w:t>
      </w:r>
      <w:r>
        <w:t xml:space="preserve"> members, native projection, and exceptional preservation envelope in addition to the base Thing Description schema.</w:t>
      </w:r>
    </w:p>
    <w:p w14:paraId="6885D573">
      <w:pPr>
        <w:pStyle w:val="ANNEXtitle"/>
        <w:pageBreakBefore/>
      </w:pPr>
      <w:bookmarkStart w:id="537" w:name="_Annex_cB"/>
      <w:r>
        <w:t xml:space="preserve">(informative)</w:t>
      </w:r>
      <w:r>
        <w:br/>
      </w:r>
      <w:r>
        <w:br/>
      </w:r>
      <w:r>
        <w:t xml:space="preserve">Examples</w:t>
      </w:r>
      <w:bookmarkEnd w:id="537"/>
    </w:p>
    <w:p w14:paraId="50E6629D">
      <w:pPr>
        <w:pStyle w:val="ListBullet"/>
        <w:numPr>
          <w:ilvl w:val="0"/>
          <w:numId w:val="21"/>
        </w:numPr>
      </w:pPr>
      <w:r>
        <w:rPr>
          <w:rStyle w:val="VARIABLE"/>
        </w:rPr>
        <w:t xml:space="preserve">examples/01-opcua-td-pump.jsonld</w:t>
      </w:r>
      <w:r>
        <w:t xml:space="preserve"> — a Thing Description using the preserved Read, Write, Observe, Call, and security vocabulary.</w:t>
      </w:r>
    </w:p>
    <w:p w14:paraId="27ADC754">
      <w:pPr>
        <w:pStyle w:val="ListBullet"/>
        <w:numPr>
          <w:ilvl w:val="0"/>
          <w:numId w:val="21"/>
        </w:numPr>
      </w:pPr>
      <w:r>
        <w:rPr>
          <w:rStyle w:val="VARIABLE"/>
        </w:rPr>
        <w:t xml:space="preserve">examples/02-thing-model-pump.jsonld</w:t>
      </w:r>
      <w:r>
        <w:t xml:space="preserve"> — a Thing Model using the model and platform vocabulary.</w:t>
      </w:r>
    </w:p>
    <w:p w14:paraId="636DBB62">
      <w:pPr>
        <w:pStyle w:val="ListBullet"/>
        <w:numPr>
          <w:ilvl w:val="0"/>
          <w:numId w:val="21"/>
        </w:numPr>
      </w:pPr>
      <w:r>
        <w:rPr>
          <w:rStyle w:val="VARIABLE"/>
        </w:rPr>
        <w:t xml:space="preserve">examples/03-nodeset-preservation-envelope.jsonld</w:t>
      </w:r>
      <w:r>
        <w:t xml:space="preserve"> — a preservation envelope carrying a canonical NodeSet2 baseline.</w:t>
      </w:r>
    </w:p>
    <w:p w14:paraId="57195F40">
      <w:pPr>
        <w:pStyle w:val="ListBullet"/>
        <w:numPr>
          <w:ilvl w:val="0"/>
          <w:numId w:val="21"/>
        </w:numPr>
      </w:pPr>
      <w:r>
        <w:rPr>
          <w:rStyle w:val="VARIABLE"/>
        </w:rPr>
        <w:t xml:space="preserve">examples/04-type-reference-modelling-rule.jsonld</w:t>
      </w:r>
      <w:r>
        <w:t xml:space="preserve"> — a Thing Model exercising type, reference (including a </w:t>
      </w:r>
      <w:r>
        <w:rPr>
          <w:rStyle w:val="VARIABLE"/>
        </w:rPr>
        <w:t xml:space="preserve">HasOrderedComponent</w:t>
      </w:r>
      <w:r>
        <w:t xml:space="preserve"> subtype pinned by a typed link), and modelling-rule mappings.</w:t>
      </w:r>
    </w:p>
    <w:p w14:paraId="76539C9F">
      <w:pPr>
        <w:pStyle w:val="ListBullet"/>
        <w:numPr>
          <w:ilvl w:val="0"/>
          <w:numId w:val="21"/>
        </w:numPr>
      </w:pPr>
      <w:r>
        <w:rPr>
          <w:rStyle w:val="VARIABLE"/>
        </w:rPr>
        <w:t xml:space="preserve">examples/05-native-node-model.jsonld</w:t>
      </w:r>
      <w:r>
        <w:t xml:space="preserve"> — the exceptional, schema-complete </w:t>
      </w:r>
      <w:r>
        <w:rPr>
          <w:rStyle w:val="VARIABLE"/>
        </w:rPr>
        <w:t xml:space="preserve">uav:nodes</w:t>
      </w:r>
      <w:r>
        <w:t xml:space="preserve"> projection with no opaque preservation envelope.</w:t>
      </w:r>
    </w:p>
    <w:p w14:paraId="70515431">
      <w:pPr>
        <w:pStyle w:val="ANNEXtitle"/>
        <w:pageBreakBefore/>
      </w:pPr>
      <w:bookmarkStart w:id="538" w:name="_Annex_cC"/>
      <w:r>
        <w:t xml:space="preserve">(informative)</w:t>
      </w:r>
      <w:r>
        <w:br/>
      </w:r>
      <w:r>
        <w:br/>
      </w:r>
      <w:r>
        <w:t xml:space="preserve">Validation</w:t>
      </w:r>
      <w:bookmarkEnd w:id="538"/>
    </w:p>
    <w:p w14:paraId="09E864DA">
      <w:pPr>
        <w:pStyle w:val="PARAGRAPH"/>
      </w:pPr>
      <w:r>
        <w:t xml:space="preserve">Run the deterministic, standard-library validator from the repository root:</w:t>
      </w:r>
    </w:p>
    <w:p w14:paraId="5D3001F6">
      <w:pPr>
        <w:pStyle w:val="CODE"/>
      </w:pPr>
      <w:r>
        <w:t xml:space="preserve">python wot-specs/WoT-Binding/tools/validate_local.py</w:t>
      </w:r>
    </w:p>
    <w:p w14:paraId="1A6BB266">
      <w:pPr>
        <w:pStyle w:val="PARAGRAPH"/>
      </w:pPr>
      <w:r>
        <w:t xml:space="preserve">It confirms that every artifact parses, that the context declares every documented </w:t>
      </w:r>
      <w:r>
        <w:rPr>
          <w:rStyle w:val="VARIABLE"/>
        </w:rPr>
        <w:t xml:space="preserve">uav</w:t>
      </w:r>
      <w:r>
        <w:t xml:space="preserve"> term, that each example declares the </w:t>
      </w:r>
      <w:r>
        <w:rPr>
          <w:rStyle w:val="VARIABLE"/>
        </w:rPr>
        <w:t xml:space="preserve">uav</w:t>
      </w:r>
      <w:r>
        <w:t xml:space="preserve"> context, that the native example carries </w:t>
      </w:r>
      <w:r>
        <w:rPr>
          <w:rStyle w:val="VARIABLE"/>
        </w:rPr>
        <w:t xml:space="preserve">uav:NodeModel</w:t>
      </w:r>
      <w:r>
        <w:t xml:space="preserve"> profile </w:t>
      </w:r>
      <w:r>
        <w:rPr>
          <w:rStyle w:val="VARIABLE"/>
        </w:rPr>
        <w:t xml:space="preserve">1.0</w:t>
      </w:r>
      <w:r>
        <w:t xml:space="preserve"> and no envelope, that each exceptional envelope's base64 and SHA-256 are valid and decode to a well-formed </w:t>
      </w:r>
      <w:r>
        <w:rPr>
          <w:rStyle w:val="VARIABLE"/>
        </w:rPr>
        <w:t xml:space="preserve">UANodeSet</w:t>
      </w:r>
      <w:r>
        <w:t xml:space="preserve">, that internal relative references resolve, that every NodeId-valued readable term in an example is a portable ExpandedNodeId and never the session-local </w:t>
      </w:r>
      <w:r>
        <w:rPr>
          <w:rStyle w:val="VARIABLE"/>
        </w:rPr>
        <w:t xml:space="preserve">ns=&lt;index&gt;</w:t>
      </w:r>
      <w:r>
        <w:t xml:space="preserve"> form (</w:t>
      </w:r>
      <w:r>
        <w:t xml:space="preserve">Section </w:t>
      </w:r>
      <w:r>
        <w:fldChar w:fldCharType="begin"/>
      </w:r>
      <w:r>
        <w:instrText xml:space="preserve"> REF _Clause_c6_2_1_1 \r \h </w:instrText>
      </w:r>
      <w:r>
        <w:fldChar w:fldCharType="separate"/>
      </w:r>
      <w:r>
        <w:rPr>
          <w:noProof/>
        </w:rPr>
        <w:t xml:space="preserve">6.2.1.1</w:t>
      </w:r>
      <w:r>
        <w:fldChar w:fldCharType="end"/>
      </w:r>
      <w:r>
        <w:t xml:space="preserve">), that </w:t>
      </w:r>
      <w:r>
        <w:rPr>
          <w:rStyle w:val="VARIABLE"/>
        </w:rPr>
        <w:t xml:space="preserve">@type: uav:eventType</w:t>
      </w:r>
      <w:r>
        <w:t xml:space="preserve"> is never paired with </w:t>
      </w:r>
      <w:r>
        <w:rPr>
          <w:rStyle w:val="VARIABLE"/>
        </w:rPr>
        <w:t xml:space="preserve">uav:isEvent: false</w:t>
      </w:r>
      <w:r>
        <w:t xml:space="preserve"> (</w:t>
      </w:r>
      <w:r>
        <w:t xml:space="preserve">Section </w:t>
      </w:r>
      <w:r>
        <w:fldChar w:fldCharType="begin"/>
      </w:r>
      <w:r>
        <w:instrText xml:space="preserve"> REF _Clause_c6_2_2 \r \h </w:instrText>
      </w:r>
      <w:r>
        <w:fldChar w:fldCharType="separate"/>
      </w:r>
      <w:r>
        <w:rPr>
          <w:noProof/>
        </w:rPr>
        <w:t xml:space="preserve">6.2.2</w:t>
      </w:r>
      <w:r>
        <w:fldChar w:fldCharType="end"/>
      </w:r>
      <w:r>
        <w:t xml:space="preserve">), and that no forbidden vendor prefix, namespace, or legacy modelling-language name appears.</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121"/>
      <w:headerReference w:type="default" r:id="rId122"/>
      <w:footerReference w:type="even" r:id="rId123"/>
      <w:footerReference w:type="default" r:id="rId124"/>
      <w:headerReference w:type="first" r:id="rId125"/>
      <w:footerReference w:type="first" r:id="rId126"/>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4"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 w:id="242" w:author="Karl Deiretsbacher (OPC)" w:date="2020-05-13T11:45:00Z" w:initials="KD(">
    <w:p w14:paraId="4ECC59B1" w14:textId="1099A901" w:rsidR="00FA04C8" w:rsidRDefault="00FA04C8">
      <w:pPr>
        <w:pStyle w:val="CommentText"/>
      </w:pPr>
      <w:r>
        <w:rPr>
          <w:rStyle w:val="CommentReference"/>
        </w:rPr>
        <w:annotationRef/>
      </w:r>
    </w:p>
    <w:p w14:paraId="71F54CB3" w14:textId="7CB72A60" w:rsidR="00FA04C8" w:rsidRDefault="00FA04C8">
      <w:pPr>
        <w:pStyle w:val="CommentText"/>
      </w:pPr>
      <w:r>
        <w:t>The abbreviations are described in Table 3.</w:t>
      </w:r>
    </w:p>
  </w:comment>
  <w:comment w:id="422" w:author="Deiretsbacher, Karl-Heinz" w:date="2017-10-11T11:35:00Z" w:initials="DK">
    <w:p w14:paraId="4441B588" w14:textId="77777777" w:rsidR="00FA04C8" w:rsidRDefault="00FA04C8" w:rsidP="00A15705">
      <w:pPr>
        <w:pStyle w:val="CommentText"/>
      </w:pPr>
      <w:r>
        <w:rPr>
          <w:rStyle w:val="CommentReference"/>
        </w:rPr>
        <w:annotationRef/>
      </w:r>
    </w:p>
    <w:p w14:paraId="27DDF414" w14:textId="77777777" w:rsidR="00FA04C8" w:rsidRDefault="00FA04C8" w:rsidP="00A15705">
      <w:pPr>
        <w:pStyle w:val="CommentText"/>
      </w:pPr>
      <w:r>
        <w:t>This row is an example where an additional companion standard (DI) is needed.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Ex w15:paraId="71F54CB3" w15:done="0"/>
  <w15:commentEx w15:paraId="27DDF41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Extensible w16cex:durableId="2343F9FA" w16cex:dateUtc="2020-05-13T09:45:00Z"/>
  <w16cex:commentExtensible w16cex:durableId="225A9E7C" w16cex:dateUtc="2017-10-11T09: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Id w16cid:paraId="71F54CB3" w16cid:durableId="2343F9FA"/>
  <w16cid:commentId w16cid:paraId="27DDF414" w16cid:durableId="225A9E7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D27294" w14:textId="77777777" w:rsidR="008668B2" w:rsidRDefault="008668B2">
      <w:r>
        <w:separator/>
      </w:r>
    </w:p>
  </w:endnote>
  <w:endnote w:type="continuationSeparator" w:id="0">
    <w:p w14:paraId="10900F8F" w14:textId="77777777" w:rsidR="008668B2" w:rsidRDefault="008668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20B0704020202020204"/>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AD6340" w14:textId="77777777" w:rsidR="008668B2" w:rsidRDefault="008668B2">
      <w:pPr>
        <w:pStyle w:val="NOTE"/>
        <w:spacing w:after="0"/>
        <w:rPr>
          <w:spacing w:val="0"/>
        </w:rPr>
      </w:pPr>
      <w:r>
        <w:t>—————————</w:t>
      </w:r>
    </w:p>
  </w:footnote>
  <w:footnote w:type="continuationSeparator" w:id="0">
    <w:p w14:paraId="38A98453" w14:textId="77777777" w:rsidR="008668B2" w:rsidRDefault="008668B2">
      <w:r>
        <w:continuationSeparator/>
      </w:r>
    </w:p>
  </w:footnote>
  <w:footnote w:type="continuationNotice" w:id="1">
    <w:p w14:paraId="53D36A4C" w14:textId="77777777" w:rsidR="008668B2" w:rsidRDefault="008668B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77777777" w:rsidR="00FA04C8" w:rsidRDefault="00FA04C8" w:rsidP="00B419D5">
    <w:pPr>
      <w:pStyle w:val="Header"/>
      <w:tabs>
        <w:tab w:val="clear" w:pos="9072"/>
        <w:tab w:val="left" w:pos="5182"/>
        <w:tab w:val="right" w:pos="9630"/>
      </w:tabs>
    </w:pPr>
    <w:fldSimple w:instr=" DOCPROPERTY  HeaderLeft  \* MERGEFORMAT ">
      <w:r>
        <w:t>OPC nnnnn-m: &lt;Part name&gt;</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t>Draft 1.x</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77777777" w:rsidR="00FA04C8" w:rsidRDefault="00FA04C8">
    <w:pPr>
      <w:pStyle w:val="Header"/>
    </w:pPr>
    <w:fldSimple w:instr=" DOCPROPERTY  HeaderLeft  \* MERGEFORMAT ">
      <w:r>
        <w:t>OPC nnnnn-m: &lt;Part name&gt;</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t>Draft 1.x</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721C5DAE" w:rsidR="00FA04C8" w:rsidRDefault="00FA04C8" w:rsidP="00A15705">
    <w:pPr>
      <w:pStyle w:val="Header"/>
      <w:tabs>
        <w:tab w:val="clear" w:pos="9072"/>
        <w:tab w:val="left" w:pos="5182"/>
        <w:tab w:val="right" w:pos="9630"/>
      </w:tabs>
    </w:pPr>
    <w:fldSimple w:instr=" DOCPROPERTY  HeaderRight  \* MERGEFORMAT ">
      <w:r>
        <w:t>Draft 1.x</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t>OPC nnnnn-m: &lt;Part name&gt;</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77777777" w:rsidR="00FA04C8" w:rsidRDefault="00FA04C8" w:rsidP="00A15705">
    <w:pPr>
      <w:pStyle w:val="Header"/>
      <w:tabs>
        <w:tab w:val="clear" w:pos="9072"/>
        <w:tab w:val="left" w:pos="5182"/>
        <w:tab w:val="right" w:pos="9630"/>
      </w:tabs>
    </w:pPr>
    <w:fldSimple w:instr=" DOCPROPERTY  HeaderLeft  \* MERGEFORMAT ">
      <w:r>
        <w:t>OPC nnnnn-m: &lt;Part name&gt;</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t>Draft 1.x</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rson w15:author="Karl Deiretsbacher (OPC)">
    <w15:presenceInfo w15:providerId="None" w15:userId="Karl Deiretsbacher (OPC)"/>
  </w15:person>
  <w15:person w15:author="Deiretsbacher, Karl-Heinz">
    <w15:presenceInfo w15:providerId="None" w15:userId="Deiretsbacher, Karl-Heinz"/>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98"/>
  <w:doNotDisplayPageBoundaries/>
  <w:embedSystemFonts/>
  <w:activeWritingStyle w:appName="MSWord" w:lang="en-GB" w:vendorID="8" w:dllVersion="513" w:checkStyle="1"/>
  <w:activeWritingStyle w:appName="MSWord" w:lang="fr-FR" w:vendorID="9" w:dllVersion="512" w:checkStyle="1"/>
  <w:activeWritingStyle w:appName="MSWord" w:lang="en-US" w:vendorID="8" w:dllVersion="513" w:checkStyle="1"/>
  <w:proofState w:spelling="clean" w:grammar="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semiHidden/>
    <w:pPr>
      <w:tabs>
        <w:tab w:val="left" w:pos="2608"/>
      </w:tabs>
      <w:ind w:left="2608" w:hanging="907"/>
    </w:pPr>
  </w:style>
  <w:style w:type="paragraph" w:styleId="TOC5">
    <w:name w:val="toc 5"/>
    <w:basedOn w:val="TOC4"/>
    <w:semiHidden/>
    <w:pPr>
      <w:tabs>
        <w:tab w:val="clear" w:pos="2608"/>
        <w:tab w:val="left" w:pos="3686"/>
      </w:tabs>
      <w:ind w:left="3685" w:hanging="1077"/>
    </w:pPr>
  </w:style>
  <w:style w:type="paragraph" w:styleId="TOC6">
    <w:name w:val="toc 6"/>
    <w:basedOn w:val="TOC5"/>
    <w:semiHidden/>
    <w:pPr>
      <w:tabs>
        <w:tab w:val="clear" w:pos="3686"/>
        <w:tab w:val="left" w:pos="4933"/>
      </w:tabs>
      <w:ind w:left="4933" w:hanging="1247"/>
    </w:pPr>
  </w:style>
  <w:style w:type="paragraph" w:styleId="TOC7">
    <w:name w:val="toc 7"/>
    <w:basedOn w:val="TOC1"/>
    <w:semiHidden/>
    <w:pPr>
      <w:tabs>
        <w:tab w:val="right" w:pos="9070"/>
      </w:tabs>
    </w:pPr>
  </w:style>
  <w:style w:type="paragraph" w:styleId="TOC8">
    <w:name w:val="toc 8"/>
    <w:basedOn w:val="TOC1"/>
    <w:semiHidden/>
    <w:pPr>
      <w:ind w:left="720" w:hanging="720"/>
    </w:pPr>
  </w:style>
  <w:style w:type="paragraph" w:styleId="TOC9">
    <w:name w:val="toc 9"/>
    <w:basedOn w:val="TOC1"/>
    <w:semiHidden/>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opcfoundation.org/UA/%3cshort"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openxmlformats.org/officeDocument/2006/relationships/hyperlink" Target="http://www.opcfoundation.org/documents/10000-7/" TargetMode="External"/><Relationship Id="rId68" Type="http://schemas.openxmlformats.org/officeDocument/2006/relationships/hyperlink" Target="http://www.opcfoundation.org/documents/10000-12/" TargetMode="External"/><Relationship Id="rId84" Type="http://schemas.openxmlformats.org/officeDocument/2006/relationships/oleObject" Target="embeddings/oleObject1.bin"/><Relationship Id="rId89" Type="http://schemas.openxmlformats.org/officeDocument/2006/relationships/oleObject" Target="embeddings/Microsoft_Visio_2003-2010_Drawing.vsd"/><Relationship Id="rId112" Type="http://schemas.openxmlformats.org/officeDocument/2006/relationships/package" Target="embeddings/Microsoft_Visio_Drawing.vsdx"/><Relationship Id="rId16" Type="http://schemas.openxmlformats.org/officeDocument/2006/relationships/hyperlink" Target="https://apps.opcfoundation.org/mantis/view.php?id=5904" TargetMode="External"/><Relationship Id="rId107" Type="http://schemas.openxmlformats.org/officeDocument/2006/relationships/image" Target="media/image11.emf"/><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hyperlink" Target="http://www.opcfoundation.org/documents/10000-2/" TargetMode="External"/><Relationship Id="rId74" Type="http://schemas.openxmlformats.org/officeDocument/2006/relationships/hyperlink" Target="http://www.opcfoundation.org/documents/10000-18/" TargetMode="External"/><Relationship Id="rId79" Type="http://schemas.openxmlformats.org/officeDocument/2006/relationships/hyperlink" Target="http://www.opcfoundation.org/documents/10000-110/" TargetMode="External"/><Relationship Id="rId102" Type="http://schemas.openxmlformats.org/officeDocument/2006/relationships/oleObject" Target="embeddings/oleObject4.bin"/><Relationship Id="rId123" Type="http://schemas.openxmlformats.org/officeDocument/2006/relationships/footer" Target="footer2.xml"/><Relationship Id="rId128" Type="http://schemas.microsoft.com/office/2011/relationships/people" Target="people.xml"/><Relationship Id="rId5" Type="http://schemas.openxmlformats.org/officeDocument/2006/relationships/footnotes" Target="footnotes.xml"/><Relationship Id="rId90" Type="http://schemas.openxmlformats.org/officeDocument/2006/relationships/image" Target="media/image5.emf"/><Relationship Id="rId95" Type="http://schemas.openxmlformats.org/officeDocument/2006/relationships/image" Target="media/image7.emf"/><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64" Type="http://schemas.openxmlformats.org/officeDocument/2006/relationships/hyperlink" Target="http://www.opcfoundation.org/documents/10000-8/" TargetMode="External"/><Relationship Id="rId69" Type="http://schemas.openxmlformats.org/officeDocument/2006/relationships/hyperlink" Target="http://www.opcfoundation.org/documents/10000-13/" TargetMode="External"/><Relationship Id="rId113" Type="http://schemas.openxmlformats.org/officeDocument/2006/relationships/hyperlink" Target="https://profiles.opcfoundation.org/?%3cname%20of%20profile%20group%3e/" TargetMode="External"/><Relationship Id="rId118" Type="http://schemas.openxmlformats.org/officeDocument/2006/relationships/hyperlink" Target="http://opcfoundation.org/UA/%3cshort" TargetMode="External"/><Relationship Id="rId80" Type="http://schemas.openxmlformats.org/officeDocument/2006/relationships/hyperlink" Target="http://www.opcfoundation.org/documents/10000-200/" TargetMode="External"/><Relationship Id="rId85" Type="http://schemas.openxmlformats.org/officeDocument/2006/relationships/image" Target="media/image3.emf"/><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59" Type="http://schemas.openxmlformats.org/officeDocument/2006/relationships/hyperlink" Target="http://www.opcfoundation.org/documents/10000-3/" TargetMode="External"/><Relationship Id="rId103" Type="http://schemas.openxmlformats.org/officeDocument/2006/relationships/image" Target="media/image9.emf"/><Relationship Id="rId108" Type="http://schemas.openxmlformats.org/officeDocument/2006/relationships/oleObject" Target="embeddings/oleObject7.bin"/><Relationship Id="rId124" Type="http://schemas.openxmlformats.org/officeDocument/2006/relationships/footer" Target="footer3.xml"/><Relationship Id="rId129" Type="http://schemas.openxmlformats.org/officeDocument/2006/relationships/theme" Target="theme/theme1.xml"/><Relationship Id="rId54" Type="http://schemas.openxmlformats.org/officeDocument/2006/relationships/header" Target="header2.xml"/><Relationship Id="rId70" Type="http://schemas.openxmlformats.org/officeDocument/2006/relationships/hyperlink" Target="http://www.opcfoundation.org/documents/10000-14/" TargetMode="External"/><Relationship Id="rId75" Type="http://schemas.openxmlformats.org/officeDocument/2006/relationships/hyperlink" Target="http://www.opcfoundation.org/documents/10000-19/" TargetMode="External"/><Relationship Id="rId91" Type="http://schemas.openxmlformats.org/officeDocument/2006/relationships/oleObject" Target="embeddings/Microsoft_Visio_2003-2010_Drawing1.vsd"/><Relationship Id="rId96" Type="http://schemas.openxmlformats.org/officeDocument/2006/relationships/oleObject" Target="embeddings/oleObject3.bin"/><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49" Type="http://schemas.openxmlformats.org/officeDocument/2006/relationships/hyperlink" Target="https://mantis.opcfoundation.org/set_project.php?project_id=%3cnnn%3e&amp;make_default=no" TargetMode="External"/><Relationship Id="rId114" Type="http://schemas.openxmlformats.org/officeDocument/2006/relationships/hyperlink" Target="https://profiles.opcfoundation.org/?pg=IA-GM%201.0x" TargetMode="External"/><Relationship Id="rId119" Type="http://schemas.openxmlformats.org/officeDocument/2006/relationships/hyperlink" Target="https://reference.opcfoundation.org/nodesets?u=%3cNamespaceUri%3e" TargetMode="External"/><Relationship Id="rId44" Type="http://schemas.openxmlformats.org/officeDocument/2006/relationships/image" Target="media/image1.png"/><Relationship Id="rId60" Type="http://schemas.openxmlformats.org/officeDocument/2006/relationships/hyperlink" Target="http://www.opcfoundation.org/documents/10000-4/" TargetMode="External"/><Relationship Id="rId65" Type="http://schemas.openxmlformats.org/officeDocument/2006/relationships/hyperlink" Target="http://www.opcfoundation.org/documents/10000-9/" TargetMode="External"/><Relationship Id="rId81" Type="http://schemas.openxmlformats.org/officeDocument/2006/relationships/hyperlink" Target="http://www.opcfoundation.org/documents/40001-1/" TargetMode="External"/><Relationship Id="rId86" Type="http://schemas.openxmlformats.org/officeDocument/2006/relationships/oleObject" Target="embeddings/oleObject2.bin"/><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109" Type="http://schemas.openxmlformats.org/officeDocument/2006/relationships/image" Target="media/image12.emf"/><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hyperlink" Target="http://www.opcfoundation.org/documents/10000-20/" TargetMode="External"/><Relationship Id="rId97" Type="http://schemas.openxmlformats.org/officeDocument/2006/relationships/comments" Target="comments.xml"/><Relationship Id="rId104" Type="http://schemas.openxmlformats.org/officeDocument/2006/relationships/oleObject" Target="embeddings/oleObject5.bin"/><Relationship Id="rId120" Type="http://schemas.openxmlformats.org/officeDocument/2006/relationships/hyperlink" Target="https://reference.opcfoundation.org/nodesets?u=%3cNamespaceUri%3e" TargetMode="External"/><Relationship Id="rId125" Type="http://schemas.openxmlformats.org/officeDocument/2006/relationships/header" Target="header6.xml"/><Relationship Id="rId7" Type="http://schemas.openxmlformats.org/officeDocument/2006/relationships/header" Target="header1.xml"/><Relationship Id="rId71" Type="http://schemas.openxmlformats.org/officeDocument/2006/relationships/hyperlink" Target="http://www.opcfoundation.org/documents/10000-15/" TargetMode="External"/><Relationship Id="rId92" Type="http://schemas.openxmlformats.org/officeDocument/2006/relationships/hyperlink" Target="https://reference.opcfoundation.org/Machinery/Jobs/v100/docs/7.2" TargetMode="External"/><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hyperlink" Target="http://www.opcfoundation.org/documents/10000-10/" TargetMode="External"/><Relationship Id="rId87" Type="http://schemas.openxmlformats.org/officeDocument/2006/relationships/hyperlink" Target="https://mantis.opcfoundation.org/view.php?id=6650" TargetMode="External"/><Relationship Id="rId110" Type="http://schemas.openxmlformats.org/officeDocument/2006/relationships/oleObject" Target="embeddings/oleObject8.bin"/><Relationship Id="rId115" Type="http://schemas.openxmlformats.org/officeDocument/2006/relationships/hyperlink" Target="https://profiles.opcfoundation.org/?pg=Machinery%201.x" TargetMode="External"/><Relationship Id="rId61" Type="http://schemas.openxmlformats.org/officeDocument/2006/relationships/hyperlink" Target="http://www.opcfoundation.org/documents/10000-5/" TargetMode="External"/><Relationship Id="rId82" Type="http://schemas.openxmlformats.org/officeDocument/2006/relationships/hyperlink" Target="http://www.opcfoundation.org/documents/10031-4/" TargetMode="Externa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56" Type="http://schemas.openxmlformats.org/officeDocument/2006/relationships/footer" Target="footer1.xml"/><Relationship Id="rId77" Type="http://schemas.openxmlformats.org/officeDocument/2006/relationships/hyperlink" Target="http://www.opcfoundation.org/documents/10000-22/" TargetMode="External"/><Relationship Id="rId100" Type="http://schemas.microsoft.com/office/2018/08/relationships/commentsExtensible" Target="commentsExtensible.xml"/><Relationship Id="rId105" Type="http://schemas.openxmlformats.org/officeDocument/2006/relationships/image" Target="media/image10.emf"/><Relationship Id="rId126" Type="http://schemas.openxmlformats.org/officeDocument/2006/relationships/footer" Target="footer4.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hyperlink" Target="http://www.opcfoundation.org/documents/10000-16/" TargetMode="External"/><Relationship Id="rId93" Type="http://schemas.openxmlformats.org/officeDocument/2006/relationships/image" Target="media/image6.emf"/><Relationship Id="rId98" Type="http://schemas.microsoft.com/office/2011/relationships/commentsExtended" Target="commentsExtended.xml"/><Relationship Id="rId121" Type="http://schemas.openxmlformats.org/officeDocument/2006/relationships/header" Target="header4.xml"/><Relationship Id="rId3" Type="http://schemas.openxmlformats.org/officeDocument/2006/relationships/settings" Target="settings.xml"/><Relationship Id="rId25" Type="http://schemas.openxmlformats.org/officeDocument/2006/relationships/hyperlink" Target="https://apps.opcfoundation.org/mantis/view.php?id=6265" TargetMode="External"/><Relationship Id="rId46" Type="http://schemas.openxmlformats.org/officeDocument/2006/relationships/hyperlink" Target="https://opcfoundation.org/" TargetMode="External"/><Relationship Id="rId67" Type="http://schemas.openxmlformats.org/officeDocument/2006/relationships/hyperlink" Target="http://www.opcfoundation.org/documents/10000-11/" TargetMode="External"/><Relationship Id="rId116" Type="http://schemas.openxmlformats.org/officeDocument/2006/relationships/hyperlink" Target="https://profiles.opcfoundation.org/?pg=DI%201.04" TargetMode="External"/><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62" Type="http://schemas.openxmlformats.org/officeDocument/2006/relationships/hyperlink" Target="http://www.opcfoundation.org/documents/10000-6/" TargetMode="External"/><Relationship Id="rId83" Type="http://schemas.openxmlformats.org/officeDocument/2006/relationships/image" Target="media/image2.emf"/><Relationship Id="rId88" Type="http://schemas.openxmlformats.org/officeDocument/2006/relationships/image" Target="media/image4.emf"/><Relationship Id="rId111" Type="http://schemas.openxmlformats.org/officeDocument/2006/relationships/image" Target="media/image13.emf"/><Relationship Id="rId15" Type="http://schemas.openxmlformats.org/officeDocument/2006/relationships/hyperlink" Target="https://apps.opcfoundation.org/mantis/view.php?id=5789" TargetMode="External"/><Relationship Id="rId36" Type="http://schemas.openxmlformats.org/officeDocument/2006/relationships/hyperlink" Target="https://apps.opcfoundation.org/mantis/view.php?id=9170" TargetMode="External"/><Relationship Id="rId57" Type="http://schemas.openxmlformats.org/officeDocument/2006/relationships/hyperlink" Target="http://www.opcfoundation.org/documents/10000-1/" TargetMode="External"/><Relationship Id="rId106" Type="http://schemas.openxmlformats.org/officeDocument/2006/relationships/oleObject" Target="embeddings/oleObject6.bin"/><Relationship Id="rId127" Type="http://schemas.openxmlformats.org/officeDocument/2006/relationships/fontTable" Target="fontTable.xml"/><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52" Type="http://schemas.openxmlformats.org/officeDocument/2006/relationships/hyperlink" Target="http://opcfoundation-onlineapplications.org/mantis/view.php?id=3165" TargetMode="External"/><Relationship Id="rId73" Type="http://schemas.openxmlformats.org/officeDocument/2006/relationships/hyperlink" Target="http://www.opcfoundation.org/documents/10000-17/" TargetMode="External"/><Relationship Id="rId78" Type="http://schemas.openxmlformats.org/officeDocument/2006/relationships/hyperlink" Target="http://www.opcfoundation.org/documents/10000-100/" TargetMode="External"/><Relationship Id="rId94" Type="http://schemas.openxmlformats.org/officeDocument/2006/relationships/package" Target="embeddings/Microsoft_PowerPoint_Slide.sldx"/><Relationship Id="rId99" Type="http://schemas.microsoft.com/office/2016/09/relationships/commentsIds" Target="commentsIds.xml"/><Relationship Id="rId101" Type="http://schemas.openxmlformats.org/officeDocument/2006/relationships/image" Target="media/image8.emf"/><Relationship Id="rId122" Type="http://schemas.openxmlformats.org/officeDocument/2006/relationships/header" Target="header5.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26" Type="http://schemas.openxmlformats.org/officeDocument/2006/relationships/hyperlink" Target="https://apps.opcfoundation.org/mantis/view.php?id=7265" TargetMode="External"/><Relationship Id="rId130" Type="http://schemas.openxmlformats.org/officeDocument/2006/relationships/image" Target="media/openusd_figure1.png"/><Relationship Id="rId131" Type="http://schemas.openxmlformats.org/officeDocument/2006/relationships/package" Target="embeddings/openusd_figure1.pptx"/></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iecstd.dot</Template>
  <TotalTime>1140</TotalTime>
  <Pages>46</Pages>
  <Words>14157</Words>
  <Characters>80697</Characters>
  <Application>Microsoft Office Word</Application>
  <DocSecurity>0</DocSecurity>
  <Lines>672</Lines>
  <Paragraphs>189</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94665</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WoT Binding</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Karl-Heinz Deiretsbacher</cp:lastModifiedBy>
  <cp:revision>28</cp:revision>
  <cp:lastPrinted>2013-06-21T13:51:00Z</cp:lastPrinted>
  <dcterms:created xsi:type="dcterms:W3CDTF">2023-10-11T08:21:00Z</dcterms:created>
  <dcterms:modified xsi:type="dcterms:W3CDTF">2025-01-20T16:43:00Z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1.10.0</vt:lpwstr>
  </property>
  <property fmtid="{D5CDD505-2E9C-101B-9397-08002B2CF9AE}" pid="3" name="Published">
    <vt:lpwstr>2026-07</vt:lpwstr>
  </property>
  <property fmtid="{D5CDD505-2E9C-101B-9397-08002B2CF9AE}" pid="4" name="OPCVersion">
    <vt:lpwstr>1.10.0</vt:lpwstr>
  </property>
  <property fmtid="{D5CDD505-2E9C-101B-9397-08002B2CF9AE}" pid="5" name="OPCReleaseType">
    <vt:lpwstr>Draft</vt:lpwstr>
  </property>
  <property fmtid="{D5CDD505-2E9C-101B-9397-08002B2CF9AE}" pid="6" name="Part Name">
    <vt:lpwstr>WoT Binding</vt:lpwstr>
  </property>
  <property fmtid="{D5CDD505-2E9C-101B-9397-08002B2CF9AE}" pid="7" name="Part Number">
    <vt:lpwstr>Part 1</vt:lpwstr>
  </property>
  <property fmtid="{D5CDD505-2E9C-101B-9397-08002B2CF9AE}" pid="8" name="HeaderLeft">
    <vt:lpwstr>OPC nnnnn-m: WoT Binding</vt:lpwstr>
  </property>
  <property fmtid="{D5CDD505-2E9C-101B-9397-08002B2CF9AE}" pid="9" name="DocNumber">
    <vt:lpwstr>OPC nnnnn-m</vt:lpwstr>
  </property>
  <property fmtid="{D5CDD505-2E9C-101B-9397-08002B2CF9AE}" pid="10" name="HeaderRight">
    <vt:lpwstr>Draft 1.10.0</vt:lpwstr>
  </property>
  <property fmtid="{D5CDD505-2E9C-101B-9397-08002B2CF9AE}" pid="11" name="TemplateVersion">
    <vt:lpwstr>1.01.19</vt:lpwstr>
  </property>
  <property fmtid="{D5CDD505-2E9C-101B-9397-08002B2CF9AE}" pid="12" name="Date completed">
    <vt:lpwstr>2026-07-29</vt:lpwstr>
  </property>
  <property fmtid="{D5CDD505-2E9C-101B-9397-08002B2CF9AE}" pid="13" name="SpecId">
    <vt:lpwstr>wot-binding</vt:lpwstr>
  </property>
  <property fmtid="{D5CDD505-2E9C-101B-9397-08002B2CF9AE}" pid="14" name="SourceCommit">
    <vt:lpwstr>beeaf348ffeb8e67387dc5c60ca427ba7bea1973</vt:lpwstr>
  </property>
  <property fmtid="{D5CDD505-2E9C-101B-9397-08002B2CF9AE}" pid="15" name="SourceDigest">
    <vt:lpwstr>229015e0ea90b0ff</vt:lpwstr>
  </property>
  <property fmtid="{D5CDD505-2E9C-101B-9397-08002B2CF9AE}" pid="16" name="PipelineVersion">
    <vt:lpwstr>2</vt:lpwstr>
  </property>
</Properties>
</file>