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pacing w:val="20"/>
          <w:sz w:val="40"/>
          <w:szCs w:val="40"/>
        </w:rPr>
        <w:t xml:space="preserve">MARC LEBRETON</w:t>
      </w:r>
    </w:p>
    <w:p>
      <w:pPr>
        <w:spacing w:after="40"/>
      </w:pPr>
      <w:r>
        <w:rPr>
          <w:color w:val="555555"/>
          <w:sz w:val="21"/>
          <w:szCs w:val="21"/>
        </w:rPr>
        <w:t xml:space="preserve">Go-to-Market &amp; Commercial Strategy — Brazil and Latin America</w:t>
      </w:r>
    </w:p>
    <w:p>
      <w:pPr>
        <w:spacing w:after="30"/>
      </w:pPr>
      <w:r>
        <w:rPr>
          <w:color w:val="555555"/>
          <w:sz w:val="19"/>
          <w:szCs w:val="19"/>
        </w:rPr>
        <w:t xml:space="preserve">São Paulo, Brazil  ·  write2marc@gmail.com  ·  </w:t>
      </w:r>
      <w:r>
        <w:rPr>
          <w:b/>
          <w:bCs/>
          <w:color w:val="C00000"/>
        </w:rPr>
        <w:t xml:space="preserve">[phone]</w:t>
      </w:r>
      <w:r>
        <w:rPr>
          <w:color w:val="555555"/>
          <w:sz w:val="19"/>
          <w:szCs w:val="19"/>
        </w:rPr>
        <w:t xml:space="preserve">  ·  </w:t>
      </w:r>
      <w:r>
        <w:rPr>
          <w:b/>
          <w:bCs/>
          <w:color w:val="C00000"/>
        </w:rPr>
        <w:t xml:space="preserve">[LinkedIn]</w:t>
      </w:r>
    </w:p>
    <w:p>
      <w:pPr>
        <w:pBdr>
          <w:bottom w:val="single" w:color="1A1A1A" w:sz="10" w:space="6"/>
        </w:pBdr>
        <w:spacing w:after="60"/>
      </w:pPr>
      <w:r>
        <w:rPr>
          <w:color w:val="1A1A1A"/>
          <w:sz w:val="19"/>
          <w:szCs w:val="19"/>
        </w:rPr>
        <w:t xml:space="preserve">Portuguese (fluent)  ·  English (fluent)  ·  Spanish (fluent)</w:t>
      </w:r>
      <w:r>
        <w:rPr>
          <w:color w:val="555555"/>
          <w:sz w:val="19"/>
          <w:szCs w:val="19"/>
        </w:rPr>
        <w:t xml:space="preserve">  ·  São Paulo based, available on site</w:t>
      </w:r>
    </w:p>
    <w:p>
      <w:pPr>
        <w:pBdr>
          <w:bottom w:val="single" w:color="999999" w:sz="6" w:space="4"/>
        </w:pBdr>
        <w:spacing w:after="105" w:before="250"/>
      </w:pPr>
      <w:r>
        <w:rPr>
          <w:b/>
          <w:bCs/>
          <w:caps/>
          <w:color w:val="1A1A1A"/>
          <w:spacing w:val="30"/>
          <w:sz w:val="21"/>
          <w:szCs w:val="21"/>
        </w:rPr>
        <w:t xml:space="preserve">Profile</w:t>
      </w:r>
    </w:p>
    <w:p>
      <w:pPr>
        <w:spacing w:after="90"/>
      </w:pPr>
      <w:r>
        <w:rPr>
          <w:color w:val="1A1A1A"/>
        </w:rPr>
        <w:t xml:space="preserve">Go-to-market and commercial strategy leader who has taken a global technology product into Brazil and Latin America from a standing start. Built and ran the market-entry plan that grew Crypto.com's LATAM business from zero to </w:t>
      </w:r>
      <w:r>
        <w:rPr>
          <w:b/>
          <w:bCs/>
          <w:color w:val="1A1A1A"/>
        </w:rPr>
        <w:t xml:space="preserve">6M+ users and the #1 app position in the region</w:t>
      </w:r>
      <w:r>
        <w:rPr>
          <w:color w:val="1A1A1A"/>
        </w:rPr>
        <w:t xml:space="preserve">, orchestrating across marketing, product, partnerships and operations inside a matrixed global organisation. Owns regional business planning, performance frameworks and field enablement end to end, and turns market, competitive and customer insight into prioritised, measurable action. Based in São Paulo, with deep working knowledge of the Brazilian market and an established local network across the technology, fintech and partner ecosystem.</w:t>
      </w:r>
    </w:p>
    <w:p>
      <w:pPr>
        <w:pBdr>
          <w:bottom w:val="single" w:color="999999" w:sz="6" w:space="4"/>
        </w:pBdr>
        <w:spacing w:after="105" w:before="250"/>
      </w:pPr>
      <w:r>
        <w:rPr>
          <w:b/>
          <w:bCs/>
          <w:caps/>
          <w:color w:val="1A1A1A"/>
          <w:spacing w:val="30"/>
          <w:sz w:val="21"/>
          <w:szCs w:val="21"/>
        </w:rPr>
        <w:t xml:space="preserve">Selected Outcomes</w:t>
      </w:r>
    </w:p>
    <w:p>
      <w:pPr>
        <w:pStyle w:val="ListParagraph"/>
        <w:numPr>
          <w:ilvl w:val="0"/>
          <w:numId w:val="2"/>
        </w:numPr>
        <w:spacing w:after="55"/>
      </w:pPr>
      <w:r>
        <w:rPr>
          <w:b/>
          <w:bCs/>
          <w:color w:val="1A1A1A"/>
        </w:rPr>
        <w:t xml:space="preserve">0 → 6,000,000+ users</w:t>
      </w:r>
      <w:r>
        <w:rPr>
          <w:color w:val="1A1A1A"/>
        </w:rPr>
        <w:t xml:space="preserve"> and </w:t>
      </w:r>
      <w:r>
        <w:rPr>
          <w:b/>
          <w:bCs/>
          <w:color w:val="1A1A1A"/>
        </w:rPr>
        <w:t xml:space="preserve">#1 app in Latin America</w:t>
      </w:r>
      <w:r>
        <w:rPr>
          <w:color w:val="1A1A1A"/>
        </w:rPr>
        <w:t xml:space="preserve"> — owned the go-to-market plan for Crypto.com's regional market entry</w:t>
      </w:r>
    </w:p>
    <w:p>
      <w:pPr>
        <w:pStyle w:val="ListParagraph"/>
        <w:numPr>
          <w:ilvl w:val="0"/>
          <w:numId w:val="2"/>
        </w:numPr>
        <w:spacing w:after="55"/>
      </w:pPr>
      <w:r>
        <w:rPr>
          <w:b/>
          <w:bCs/>
          <w:color w:val="1A1A1A"/>
        </w:rPr>
        <w:t xml:space="preserve">0 → 130,000</w:t>
      </w:r>
      <w:r>
        <w:rPr>
          <w:color w:val="1A1A1A"/>
        </w:rPr>
        <w:t xml:space="preserve"> — built Sui Foundation's regional channel from a standing start</w:t>
      </w:r>
    </w:p>
    <w:p>
      <w:pPr>
        <w:pStyle w:val="ListParagraph"/>
        <w:numPr>
          <w:ilvl w:val="0"/>
          <w:numId w:val="2"/>
        </w:numPr>
        <w:spacing w:after="55"/>
      </w:pPr>
      <w:r>
        <w:rPr>
          <w:color w:val="1A1A1A"/>
        </w:rPr>
        <w:t xml:space="preserve">Owned regional market prioritisation, launch sequencing and local execution, aligning the local plan to global objectives</w:t>
      </w:r>
    </w:p>
    <w:p>
      <w:pPr>
        <w:pStyle w:val="ListParagraph"/>
        <w:numPr>
          <w:ilvl w:val="0"/>
          <w:numId w:val="2"/>
        </w:numPr>
        <w:spacing w:after="55"/>
      </w:pPr>
      <w:r>
        <w:rPr>
          <w:color w:val="1A1A1A"/>
        </w:rPr>
        <w:t xml:space="preserve">Built and ran the performance cadence for the region — KPI definition, reporting and business reviews — and used it to reallocate effort against results</w:t>
      </w:r>
    </w:p>
    <w:p>
      <w:pPr>
        <w:pStyle w:val="ListParagraph"/>
        <w:numPr>
          <w:ilvl w:val="0"/>
          <w:numId w:val="2"/>
        </w:numPr>
        <w:spacing w:after="55"/>
      </w:pPr>
      <w:r>
        <w:rPr>
          <w:color w:val="1A1A1A"/>
        </w:rPr>
        <w:t xml:space="preserve">Translated competitive, regulatory and customer insight in Latin America into prioritised recommendations that shaped the regional plan</w:t>
      </w:r>
    </w:p>
    <w:p>
      <w:pPr>
        <w:pBdr>
          <w:bottom w:val="single" w:color="999999" w:sz="6" w:space="4"/>
        </w:pBdr>
        <w:spacing w:after="105" w:before="250"/>
      </w:pPr>
      <w:r>
        <w:rPr>
          <w:b/>
          <w:bCs/>
          <w:caps/>
          <w:color w:val="1A1A1A"/>
          <w:spacing w:val="30"/>
          <w:sz w:val="21"/>
          <w:szCs w:val="21"/>
        </w:rPr>
        <w:t xml:space="preserve">Experience</w:t>
      </w:r>
    </w:p>
    <w:p>
      <w:pPr>
        <w:spacing w:after="20" w:before="165"/>
      </w:pPr>
      <w:r>
        <w:rPr>
          <w:b/>
          <w:bCs/>
          <w:color w:val="1A1A1A"/>
          <w:sz w:val="22"/>
          <w:szCs w:val="22"/>
        </w:rPr>
        <w:t xml:space="preserve">Sui Foundation</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Grew the regional channel from </w:t>
      </w:r>
      <w:r>
        <w:rPr>
          <w:b/>
          <w:bCs/>
          <w:color w:val="1A1A1A"/>
        </w:rPr>
        <w:t xml:space="preserve">0 to 130,000</w:t>
      </w:r>
      <w:r>
        <w:rPr>
          <w:color w:val="1A1A1A"/>
        </w:rPr>
        <w:t xml:space="preserve"> from a standing start</w:t>
      </w:r>
    </w:p>
    <w:p>
      <w:pPr>
        <w:pStyle w:val="ListParagraph"/>
        <w:numPr>
          <w:ilvl w:val="0"/>
          <w:numId w:val="2"/>
        </w:numPr>
        <w:spacing w:after="55"/>
      </w:pPr>
      <w:r>
        <w:rPr>
          <w:color w:val="1A1A1A"/>
        </w:rPr>
        <w:t xml:space="preserve">Orchestrated across product, marketing and partnerships to align the region behind a single growth plan</w:t>
      </w:r>
    </w:p>
    <w:p>
      <w:pPr>
        <w:pStyle w:val="ListParagraph"/>
        <w:numPr>
          <w:ilvl w:val="0"/>
          <w:numId w:val="2"/>
        </w:numPr>
        <w:spacing w:after="55"/>
      </w:pPr>
      <w:r>
        <w:rPr>
          <w:color w:val="1A1A1A"/>
        </w:rPr>
        <w:t xml:space="preserve">Produced market and competitive analysis for the region and translated it into prioritised action</w:t>
      </w:r>
    </w:p>
    <w:p>
      <w:pPr>
        <w:pStyle w:val="ListParagraph"/>
        <w:numPr>
          <w:ilvl w:val="0"/>
          <w:numId w:val="2"/>
        </w:numPr>
        <w:spacing w:after="55"/>
      </w:pPr>
      <w:r>
        <w:rPr>
          <w:color w:val="1A1A1A"/>
        </w:rPr>
        <w:t xml:space="preserve">Designed and ran partner and community enablement programmes, including the supporting materials</w:t>
      </w:r>
    </w:p>
    <w:p>
      <w:pPr>
        <w:spacing w:after="20" w:before="165"/>
      </w:pPr>
      <w:r>
        <w:rPr>
          <w:b/>
          <w:bCs/>
          <w:color w:val="1A1A1A"/>
          <w:sz w:val="22"/>
          <w:szCs w:val="22"/>
        </w:rPr>
        <w:t xml:space="preserve">Crypto.com</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color w:val="1A1A1A"/>
        </w:rPr>
        <w:t xml:space="preserve">Owned the Latin America go-to-market plan end to end — market prioritisation, segment strategy, launch sequencing and local execution — scaling the region from zero to </w:t>
      </w:r>
      <w:r>
        <w:rPr>
          <w:b/>
          <w:bCs/>
          <w:color w:val="1A1A1A"/>
        </w:rPr>
        <w:t xml:space="preserve">6M+ users</w:t>
      </w:r>
      <w:r>
        <w:rPr>
          <w:color w:val="1A1A1A"/>
        </w:rPr>
        <w:t xml:space="preserve"> and the </w:t>
      </w:r>
      <w:r>
        <w:rPr>
          <w:b/>
          <w:bCs/>
          <w:color w:val="1A1A1A"/>
        </w:rPr>
        <w:t xml:space="preserve">#1 app position</w:t>
      </w:r>
    </w:p>
    <w:p>
      <w:pPr>
        <w:pStyle w:val="ListParagraph"/>
        <w:numPr>
          <w:ilvl w:val="0"/>
          <w:numId w:val="2"/>
        </w:numPr>
        <w:spacing w:after="55"/>
      </w:pPr>
      <w:r>
        <w:rPr>
          <w:color w:val="1A1A1A"/>
        </w:rPr>
        <w:t xml:space="preserve">Built the regional business plan, aligned it to global objectives, and drove execution across marketing, product, partnerships and operations</w:t>
      </w:r>
    </w:p>
    <w:p>
      <w:pPr>
        <w:pStyle w:val="ListParagraph"/>
        <w:numPr>
          <w:ilvl w:val="0"/>
          <w:numId w:val="2"/>
        </w:numPr>
        <w:spacing w:after="55"/>
      </w:pPr>
      <w:r>
        <w:rPr>
          <w:color w:val="1A1A1A"/>
        </w:rPr>
        <w:t xml:space="preserve">Defined and ran the regional performance cadence: KPI frameworks, reporting and business reviews</w:t>
      </w:r>
    </w:p>
    <w:p>
      <w:pPr>
        <w:pStyle w:val="ListParagraph"/>
        <w:numPr>
          <w:ilvl w:val="0"/>
          <w:numId w:val="2"/>
        </w:numPr>
        <w:spacing w:after="55"/>
      </w:pPr>
      <w:r>
        <w:rPr>
          <w:color w:val="1A1A1A"/>
        </w:rPr>
        <w:t xml:space="preserve">Built field and partner enablement — positioning, materials and training — to support local execution at scale</w:t>
      </w:r>
    </w:p>
    <w:p>
      <w:pPr>
        <w:pStyle w:val="ListParagraph"/>
        <w:numPr>
          <w:ilvl w:val="0"/>
          <w:numId w:val="2"/>
        </w:numPr>
        <w:spacing w:after="55"/>
      </w:pPr>
      <w:r>
        <w:rPr>
          <w:color w:val="1A1A1A"/>
        </w:rPr>
        <w:t xml:space="preserve">Worked across a matrixed global organisation, influencing headquarters functions without direct authority</w:t>
      </w:r>
    </w:p>
    <w:p>
      <w:pPr>
        <w:pStyle w:val="ListParagraph"/>
        <w:numPr>
          <w:ilvl w:val="0"/>
          <w:numId w:val="2"/>
        </w:numPr>
        <w:spacing w:after="55"/>
      </w:pPr>
      <w:r>
        <w:rPr>
          <w:color w:val="1A1A1A"/>
        </w:rPr>
        <w:t xml:space="preserve">Represented the business externally in the Brazilian market</w:t>
      </w:r>
    </w:p>
    <w:p>
      <w:pPr>
        <w:spacing w:after="20" w:before="165"/>
      </w:pPr>
      <w:r>
        <w:rPr>
          <w:b/>
          <w:bCs/>
          <w:color w:val="C00000"/>
        </w:rPr>
        <w:t xml:space="preserve">[Company]</w:t>
      </w:r>
      <w:r>
        <w:rPr>
          <w:color w:val="1A1A1A"/>
        </w:rPr>
        <w:t xml:space="preserve"> — </w:t>
      </w:r>
      <w:r>
        <w:rPr>
          <w:b/>
          <w:bCs/>
          <w:color w:val="C00000"/>
        </w:rPr>
        <w:t xml:space="preserve">[job title]</w:t>
      </w:r>
    </w:p>
    <w:p>
      <w:pPr>
        <w:spacing w:after="70"/>
      </w:pPr>
      <w:r>
        <w:rPr>
          <w:b/>
          <w:bCs/>
          <w:color w:val="C00000"/>
        </w:rPr>
        <w:t xml:space="preserve">[city]</w:t>
      </w:r>
      <w:r>
        <w:rPr>
          <w:i/>
          <w:iCs/>
          <w:color w:val="555555"/>
          <w:sz w:val="19"/>
          <w:szCs w:val="19"/>
        </w:rPr>
        <w:t xml:space="preserve"> · </w:t>
      </w:r>
      <w:r>
        <w:rPr>
          <w:b/>
          <w:bCs/>
          <w:color w:val="C00000"/>
        </w:rPr>
        <w:t xml:space="preserve">[start]</w:t>
      </w:r>
      <w:r>
        <w:rPr>
          <w:i/>
          <w:iCs/>
          <w:color w:val="555555"/>
          <w:sz w:val="19"/>
          <w:szCs w:val="19"/>
        </w:rPr>
        <w:t xml:space="preserve"> – </w:t>
      </w:r>
      <w:r>
        <w:rPr>
          <w:b/>
          <w:bCs/>
          <w:color w:val="C00000"/>
        </w:rPr>
        <w:t xml:space="preserve">[end]</w:t>
      </w:r>
    </w:p>
    <w:p>
      <w:pPr>
        <w:pStyle w:val="ListParagraph"/>
        <w:numPr>
          <w:ilvl w:val="0"/>
          <w:numId w:val="2"/>
        </w:numPr>
        <w:spacing w:after="55"/>
      </w:pPr>
      <w:r>
        <w:rPr>
          <w:b/>
          <w:bCs/>
          <w:color w:val="C00000"/>
        </w:rPr>
        <w:t xml:space="preserve">[Achievement]</w:t>
      </w:r>
    </w:p>
    <w:p>
      <w:pPr>
        <w:pStyle w:val="ListParagraph"/>
        <w:numPr>
          <w:ilvl w:val="0"/>
          <w:numId w:val="2"/>
        </w:numPr>
        <w:spacing w:after="55"/>
      </w:pPr>
      <w:r>
        <w:rPr>
          <w:b/>
          <w:bCs/>
          <w:color w:val="C00000"/>
        </w:rPr>
        <w:t xml:space="preserve">[Achievement]</w:t>
      </w:r>
    </w:p>
    <w:p>
      <w:pPr>
        <w:pBdr>
          <w:bottom w:val="single" w:color="999999" w:sz="6" w:space="4"/>
        </w:pBdr>
        <w:spacing w:after="105" w:before="250"/>
      </w:pPr>
      <w:r>
        <w:rPr>
          <w:b/>
          <w:bCs/>
          <w:caps/>
          <w:color w:val="1A1A1A"/>
          <w:spacing w:val="30"/>
          <w:sz w:val="21"/>
          <w:szCs w:val="21"/>
        </w:rPr>
        <w:t xml:space="preserve">Capabilities</w:t>
      </w:r>
    </w:p>
    <w:p>
      <w:pPr>
        <w:spacing w:after="90"/>
      </w:pPr>
      <w:r>
        <w:rPr>
          <w:b/>
          <w:bCs/>
          <w:color w:val="1A1A1A"/>
        </w:rPr>
        <w:t xml:space="preserve">Business planning  </w:t>
      </w:r>
      <w:r>
        <w:rPr>
          <w:color w:val="1A1A1A"/>
        </w:rPr>
        <w:t xml:space="preserve">Regional business plans aligned to global objectives · market and segment prioritisation · turning strategy into measurable execution plans</w:t>
      </w:r>
    </w:p>
    <w:p>
      <w:pPr>
        <w:spacing w:after="90"/>
      </w:pPr>
      <w:r>
        <w:rPr>
          <w:b/>
          <w:bCs/>
          <w:color w:val="1A1A1A"/>
        </w:rPr>
        <w:t xml:space="preserve">Go-to-market  </w:t>
      </w:r>
      <w:r>
        <w:rPr>
          <w:color w:val="1A1A1A"/>
        </w:rPr>
        <w:t xml:space="preserve">Launch strategy and sequencing · solution and campaign plays · acquisition, expansion and adoption motions · partner and channel go-to-market</w:t>
      </w:r>
    </w:p>
    <w:p>
      <w:pPr>
        <w:spacing w:after="90"/>
      </w:pPr>
      <w:r>
        <w:rPr>
          <w:b/>
          <w:bCs/>
          <w:color w:val="1A1A1A"/>
        </w:rPr>
        <w:t xml:space="preserve">Business health  </w:t>
      </w:r>
      <w:r>
        <w:rPr>
          <w:color w:val="1A1A1A"/>
        </w:rPr>
        <w:t xml:space="preserve">KPI frameworks and scorecards · business reviews and reporting cadence · pipeline and funnel analysis · </w:t>
      </w:r>
      <w:r>
        <w:rPr>
          <w:b/>
          <w:bCs/>
          <w:color w:val="C00000"/>
        </w:rPr>
        <w:t xml:space="preserve">[analytics stack]</w:t>
      </w:r>
    </w:p>
    <w:p>
      <w:pPr>
        <w:spacing w:after="90"/>
      </w:pPr>
      <w:r>
        <w:rPr>
          <w:b/>
          <w:bCs/>
          <w:color w:val="1A1A1A"/>
        </w:rPr>
        <w:t xml:space="preserve">Cross-functional leadership  </w:t>
      </w:r>
      <w:r>
        <w:rPr>
          <w:color w:val="1A1A1A"/>
        </w:rPr>
        <w:t xml:space="preserve">Influencing without authority across marketing, product, engineering, finance and partners · matrixed global and regional organisations · executive-level communication</w:t>
      </w:r>
    </w:p>
    <w:p>
      <w:pPr>
        <w:spacing w:after="90"/>
      </w:pPr>
      <w:r>
        <w:rPr>
          <w:b/>
          <w:bCs/>
          <w:color w:val="1A1A1A"/>
        </w:rPr>
        <w:t xml:space="preserve">Market intelligence  </w:t>
      </w:r>
      <w:r>
        <w:rPr>
          <w:color w:val="1A1A1A"/>
        </w:rPr>
        <w:t xml:space="preserve">Competitive, regulatory and customer insight synthesised into prioritised recommendations · Brazilian market and regulatory landscape · Financial Services</w:t>
      </w:r>
    </w:p>
    <w:p>
      <w:pPr>
        <w:spacing w:after="90"/>
      </w:pPr>
      <w:r>
        <w:rPr>
          <w:b/>
          <w:bCs/>
          <w:color w:val="1A1A1A"/>
        </w:rPr>
        <w:t xml:space="preserve">AI  </w:t>
      </w:r>
      <w:r>
        <w:rPr>
          <w:color w:val="1A1A1A"/>
        </w:rPr>
        <w:t xml:space="preserve">Uses AI daily for market and competitive research, content and enablement production at scale, and data analysis</w:t>
      </w:r>
    </w:p>
    <w:p>
      <w:pPr>
        <w:pBdr>
          <w:bottom w:val="single" w:color="999999" w:sz="6" w:space="4"/>
        </w:pBdr>
        <w:spacing w:after="105" w:before="250"/>
      </w:pPr>
      <w:r>
        <w:rPr>
          <w:b/>
          <w:bCs/>
          <w:caps/>
          <w:color w:val="1A1A1A"/>
          <w:spacing w:val="30"/>
          <w:sz w:val="21"/>
          <w:szCs w:val="21"/>
        </w:rPr>
        <w:t xml:space="preserve">Education</w:t>
      </w:r>
    </w:p>
    <w:p>
      <w:pPr>
        <w:spacing w:after="90"/>
      </w:pPr>
      <w:r>
        <w:rPr>
          <w:b/>
          <w:bCs/>
          <w:color w:val="C00000"/>
        </w:rPr>
        <w:t xml:space="preserve">[Degree — institution — year]</w:t>
      </w:r>
    </w:p>
    <w:sectPr>
      <w:pgSz w:w="11906" w:h="16838" w:orient="portrait"/>
      <w:pgMar w:top="880" w:right="1000" w:bottom="8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pPr>
        <w:spacing w:line="26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 Lebreton — CV</dc:title>
  <dc:creator>Marc Lebreton</dc:creator>
  <dc:description>Microsoft Senior Go-to-Market Manager, AI Business Solutions, Brazil</dc:description>
  <cp:lastModifiedBy>Un-named</cp:lastModifiedBy>
  <cp:revision>1</cp:revision>
  <dcterms:created xsi:type="dcterms:W3CDTF">2026-08-10T23:28:43.948Z</dcterms:created>
  <dcterms:modified xsi:type="dcterms:W3CDTF">2026-08-10T23:28:43.948Z</dcterms:modified>
</cp:coreProperties>
</file>

<file path=docProps/custom.xml><?xml version="1.0" encoding="utf-8"?>
<Properties xmlns="http://schemas.openxmlformats.org/officeDocument/2006/custom-properties" xmlns:vt="http://schemas.openxmlformats.org/officeDocument/2006/docPropsVTypes"/>
</file>