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8B17C23" w:rsidR="00CF7DD7" w:rsidRDefault="00DC1CBE">
      <w:pPr>
        <w:jc w:val="center"/>
        <w:rPr>
          <w:b/>
          <w:sz w:val="26"/>
          <w:szCs w:val="26"/>
        </w:rPr>
      </w:pPr>
      <w:bookmarkStart w:id="0" w:name="_gjdgxs" w:colFirst="0" w:colLast="0"/>
      <w:bookmarkEnd w:id="0"/>
      <w:r>
        <w:rPr>
          <w:b/>
          <w:sz w:val="26"/>
          <w:szCs w:val="26"/>
        </w:rPr>
        <w:t>IN THE CIRCUIT COURT OF {{county}} COUNTY</w:t>
      </w:r>
      <w:r w:rsidR="00510EB0">
        <w:rPr>
          <w:b/>
          <w:sz w:val="26"/>
          <w:szCs w:val="26"/>
        </w:rPr>
      </w:r>
      <w:r w:rsidR="00582BE0">
        <w:rPr>
          <w:b/>
          <w:sz w:val="26"/>
          <w:szCs w:val="26"/>
        </w:rPr>
      </w:r>
    </w:p>
    <w:p w14:paraId="00000002" w14:textId="77777777" w:rsidR="00CF7DD7" w:rsidRDefault="00DC1CBE">
      <w:pPr>
        <w:jc w:val="center"/>
        <w:rPr>
          <w:b/>
          <w:sz w:val="26"/>
          <w:szCs w:val="26"/>
        </w:rPr>
      </w:pPr>
      <w:r>
        <w:rPr>
          <w:b/>
          <w:sz w:val="26"/>
          <w:szCs w:val="26"/>
        </w:rPr>
        <w:t>STATE OF MISSOURI</w:t>
      </w:r>
    </w:p>
    <w:p w14:paraId="00000003" w14:textId="77777777" w:rsidR="00CF7DD7" w:rsidRDefault="00CF7DD7">
      <w:pPr>
        <w:rPr>
          <w:sz w:val="26"/>
          <w:szCs w:val="26"/>
        </w:rPr>
      </w:pPr>
    </w:p>
    <w:p w14:paraId="00000004" w14:textId="77777777" w:rsidR="00CF7DD7" w:rsidRDefault="00DC1CBE">
      <w:pPr>
        <w:tabs>
          <w:tab w:val="left" w:pos="-1440"/>
        </w:tabs>
        <w:ind w:left="4320" w:hanging="4320"/>
        <w:rPr>
          <w:sz w:val="26"/>
          <w:szCs w:val="26"/>
        </w:rPr>
      </w:pPr>
      <w:r>
        <w:rPr>
          <w:sz w:val="26"/>
          <w:szCs w:val="26"/>
        </w:rPr>
        <w:t xml:space="preserve">STATE OF MISSOURI, </w:t>
      </w:r>
      <w:r>
        <w:rPr>
          <w:sz w:val="26"/>
          <w:szCs w:val="26"/>
        </w:rPr>
        <w:tab/>
        <w:t>)</w:t>
      </w:r>
    </w:p>
    <w:p w14:paraId="00000005" w14:textId="77777777" w:rsidR="00CF7DD7" w:rsidRDefault="00DC1CBE">
      <w:pPr>
        <w:ind w:firstLine="4320"/>
        <w:rPr>
          <w:sz w:val="26"/>
          <w:szCs w:val="26"/>
        </w:rPr>
      </w:pPr>
      <w:r>
        <w:rPr>
          <w:sz w:val="26"/>
          <w:szCs w:val="26"/>
        </w:rPr>
        <w:t>)</w:t>
      </w:r>
    </w:p>
    <w:p w14:paraId="00000006" w14:textId="77777777" w:rsidR="00CF7DD7" w:rsidRDefault="00DC1CBE">
      <w:pPr>
        <w:tabs>
          <w:tab w:val="left" w:pos="-1440"/>
        </w:tabs>
        <w:ind w:left="4320" w:hanging="2880"/>
        <w:rPr>
          <w:sz w:val="26"/>
          <w:szCs w:val="26"/>
        </w:rPr>
      </w:pPr>
      <w:r>
        <w:rPr>
          <w:sz w:val="26"/>
          <w:szCs w:val="26"/>
        </w:rPr>
        <w:t>Plaintiff,</w:t>
      </w:r>
      <w:r>
        <w:rPr>
          <w:sz w:val="26"/>
          <w:szCs w:val="26"/>
        </w:rPr>
        <w:tab/>
        <w:t>)</w:t>
      </w:r>
    </w:p>
    <w:p w14:paraId="00000007" w14:textId="77777777" w:rsidR="00CF7DD7" w:rsidRDefault="00DC1CBE">
      <w:pPr>
        <w:ind w:firstLine="4320"/>
        <w:rPr>
          <w:sz w:val="26"/>
          <w:szCs w:val="26"/>
        </w:rPr>
      </w:pPr>
      <w:r>
        <w:rPr>
          <w:sz w:val="26"/>
          <w:szCs w:val="26"/>
        </w:rPr>
        <w:t xml:space="preserve">)    </w:t>
      </w:r>
    </w:p>
    <w:p w14:paraId="00000008" w14:textId="78A54E11" w:rsidR="00CF7DD7" w:rsidRDefault="00DC1CBE">
      <w:pPr>
        <w:tabs>
          <w:tab w:val="left" w:pos="-1440"/>
        </w:tabs>
        <w:ind w:left="4320" w:hanging="4320"/>
        <w:rPr>
          <w:sz w:val="26"/>
          <w:szCs w:val="26"/>
        </w:rPr>
      </w:pPr>
      <w:r>
        <w:rPr>
          <w:sz w:val="26"/>
          <w:szCs w:val="26"/>
        </w:rPr>
        <w:t>vs.</w:t>
        <w:tab/>
        <w:t>)</w:t>
        <w:tab/>
        <w:t>Case No:  {{case_number}}</w:t>
      </w:r>
      <w:r>
        <w:rPr>
          <w:sz w:val="26"/>
          <w:szCs w:val="26"/>
        </w:rPr>
      </w:r>
      <w:r>
        <w:rPr>
          <w:sz w:val="26"/>
          <w:szCs w:val="26"/>
        </w:rPr>
      </w:r>
      <w:r w:rsidR="00510EB0">
        <w:rPr>
          <w:sz w:val="26"/>
          <w:szCs w:val="26"/>
        </w:rPr>
      </w:r>
    </w:p>
    <w:p w14:paraId="00000009" w14:textId="77777777" w:rsidR="00CF7DD7" w:rsidRDefault="00DC1CBE">
      <w:pPr>
        <w:ind w:firstLine="4320"/>
        <w:rPr>
          <w:sz w:val="26"/>
          <w:szCs w:val="26"/>
        </w:rPr>
      </w:pPr>
      <w:r>
        <w:rPr>
          <w:sz w:val="26"/>
          <w:szCs w:val="26"/>
        </w:rPr>
        <w:t xml:space="preserve">)    </w:t>
      </w:r>
      <w:r>
        <w:rPr>
          <w:sz w:val="26"/>
          <w:szCs w:val="26"/>
        </w:rPr>
        <w:tab/>
      </w:r>
      <w:r>
        <w:rPr>
          <w:sz w:val="26"/>
          <w:szCs w:val="26"/>
        </w:rPr>
        <w:tab/>
        <w:t xml:space="preserve">   </w:t>
      </w:r>
    </w:p>
    <w:p w14:paraId="0000000A" w14:textId="48C2B7A4" w:rsidR="00CF7DD7" w:rsidRDefault="00510EB0">
      <w:pPr>
        <w:tabs>
          <w:tab w:val="left" w:pos="-1440"/>
        </w:tabs>
        <w:ind w:left="4320" w:hanging="4320"/>
        <w:rPr>
          <w:sz w:val="26"/>
          <w:szCs w:val="26"/>
        </w:rPr>
      </w:pPr>
      <w:r>
        <w:rPr>
          <w:sz w:val="26"/>
          <w:szCs w:val="26"/>
        </w:rPr>
        <w:t>{{defendant_name}},</w:t>
        <w:tab/>
        <w:t>)</w:t>
      </w:r>
      <w:r w:rsidR="00582BE0">
        <w:rPr>
          <w:sz w:val="26"/>
          <w:szCs w:val="26"/>
        </w:rPr>
      </w:r>
      <w:r w:rsidR="00DC1CBE">
        <w:rPr>
          <w:sz w:val="26"/>
          <w:szCs w:val="26"/>
        </w:rPr>
      </w:r>
    </w:p>
    <w:p w14:paraId="0000000B" w14:textId="77777777" w:rsidR="00CF7DD7" w:rsidRDefault="00DC1CBE">
      <w:pPr>
        <w:ind w:firstLine="4320"/>
        <w:rPr>
          <w:sz w:val="26"/>
          <w:szCs w:val="26"/>
        </w:rPr>
      </w:pPr>
      <w:r>
        <w:rPr>
          <w:sz w:val="26"/>
          <w:szCs w:val="26"/>
        </w:rPr>
        <w:t>)</w:t>
      </w:r>
    </w:p>
    <w:p w14:paraId="0000000C" w14:textId="77777777" w:rsidR="00CF7DD7" w:rsidRDefault="00DC1CBE">
      <w:pPr>
        <w:widowControl/>
        <w:pBdr>
          <w:top w:val="nil"/>
          <w:left w:val="nil"/>
          <w:bottom w:val="nil"/>
          <w:right w:val="nil"/>
          <w:between w:val="nil"/>
        </w:pBdr>
        <w:ind w:left="720" w:firstLine="720"/>
        <w:rPr>
          <w:color w:val="000000"/>
          <w:sz w:val="26"/>
          <w:szCs w:val="26"/>
        </w:rPr>
      </w:pPr>
      <w:r>
        <w:rPr>
          <w:color w:val="000000"/>
          <w:sz w:val="26"/>
          <w:szCs w:val="26"/>
        </w:rPr>
        <w:t>Defendant.</w:t>
      </w:r>
      <w:r>
        <w:rPr>
          <w:color w:val="000000"/>
          <w:sz w:val="26"/>
          <w:szCs w:val="26"/>
        </w:rPr>
        <w:tab/>
      </w:r>
      <w:r>
        <w:rPr>
          <w:color w:val="000000"/>
          <w:sz w:val="26"/>
          <w:szCs w:val="26"/>
        </w:rPr>
        <w:tab/>
      </w:r>
      <w:r>
        <w:rPr>
          <w:color w:val="000000"/>
          <w:sz w:val="26"/>
          <w:szCs w:val="26"/>
        </w:rPr>
        <w:tab/>
        <w:t>)</w:t>
      </w:r>
    </w:p>
    <w:p w14:paraId="0000000D" w14:textId="77777777" w:rsidR="00CF7DD7" w:rsidRDefault="00CF7DD7">
      <w:pPr>
        <w:jc w:val="center"/>
        <w:rPr>
          <w:sz w:val="26"/>
          <w:szCs w:val="26"/>
        </w:rPr>
      </w:pPr>
    </w:p>
    <w:p w14:paraId="0000000E" w14:textId="77777777" w:rsidR="00CF7DD7" w:rsidRDefault="00DC1CBE">
      <w:pPr>
        <w:spacing w:line="480" w:lineRule="auto"/>
        <w:jc w:val="center"/>
        <w:rPr>
          <w:b/>
          <w:sz w:val="26"/>
          <w:szCs w:val="26"/>
          <w:u w:val="single"/>
        </w:rPr>
      </w:pPr>
      <w:r>
        <w:rPr>
          <w:b/>
          <w:sz w:val="26"/>
          <w:szCs w:val="26"/>
          <w:u w:val="single"/>
        </w:rPr>
        <w:t xml:space="preserve">DEFENDANT’S REQUEST TO WAIVE PRELIMINARY HEARING </w:t>
      </w:r>
    </w:p>
    <w:p w14:paraId="0000000F" w14:textId="77777777" w:rsidR="00CF7DD7" w:rsidRDefault="00DC1CBE">
      <w:pPr>
        <w:rPr>
          <w:sz w:val="26"/>
          <w:szCs w:val="26"/>
        </w:rPr>
      </w:pPr>
      <w:r>
        <w:rPr>
          <w:sz w:val="26"/>
          <w:szCs w:val="26"/>
        </w:rPr>
        <w:t xml:space="preserve">Comes now Defendant, by and through counsel, {{attorney_name}}, and moves to waive preliminary hearing. In support thereof, Defendant states as follows: </w:t>
      </w:r>
    </w:p>
    <w:p w14:paraId="00000010" w14:textId="77777777" w:rsidR="00CF7DD7" w:rsidRDefault="00CF7DD7">
      <w:pPr>
        <w:rPr>
          <w:sz w:val="26"/>
          <w:szCs w:val="26"/>
        </w:rPr>
      </w:pPr>
    </w:p>
    <w:p w14:paraId="00000011" w14:textId="77777777" w:rsidR="00CF7DD7" w:rsidRDefault="00CF7DD7">
      <w:pPr>
        <w:rPr>
          <w:sz w:val="26"/>
          <w:szCs w:val="26"/>
        </w:rPr>
      </w:pPr>
    </w:p>
    <w:p w14:paraId="00000012" w14:textId="2EF512E1" w:rsidR="00CF7DD7" w:rsidRDefault="00DC1CBE">
      <w:pPr>
        <w:ind w:left="720"/>
        <w:rPr>
          <w:sz w:val="26"/>
          <w:szCs w:val="26"/>
        </w:rPr>
      </w:pPr>
      <w:r>
        <w:rPr>
          <w:sz w:val="26"/>
          <w:szCs w:val="26"/>
        </w:rPr>
        <w:t xml:space="preserve">1. The defendant is charged with </w:t>
      </w:r>
      <w:r w:rsidR="00582BE0">
        <w:rPr>
          <w:sz w:val="26"/>
          <w:szCs w:val="26"/>
        </w:rPr>
        <w:t>one</w:t>
      </w:r>
      <w:r>
        <w:rPr>
          <w:sz w:val="26"/>
          <w:szCs w:val="26"/>
        </w:rPr>
        <w:t xml:space="preserve"> </w:t>
      </w:r>
      <w:r w:rsidR="00510EB0">
        <w:rPr>
          <w:sz w:val="26"/>
          <w:szCs w:val="26"/>
        </w:rPr>
        <w:t xml:space="preserve">(1) </w:t>
      </w:r>
      <w:r>
        <w:rPr>
          <w:sz w:val="26"/>
          <w:szCs w:val="26"/>
        </w:rPr>
        <w:t xml:space="preserve">count of the felony offense of </w:t>
      </w:r>
      <w:r w:rsidR="00083A57">
        <w:rPr>
          <w:sz w:val="26"/>
          <w:szCs w:val="26"/>
        </w:rPr>
        <w:t>Possession of Controlled Substance Except 35 Grams or Less of Marijuana/Synthetic Cannabinoid – Class D Felony</w:t>
      </w:r>
      <w:r w:rsidR="00510EB0">
        <w:rPr>
          <w:sz w:val="26"/>
          <w:szCs w:val="26"/>
        </w:rPr>
        <w:t xml:space="preserve">, one (1) count of Resisting/Interfering with Arrest for a Felony, Class E Felony, one (1) count of Unlawful Possession of Drug Paraphernalia, a Class D Misdemeanor, and one (1) count of Failure to Equip Motor Vehicle with Rear License Lamp – an Infraction.  </w:t>
      </w:r>
    </w:p>
    <w:p w14:paraId="00000013" w14:textId="77777777" w:rsidR="00CF7DD7" w:rsidRDefault="00CF7DD7">
      <w:pPr>
        <w:ind w:left="720"/>
        <w:rPr>
          <w:sz w:val="26"/>
          <w:szCs w:val="26"/>
        </w:rPr>
      </w:pPr>
    </w:p>
    <w:p w14:paraId="00000014" w14:textId="77777777" w:rsidR="00CF7DD7" w:rsidRDefault="00DC1CBE">
      <w:pPr>
        <w:ind w:left="720"/>
        <w:rPr>
          <w:sz w:val="26"/>
          <w:szCs w:val="26"/>
        </w:rPr>
      </w:pPr>
      <w:r>
        <w:rPr>
          <w:sz w:val="26"/>
          <w:szCs w:val="26"/>
        </w:rPr>
        <w:t xml:space="preserve">2. The defendant understands that the sole purpose of a preliminary hearing is to determine whether or not there is probable cause to believe that a felony has been committed and whether or not there is probable cause to believe that they have committed the felony. </w:t>
      </w:r>
    </w:p>
    <w:p w14:paraId="00000015" w14:textId="77777777" w:rsidR="00CF7DD7" w:rsidRDefault="00CF7DD7">
      <w:pPr>
        <w:ind w:left="720"/>
        <w:rPr>
          <w:sz w:val="26"/>
          <w:szCs w:val="26"/>
        </w:rPr>
      </w:pPr>
    </w:p>
    <w:p w14:paraId="00000016" w14:textId="77777777" w:rsidR="00CF7DD7" w:rsidRDefault="00DC1CBE">
      <w:pPr>
        <w:ind w:left="720"/>
        <w:rPr>
          <w:sz w:val="26"/>
          <w:szCs w:val="26"/>
        </w:rPr>
      </w:pPr>
      <w:r>
        <w:rPr>
          <w:sz w:val="26"/>
          <w:szCs w:val="26"/>
        </w:rPr>
        <w:t xml:space="preserve">3. The defendant understands that, at the preliminary hearing, they would have the right, through their attorney, to confront (i.e., cross-examine) the State’s witnesses. The defendant also has the right to call witnesses to testify on his/her behalf – and if they refuse to cooperate, they can subpoena them, to force them to appear in court against their will. </w:t>
      </w:r>
    </w:p>
    <w:p w14:paraId="00000017" w14:textId="77777777" w:rsidR="00CF7DD7" w:rsidRDefault="00CF7DD7">
      <w:pPr>
        <w:ind w:left="720"/>
        <w:rPr>
          <w:sz w:val="26"/>
          <w:szCs w:val="26"/>
        </w:rPr>
      </w:pPr>
    </w:p>
    <w:p w14:paraId="00000018" w14:textId="77777777" w:rsidR="00CF7DD7" w:rsidRDefault="00DC1CBE">
      <w:pPr>
        <w:ind w:left="720"/>
        <w:rPr>
          <w:sz w:val="26"/>
          <w:szCs w:val="26"/>
        </w:rPr>
      </w:pPr>
      <w:r>
        <w:rPr>
          <w:sz w:val="26"/>
          <w:szCs w:val="26"/>
        </w:rPr>
        <w:t xml:space="preserve">4. The defendant understands that, at the preliminary hearing, they can testify on their own behalf. Further, they can exercise their right against self-incrimination and choose not to testify. Such silence cannot be considered as evidence of their guilt. </w:t>
      </w:r>
    </w:p>
    <w:p w14:paraId="00000019" w14:textId="77777777" w:rsidR="00CF7DD7" w:rsidRDefault="00CF7DD7">
      <w:pPr>
        <w:ind w:left="720"/>
        <w:rPr>
          <w:sz w:val="26"/>
          <w:szCs w:val="26"/>
        </w:rPr>
      </w:pPr>
    </w:p>
    <w:p w14:paraId="0000001A" w14:textId="77777777" w:rsidR="00CF7DD7" w:rsidRDefault="00DC1CBE">
      <w:pPr>
        <w:ind w:left="720"/>
        <w:rPr>
          <w:sz w:val="26"/>
          <w:szCs w:val="26"/>
        </w:rPr>
      </w:pPr>
      <w:r>
        <w:rPr>
          <w:sz w:val="26"/>
          <w:szCs w:val="26"/>
        </w:rPr>
        <w:t xml:space="preserve">5. The defendant understands that, at the preliminary hearing, if the State does not establish probable cause that either a felony was committed or that they committed the </w:t>
      </w:r>
      <w:r>
        <w:rPr>
          <w:sz w:val="26"/>
          <w:szCs w:val="26"/>
        </w:rPr>
        <w:lastRenderedPageBreak/>
        <w:t xml:space="preserve">felony, the court will dismiss the case. </w:t>
      </w:r>
    </w:p>
    <w:p w14:paraId="0000001B" w14:textId="77777777" w:rsidR="00CF7DD7" w:rsidRDefault="00CF7DD7">
      <w:pPr>
        <w:ind w:left="720"/>
        <w:rPr>
          <w:sz w:val="26"/>
          <w:szCs w:val="26"/>
        </w:rPr>
      </w:pPr>
    </w:p>
    <w:p w14:paraId="0000001C" w14:textId="77777777" w:rsidR="00CF7DD7" w:rsidRDefault="00DC1CBE">
      <w:pPr>
        <w:ind w:left="720"/>
        <w:rPr>
          <w:sz w:val="26"/>
          <w:szCs w:val="26"/>
        </w:rPr>
      </w:pPr>
      <w:r>
        <w:rPr>
          <w:sz w:val="26"/>
          <w:szCs w:val="26"/>
        </w:rPr>
        <w:t xml:space="preserve">6. The defendant understands that even if a judge dismisses a case after the evidence has been presented at the preliminary hearing, the State may re-issue the same charge(s) against Defendant and have the matter heard before a different judge or the grand jury. </w:t>
      </w:r>
    </w:p>
    <w:p w14:paraId="0000001D" w14:textId="77777777" w:rsidR="00CF7DD7" w:rsidRDefault="00CF7DD7">
      <w:pPr>
        <w:ind w:left="720"/>
        <w:rPr>
          <w:sz w:val="26"/>
          <w:szCs w:val="26"/>
        </w:rPr>
      </w:pPr>
    </w:p>
    <w:p w14:paraId="0000001E" w14:textId="77777777" w:rsidR="00CF7DD7" w:rsidRDefault="00DC1CBE">
      <w:pPr>
        <w:ind w:left="720"/>
        <w:rPr>
          <w:sz w:val="26"/>
          <w:szCs w:val="26"/>
        </w:rPr>
      </w:pPr>
      <w:r>
        <w:rPr>
          <w:sz w:val="26"/>
          <w:szCs w:val="26"/>
        </w:rPr>
        <w:t xml:space="preserve">7. The defendant desires to waive all of the rights mentioned previously that pertain to the preliminary hearing. They acknowledge that this waiver is knowing and voluntary and not the result of any promises (other than a possible plea bargain reached between the parties) or threats. </w:t>
      </w:r>
    </w:p>
    <w:p w14:paraId="0000001F" w14:textId="77777777" w:rsidR="00CF7DD7" w:rsidRDefault="00CF7DD7">
      <w:pPr>
        <w:ind w:left="720"/>
        <w:rPr>
          <w:sz w:val="26"/>
          <w:szCs w:val="26"/>
        </w:rPr>
      </w:pPr>
    </w:p>
    <w:p w14:paraId="00000020" w14:textId="4FB2A6D7" w:rsidR="00CF7DD7" w:rsidRDefault="00DC1CBE">
      <w:pPr>
        <w:ind w:left="720"/>
        <w:rPr>
          <w:sz w:val="26"/>
          <w:szCs w:val="26"/>
        </w:rPr>
      </w:pPr>
      <w:r>
        <w:rPr>
          <w:sz w:val="26"/>
          <w:szCs w:val="26"/>
        </w:rPr>
        <w:t xml:space="preserve">8. The defendant is aware that, if the court accepts their waiver of the preliminary hearing, the case will be certified to the Circuit Court of {{county}} County for further action. </w:t>
      </w:r>
      <w:r w:rsidR="00BC7F70">
        <w:rPr>
          <w:sz w:val="26"/>
          <w:szCs w:val="26"/>
        </w:rPr>
      </w:r>
      <w:r w:rsidRPr="00DC1CBE">
        <w:rPr>
          <w:sz w:val="26"/>
          <w:szCs w:val="26"/>
        </w:rPr>
      </w:r>
      <w:r>
        <w:rPr>
          <w:sz w:val="26"/>
          <w:szCs w:val="26"/>
        </w:rPr>
      </w:r>
    </w:p>
    <w:p w14:paraId="00000021" w14:textId="77777777" w:rsidR="00CF7DD7" w:rsidRDefault="00CF7DD7">
      <w:pPr>
        <w:rPr>
          <w:sz w:val="26"/>
          <w:szCs w:val="26"/>
        </w:rPr>
      </w:pPr>
    </w:p>
    <w:p w14:paraId="00000022" w14:textId="77777777" w:rsidR="00CF7DD7" w:rsidRDefault="00CF7DD7">
      <w:pPr>
        <w:rPr>
          <w:sz w:val="26"/>
          <w:szCs w:val="26"/>
        </w:rPr>
      </w:pPr>
    </w:p>
    <w:p w14:paraId="00000023" w14:textId="77777777" w:rsidR="00CF7DD7" w:rsidRDefault="00CF7DD7">
      <w:pPr>
        <w:spacing w:line="480" w:lineRule="auto"/>
        <w:rPr>
          <w:sz w:val="26"/>
          <w:szCs w:val="26"/>
        </w:rPr>
      </w:pPr>
    </w:p>
    <w:p w14:paraId="00000024" w14:textId="77777777" w:rsidR="00CF7DD7" w:rsidRDefault="00DC1CBE">
      <w:pPr>
        <w:rPr>
          <w:sz w:val="26"/>
          <w:szCs w:val="26"/>
        </w:rPr>
      </w:pPr>
      <w:r>
        <w:rPr>
          <w:sz w:val="26"/>
          <w:szCs w:val="26"/>
        </w:rPr>
        <w:t xml:space="preserve">_________________________________________ </w:t>
      </w:r>
    </w:p>
    <w:p w14:paraId="00000025" w14:textId="77777777" w:rsidR="00CF7DD7" w:rsidRDefault="00DC1CBE">
      <w:pPr>
        <w:rPr>
          <w:sz w:val="26"/>
          <w:szCs w:val="26"/>
        </w:rPr>
      </w:pPr>
      <w:r>
        <w:rPr>
          <w:sz w:val="26"/>
          <w:szCs w:val="26"/>
        </w:rPr>
        <w:t>Defendant</w:t>
      </w:r>
    </w:p>
    <w:p w14:paraId="00000026" w14:textId="64CD4F95" w:rsidR="00CF7DD7" w:rsidRDefault="00083A57">
      <w:pPr>
        <w:spacing w:line="480" w:lineRule="auto"/>
        <w:rPr>
          <w:sz w:val="26"/>
          <w:szCs w:val="26"/>
        </w:rPr>
      </w:pPr>
      <w:r w:rsidRPr="0039503B">
        <w:rPr>
          <w:noProof/>
        </w:rPr>
        <w:drawing>
          <wp:anchor distT="0" distB="0" distL="114300" distR="114300" simplePos="0" relativeHeight="251659264" behindDoc="1" locked="0" layoutInCell="1" allowOverlap="1" wp14:anchorId="615D6611" wp14:editId="017C6AE8">
            <wp:simplePos x="0" y="0"/>
            <wp:positionH relativeFrom="margin">
              <wp:posOffset>104775</wp:posOffset>
            </wp:positionH>
            <wp:positionV relativeFrom="paragraph">
              <wp:posOffset>10795</wp:posOffset>
            </wp:positionV>
            <wp:extent cx="635000" cy="601225"/>
            <wp:effectExtent l="0" t="0" r="0" b="889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rotWithShape="1">
                    <a:blip r:embed="rId4" cstate="print">
                      <a:extLst>
                        <a:ext uri="{28A0092B-C50C-407E-A947-70E740481C1C}">
                          <a14:useLocalDpi xmlns:a14="http://schemas.microsoft.com/office/drawing/2010/main" val="0"/>
                        </a:ext>
                      </a:extLst>
                    </a:blip>
                    <a:srcRect l="40287" t="40418" r="44589" b="42087"/>
                    <a:stretch/>
                  </pic:blipFill>
                  <pic:spPr bwMode="auto">
                    <a:xfrm>
                      <a:off x="0" y="0"/>
                      <a:ext cx="635000" cy="60122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DC1CBE">
        <w:rPr>
          <w:sz w:val="26"/>
          <w:szCs w:val="26"/>
        </w:rPr>
        <w:t xml:space="preserve"> </w:t>
      </w:r>
    </w:p>
    <w:p w14:paraId="00000027" w14:textId="6E2FC80D" w:rsidR="00CF7DD7" w:rsidRDefault="00DC1CBE">
      <w:pPr>
        <w:rPr>
          <w:sz w:val="26"/>
          <w:szCs w:val="26"/>
        </w:rPr>
      </w:pPr>
      <w:r>
        <w:rPr>
          <w:sz w:val="26"/>
          <w:szCs w:val="26"/>
        </w:rPr>
        <w:t>__________________________</w:t>
      </w:r>
      <w:r w:rsidR="00083A57" w:rsidRPr="00083A57">
        <w:rPr>
          <w:sz w:val="26"/>
          <w:szCs w:val="26"/>
          <w:u w:val="single"/>
        </w:rPr>
        <w:t>#63013</w:t>
      </w:r>
      <w:r>
        <w:rPr>
          <w:sz w:val="26"/>
          <w:szCs w:val="26"/>
        </w:rPr>
        <w:t>__________</w:t>
      </w:r>
    </w:p>
    <w:p w14:paraId="00000028" w14:textId="377CE853" w:rsidR="00CF7DD7" w:rsidRDefault="00DC1CBE">
      <w:pPr>
        <w:rPr>
          <w:sz w:val="26"/>
          <w:szCs w:val="26"/>
        </w:rPr>
      </w:pPr>
      <w:r>
        <w:rPr>
          <w:sz w:val="26"/>
          <w:szCs w:val="26"/>
        </w:rPr>
        <w:t xml:space="preserve"> {{defendant_name}}</w:t>
      </w:r>
    </w:p>
    <w:p w14:paraId="00000029" w14:textId="77B13864" w:rsidR="00CF7DD7" w:rsidRDefault="00CF7DD7">
      <w:pPr>
        <w:spacing w:line="480" w:lineRule="auto"/>
        <w:rPr>
          <w:sz w:val="26"/>
          <w:szCs w:val="26"/>
        </w:rPr>
      </w:pPr>
    </w:p>
    <w:p w14:paraId="0000002A" w14:textId="77777777" w:rsidR="00CF7DD7" w:rsidRDefault="00CF7DD7">
      <w:pPr>
        <w:spacing w:line="480" w:lineRule="auto"/>
        <w:rPr>
          <w:sz w:val="26"/>
          <w:szCs w:val="26"/>
        </w:rPr>
      </w:pPr>
    </w:p>
    <w:p w14:paraId="0000002B" w14:textId="57A65342" w:rsidR="00CF7DD7" w:rsidRDefault="00DC1CBE">
      <w:pPr>
        <w:spacing w:line="480" w:lineRule="auto"/>
        <w:rPr>
          <w:sz w:val="26"/>
          <w:szCs w:val="26"/>
        </w:rPr>
      </w:pPr>
      <w:r>
        <w:rPr>
          <w:sz w:val="26"/>
          <w:szCs w:val="26"/>
        </w:rPr>
        <w:t xml:space="preserve"> This Court finds that Defendant’s waiver is knowing and voluntary. Therefore, this Court accepts Defendant’s waiver. Accordingly, this Court binds Defendant over for further proceedings in the Circuit Court of {{county}} County. SO ORDERED: </w:t>
      </w:r>
      <w:r w:rsidR="00BC7F70">
        <w:rPr>
          <w:sz w:val="26"/>
          <w:szCs w:val="26"/>
        </w:rPr>
      </w:r>
      <w:r>
        <w:rPr>
          <w:sz w:val="26"/>
          <w:szCs w:val="26"/>
        </w:rPr>
      </w:r>
    </w:p>
    <w:p w14:paraId="0000002C" w14:textId="77777777" w:rsidR="00CF7DD7" w:rsidRDefault="00CF7DD7">
      <w:pPr>
        <w:spacing w:line="480" w:lineRule="auto"/>
        <w:rPr>
          <w:sz w:val="26"/>
          <w:szCs w:val="26"/>
        </w:rPr>
      </w:pPr>
    </w:p>
    <w:p w14:paraId="0000002D" w14:textId="77777777" w:rsidR="00CF7DD7" w:rsidRDefault="00DC1CBE">
      <w:pPr>
        <w:rPr>
          <w:sz w:val="26"/>
          <w:szCs w:val="26"/>
        </w:rPr>
      </w:pPr>
      <w:r>
        <w:rPr>
          <w:sz w:val="26"/>
          <w:szCs w:val="26"/>
        </w:rPr>
        <w:t>__________________________________</w:t>
      </w:r>
    </w:p>
    <w:p w14:paraId="0000002E" w14:textId="77777777" w:rsidR="00CF7DD7" w:rsidRDefault="00DC1CBE">
      <w:pPr>
        <w:rPr>
          <w:sz w:val="26"/>
          <w:szCs w:val="26"/>
        </w:rPr>
      </w:pPr>
      <w:r>
        <w:rPr>
          <w:sz w:val="26"/>
          <w:szCs w:val="26"/>
        </w:rPr>
        <w:t>Judge</w:t>
      </w:r>
    </w:p>
    <w:sectPr w:rsidR="00CF7DD7">
      <w:pgSz w:w="12240" w:h="15840"/>
      <w:pgMar w:top="1440" w:right="900" w:bottom="1440" w:left="126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7DD7"/>
    <w:rsid w:val="00083A57"/>
    <w:rsid w:val="00510EB0"/>
    <w:rsid w:val="00582BE0"/>
    <w:rsid w:val="00BC7F70"/>
    <w:rsid w:val="00CF7DD7"/>
    <w:rsid w:val="00DC1C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7E6EAA"/>
  <w15:docId w15:val="{C334D7FE-E450-4CFD-B57F-3A3B186603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2</Pages>
  <Words>459</Words>
  <Characters>2618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John Schleiffarth</dc:creator>
  <cp:lastModifiedBy>John Schleiffarth</cp:lastModifiedBy>
  <cp:revision>3</cp:revision>
  <cp:lastPrinted>2023-07-14T20:07:00Z</cp:lastPrinted>
  <dcterms:created xsi:type="dcterms:W3CDTF">2023-07-13T23:09:00Z</dcterms:created>
  <dcterms:modified xsi:type="dcterms:W3CDTF">2023-07-14T20:12:00Z</dcterms:modified>
</cp:coreProperties>
</file>