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42A3EF5" w14:textId="0FE150A0" w:rsidR="009F7FCE" w:rsidRPr="000B4F25" w:rsidRDefault="000B4F25" w:rsidP="00CD344F">
      <w:pPr>
        <w:pStyle w:val="papertitle"/>
      </w:pPr>
      <w:r>
        <w:t>Zasady składania artykułu z wykorzystaniem</w:t>
      </w:r>
      <w:r>
        <w:br/>
        <w:t>zmodyfikowanego szablonu LNCS</w:t>
      </w:r>
    </w:p>
    <w:p w14:paraId="03BE13A0" w14:textId="23158AC0" w:rsidR="004A44D5" w:rsidRPr="0050482A" w:rsidRDefault="00DA4681" w:rsidP="002213EA">
      <w:pPr>
        <w:pStyle w:val="author"/>
      </w:pPr>
      <w:r>
        <w:t>Gall Anonim</w:t>
      </w:r>
    </w:p>
    <w:p w14:paraId="2E0393B4" w14:textId="64E3B399" w:rsidR="004A44D5" w:rsidRPr="00F01F07" w:rsidRDefault="00F01F07" w:rsidP="004A44D5">
      <w:pPr>
        <w:pStyle w:val="address"/>
      </w:pPr>
      <w:r w:rsidRPr="00F01F07">
        <w:t>Instytut Informatyki Politechnik</w:t>
      </w:r>
      <w:r w:rsidR="00A412BF">
        <w:t>i, Politechnika Warszawska</w:t>
      </w:r>
      <w:r w:rsidR="00A412BF" w:rsidRPr="00F01F07">
        <w:t xml:space="preserve"> </w:t>
      </w:r>
      <w:r w:rsidR="009B2539" w:rsidRPr="00F01F07">
        <w:br/>
      </w:r>
      <w:hyperlink r:id="rId9" w:history="1">
        <w:r w:rsidR="000F0AB0">
          <w:rPr>
            <w:rStyle w:val="Hipercze"/>
            <w:rFonts w:ascii="Courier" w:hAnsi="Courier"/>
            <w:noProof/>
          </w:rPr>
          <w:t>gall.anonim.stud@pw.edu.pl</w:t>
        </w:r>
      </w:hyperlink>
    </w:p>
    <w:p w14:paraId="5A462B2B" w14:textId="307CC490" w:rsidR="00C24DEF" w:rsidRPr="00AD7E3B" w:rsidRDefault="004F3002" w:rsidP="00D92BF4">
      <w:pPr>
        <w:pStyle w:val="abstract"/>
        <w:spacing w:after="0"/>
        <w:ind w:firstLine="0"/>
      </w:pPr>
      <w:r w:rsidRPr="00D92BF4">
        <w:rPr>
          <w:b/>
        </w:rPr>
        <w:t>Streszczenie</w:t>
      </w:r>
      <w:r w:rsidR="009B2539" w:rsidRPr="00D92BF4">
        <w:rPr>
          <w:b/>
        </w:rPr>
        <w:t>.</w:t>
      </w:r>
      <w:r w:rsidR="009B2539" w:rsidRPr="00841F07">
        <w:rPr>
          <w:b/>
          <w:bCs/>
        </w:rPr>
        <w:t xml:space="preserve"> </w:t>
      </w:r>
      <w:r w:rsidR="004037C3">
        <w:t>W niniejszym dokumencie o wersji v</w:t>
      </w:r>
      <w:r w:rsidR="0050482A">
        <w:t>1.0</w:t>
      </w:r>
      <w:r w:rsidR="004037C3">
        <w:t xml:space="preserve"> przedstawiono zestaw zasad składania artykułu dla potrzeb realizacji założeń Seminarium Dyplomowego Magisterskiego 2 z wykorzystaniem zaleceń formatowania wydawnictwa Springer. Omówiono reguły wykorzystania nagłówk</w:t>
      </w:r>
      <w:bookmarkStart w:id="0" w:name="_GoBack"/>
      <w:bookmarkEnd w:id="0"/>
      <w:r w:rsidR="004037C3">
        <w:t>ów</w:t>
      </w:r>
      <w:r w:rsidR="009E33DC">
        <w:t xml:space="preserve"> i </w:t>
      </w:r>
      <w:r w:rsidR="009E33DC" w:rsidRPr="00AD7E3B">
        <w:t>popularnych konstrukcji</w:t>
      </w:r>
      <w:r w:rsidR="00AD7E3B">
        <w:t xml:space="preserve"> tekstowych (tabele, twierdzenia, propozycje, itd.). Zasygnalizowano przykładowe błędy i sposoby ich uniknięcia</w:t>
      </w:r>
      <w:r w:rsidR="009B2539" w:rsidRPr="00F2477E">
        <w:t>.</w:t>
      </w:r>
    </w:p>
    <w:p w14:paraId="50F2F519" w14:textId="711CC011" w:rsidR="00C24DEF" w:rsidRPr="00F2477E" w:rsidRDefault="004A44D5" w:rsidP="008902BD">
      <w:pPr>
        <w:pStyle w:val="keywords"/>
      </w:pPr>
      <w:r w:rsidRPr="00F2477E">
        <w:rPr>
          <w:b/>
        </w:rPr>
        <w:t>Słowa kluczowe:</w:t>
      </w:r>
      <w:r w:rsidRPr="00F2477E">
        <w:t xml:space="preserve"> </w:t>
      </w:r>
      <w:r w:rsidR="00AD7E3B">
        <w:t>zalecenia formatowania artykułu, szablon LNCS</w:t>
      </w:r>
      <w:r w:rsidR="009B2539" w:rsidRPr="00F2477E">
        <w:t>.</w:t>
      </w:r>
    </w:p>
    <w:p w14:paraId="4B917D73" w14:textId="17325873" w:rsidR="00AD7E3B" w:rsidRDefault="00AD7E3B" w:rsidP="00AD7E3B">
      <w:pPr>
        <w:pStyle w:val="heading1"/>
      </w:pPr>
      <w:r>
        <w:t>Wprowadzenie</w:t>
      </w:r>
    </w:p>
    <w:p w14:paraId="55FE0C21" w14:textId="54878B02" w:rsidR="004F2DBE" w:rsidRPr="004F2DBE" w:rsidRDefault="00AD7E3B" w:rsidP="00331C97">
      <w:pPr>
        <w:pStyle w:val="p1a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7FEF0A5" wp14:editId="7FF14F74">
            <wp:simplePos x="0" y="0"/>
            <wp:positionH relativeFrom="column">
              <wp:posOffset>1990725</wp:posOffset>
            </wp:positionH>
            <wp:positionV relativeFrom="paragraph">
              <wp:posOffset>478790</wp:posOffset>
            </wp:positionV>
            <wp:extent cx="336550" cy="139700"/>
            <wp:effectExtent l="0" t="0" r="6350" b="0"/>
            <wp:wrapTight wrapText="bothSides">
              <wp:wrapPolygon edited="0">
                <wp:start x="0" y="0"/>
                <wp:lineTo x="0" y="17673"/>
                <wp:lineTo x="8558" y="17673"/>
                <wp:lineTo x="17117" y="17673"/>
                <wp:lineTo x="20785" y="17673"/>
                <wp:lineTo x="20785" y="0"/>
                <wp:lineTo x="0" y="0"/>
              </wp:wrapPolygon>
            </wp:wrapTight>
            <wp:docPr id="3" name="Obraz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550" cy="139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Szablon Lecture Notes in Computer Science (LNCS) można wykorzystać do składania i edycji krótkich form tekstowych </w:t>
      </w:r>
      <w:r w:rsidR="00956020">
        <w:t>[</w:t>
      </w:r>
      <w:r w:rsidR="00956020">
        <w:fldChar w:fldCharType="begin"/>
      </w:r>
      <w:r w:rsidR="00956020">
        <w:instrText xml:space="preserve"> REF _Ref34165141 \n \h </w:instrText>
      </w:r>
      <w:r w:rsidR="00956020">
        <w:fldChar w:fldCharType="separate"/>
      </w:r>
      <w:r w:rsidR="00DB17E2">
        <w:t>1</w:t>
      </w:r>
      <w:r w:rsidR="00956020">
        <w:fldChar w:fldCharType="end"/>
      </w:r>
      <w:r w:rsidR="00956020">
        <w:t>]</w:t>
      </w:r>
      <w:r>
        <w:t>. Dla potrzeb realizacji Seminarium Dyplomowego Magisterskiego 2 przygotowano bliźniacze, edytowane wersje z wykorzystaniem Microsoft Word (z makrami) i języka które powinny pozytywnie wpłynąć na komfort pracy Studenta podczas realizacji zadania.</w:t>
      </w:r>
    </w:p>
    <w:p w14:paraId="22C07E00" w14:textId="4CC8A63E" w:rsidR="004A44D5" w:rsidRPr="00F2477E" w:rsidRDefault="004F2DBE" w:rsidP="00E8007E">
      <w:pPr>
        <w:pStyle w:val="heading2"/>
      </w:pPr>
      <w:r>
        <w:t>Istota zadania</w:t>
      </w:r>
    </w:p>
    <w:p w14:paraId="4DAE7CB2" w14:textId="33121D0C" w:rsidR="004A44D5" w:rsidRPr="00F2477E" w:rsidRDefault="004F2DBE" w:rsidP="004A44D5">
      <w:pPr>
        <w:pStyle w:val="p1a"/>
      </w:pPr>
      <w:r>
        <w:t xml:space="preserve">Jednym z wymagań przedmiotu jest opracowanie artykułu naukowego zawierającego treść referatu dotyczącego pracy dyplomowej Studenta. </w:t>
      </w:r>
      <w:r w:rsidR="00FA48F6">
        <w:t xml:space="preserve">Dopuszcza się </w:t>
      </w:r>
      <w:r w:rsidR="009D19FB">
        <w:t>przygotowanie tekstu na temat metod lub zastosowań informatyki, niezwiązanego z pracą dyplomową. W tym przypadku należy dowieść istotnego wkładu Studenta (np. poprzez analizę porównawczą metod lub autorskie eksperymenty)</w:t>
      </w:r>
      <w:r w:rsidR="009B2539" w:rsidRPr="00F2477E">
        <w:t>.</w:t>
      </w:r>
    </w:p>
    <w:p w14:paraId="6C716430" w14:textId="6D7EBBBC" w:rsidR="00534538" w:rsidRDefault="009D19FB" w:rsidP="008A70AC">
      <w:r>
        <w:t>Istotą zadania jest opracowanie artykułu, dotyczącego nieprezentowanych dotychczas (podczas zajęć seminaryjnych) zagadnień. Na ocenę</w:t>
      </w:r>
      <w:r w:rsidR="00534538">
        <w:t xml:space="preserve"> </w:t>
      </w:r>
      <w:r>
        <w:t>dokumentu wpływa jakość opracowania, w tym:</w:t>
      </w:r>
      <w:r w:rsidR="008A70AC">
        <w:t xml:space="preserve"> </w:t>
      </w:r>
      <w:r w:rsidR="00534538">
        <w:t>spełnienie wymagań formalnych,</w:t>
      </w:r>
      <w:r w:rsidR="008A70AC">
        <w:t xml:space="preserve"> </w:t>
      </w:r>
      <w:r w:rsidR="00534538">
        <w:t>sposób użycia języka naukowo-technicznego,</w:t>
      </w:r>
      <w:r w:rsidR="008A70AC">
        <w:t xml:space="preserve"> </w:t>
      </w:r>
      <w:r w:rsidR="00534538">
        <w:t>struktura logiczna i poprawność formatowania tekstu,</w:t>
      </w:r>
      <w:r w:rsidR="008A70AC">
        <w:t xml:space="preserve"> </w:t>
      </w:r>
      <w:r w:rsidR="00534538">
        <w:t>brak lub obecność błędów ortograficznych, terminologicznych, interpunkcyjnych i</w:t>
      </w:r>
      <w:r w:rsidR="00533AB8">
        <w:t> </w:t>
      </w:r>
      <w:r w:rsidR="00534538">
        <w:t>stylistycznych.</w:t>
      </w:r>
    </w:p>
    <w:p w14:paraId="5D5061DA" w14:textId="699BDD7B" w:rsidR="004F0F43" w:rsidRDefault="0030739A" w:rsidP="008A70AC">
      <w:pPr>
        <w:pStyle w:val="p1a"/>
        <w:spacing w:before="120"/>
      </w:pPr>
      <w:r>
        <w:rPr>
          <w:rStyle w:val="heading4"/>
        </w:rPr>
        <w:t>Uwaga 1</w:t>
      </w:r>
      <w:r w:rsidR="00534538">
        <w:t xml:space="preserve">. Artykuł z rażącymi błędami redakcyjnymi lub językowymi, znamionującymi brak </w:t>
      </w:r>
      <w:r w:rsidR="00534538" w:rsidRPr="00533AB8">
        <w:t>elementarnej</w:t>
      </w:r>
      <w:r w:rsidR="00534538">
        <w:t xml:space="preserve"> staranności autora, </w:t>
      </w:r>
      <w:r w:rsidR="00534538" w:rsidRPr="00534538">
        <w:rPr>
          <w:b/>
          <w:bCs/>
        </w:rPr>
        <w:t>może być oceniony negatywnie bez pełnej weryfikacji tekstu</w:t>
      </w:r>
      <w:r w:rsidR="00534538">
        <w:t>.</w:t>
      </w:r>
    </w:p>
    <w:p w14:paraId="790EBC8F" w14:textId="49F7473E" w:rsidR="004F0F43" w:rsidRDefault="004F0F43" w:rsidP="00E8007E">
      <w:pPr>
        <w:pStyle w:val="p1a"/>
        <w:spacing w:before="120"/>
      </w:pPr>
      <w:r w:rsidRPr="00533AB8">
        <w:rPr>
          <w:i/>
          <w:iCs/>
        </w:rPr>
        <w:lastRenderedPageBreak/>
        <w:t xml:space="preserve">Uwaga </w:t>
      </w:r>
      <w:r w:rsidR="00960585">
        <w:rPr>
          <w:i/>
          <w:iCs/>
        </w:rPr>
        <w:t>2</w:t>
      </w:r>
      <w:r>
        <w:t>. Treści w artykule, w szczególności ilustracje i schematy blokowe, powinny być oryginalne lub umieszczone w sposób nienaruszający prawa cytatu.</w:t>
      </w:r>
    </w:p>
    <w:p w14:paraId="419CFAA4" w14:textId="014D2C11" w:rsidR="004F0F43" w:rsidRDefault="004F0F43" w:rsidP="00E32E0C">
      <w:pPr>
        <w:pStyle w:val="heading2"/>
        <w:spacing w:before="120" w:after="0"/>
      </w:pPr>
      <w:r>
        <w:t>Przygotowanie artykułu</w:t>
      </w:r>
    </w:p>
    <w:p w14:paraId="7D4AE0FE" w14:textId="5FB614C7" w:rsidR="00EE6882" w:rsidRDefault="004F0F43" w:rsidP="002A4231">
      <w:pPr>
        <w:pStyle w:val="p1a"/>
      </w:pPr>
      <w:r>
        <w:t>Student jest zobowiązany do przygotowania i dostarczenia dokumentu PDF, sformatowanego zgodnie z szablonem umożliwiającego nanoszenie komentarzy, stosując zasady opisane poniżej.</w:t>
      </w:r>
    </w:p>
    <w:p w14:paraId="6AFF3A84" w14:textId="085634D1" w:rsidR="00EE6882" w:rsidRPr="00E02128" w:rsidRDefault="00E02128" w:rsidP="00E02128">
      <w:pPr>
        <w:pStyle w:val="tablecaption"/>
        <w:spacing w:before="0" w:after="0"/>
      </w:pPr>
      <w:r>
        <w:rPr>
          <w:b/>
        </w:rPr>
        <w:t xml:space="preserve">Tab.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DB17E2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Zasady przygotowania artykułu.</w:t>
      </w:r>
    </w:p>
    <w:tbl>
      <w:tblPr>
        <w:tblW w:w="6237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76"/>
        <w:gridCol w:w="4961"/>
      </w:tblGrid>
      <w:tr w:rsidR="000A58DE" w:rsidRPr="00F2477E" w14:paraId="32C8CFBB" w14:textId="77777777" w:rsidTr="0050482A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492AE0" w14:textId="047CAB06" w:rsidR="000A58DE" w:rsidRPr="00F2477E" w:rsidRDefault="000A58DE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Wymagania</w:t>
            </w:r>
            <w:r>
              <w:rPr>
                <w:sz w:val="18"/>
                <w:szCs w:val="18"/>
              </w:rPr>
              <w:br/>
              <w:t>formalne</w:t>
            </w:r>
          </w:p>
        </w:tc>
        <w:tc>
          <w:tcPr>
            <w:tcW w:w="4961" w:type="dxa"/>
            <w:tcBorders>
              <w:top w:val="single" w:sz="4" w:space="0" w:color="auto"/>
              <w:bottom w:val="single" w:sz="4" w:space="0" w:color="auto"/>
            </w:tcBorders>
          </w:tcPr>
          <w:p w14:paraId="10FE8C8C" w14:textId="6053AC31" w:rsidR="000A58DE" w:rsidRPr="00F2477E" w:rsidRDefault="000A58DE" w:rsidP="00D92BF4">
            <w:pPr>
              <w:ind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 najmniej 6 i nie więcej niż 8 pełnych stron tekstu przy nominalnym formatowaniu. Format papieru A4, marginesy pionowe i poziome, krój i wielkość czcionek, interlinia, odstępy i wcięcia akapitów, numeracja sekcji i stron, wyrównanie, dzielenie wyrazów zdefiniowane przez szablon.</w:t>
            </w:r>
          </w:p>
        </w:tc>
      </w:tr>
      <w:tr w:rsidR="000A58DE" w:rsidRPr="00F2477E" w14:paraId="7E51F499" w14:textId="77777777" w:rsidTr="0050482A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B7A1DB" w14:textId="5DC55FD5" w:rsidR="000A58DE" w:rsidRPr="00F2477E" w:rsidRDefault="00F4512E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Tytuł</w:t>
            </w:r>
          </w:p>
        </w:tc>
        <w:tc>
          <w:tcPr>
            <w:tcW w:w="4961" w:type="dxa"/>
            <w:tcBorders>
              <w:top w:val="single" w:sz="4" w:space="0" w:color="auto"/>
              <w:bottom w:val="single" w:sz="4" w:space="0" w:color="auto"/>
            </w:tcBorders>
          </w:tcPr>
          <w:p w14:paraId="39C9482B" w14:textId="045D2714" w:rsidR="000A58DE" w:rsidRPr="00D92BF4" w:rsidRDefault="00F4512E" w:rsidP="00F403AF">
            <w:pPr>
              <w:ind w:firstLine="0"/>
              <w:jc w:val="left"/>
            </w:pPr>
            <w:r>
              <w:rPr>
                <w:sz w:val="18"/>
                <w:szCs w:val="18"/>
              </w:rPr>
              <w:t>Możliwie krótki, zrozumiały i adekwatny</w:t>
            </w:r>
            <w:r w:rsidR="00D92BF4">
              <w:rPr>
                <w:sz w:val="18"/>
                <w:szCs w:val="18"/>
              </w:rPr>
              <w:t xml:space="preserve"> do zawartości artykułu.</w:t>
            </w:r>
          </w:p>
        </w:tc>
      </w:tr>
      <w:tr w:rsidR="000A58DE" w:rsidRPr="00F2477E" w14:paraId="3BBB4B1E" w14:textId="77777777" w:rsidTr="0050482A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6" w:space="0" w:color="000000"/>
            </w:tcBorders>
            <w:vAlign w:val="center"/>
          </w:tcPr>
          <w:p w14:paraId="5239D5CA" w14:textId="220DDFAE" w:rsidR="000A58DE" w:rsidRPr="00F2477E" w:rsidRDefault="000551CD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Streszczenie</w:t>
            </w:r>
          </w:p>
        </w:tc>
        <w:tc>
          <w:tcPr>
            <w:tcW w:w="4961" w:type="dxa"/>
            <w:tcBorders>
              <w:top w:val="single" w:sz="4" w:space="0" w:color="auto"/>
              <w:bottom w:val="single" w:sz="6" w:space="0" w:color="000000"/>
            </w:tcBorders>
          </w:tcPr>
          <w:p w14:paraId="0FCB86BE" w14:textId="28C6661C" w:rsidR="000A58DE" w:rsidRPr="00F2477E" w:rsidRDefault="000551CD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Określające cel, zakres i strukturę artykułu, a co najmniej anonsujące jego treść. Powinno zawierać słowa kluczowe, charakteryzujące przedmiot artykułu.</w:t>
            </w:r>
          </w:p>
        </w:tc>
      </w:tr>
      <w:tr w:rsidR="001D44E0" w:rsidRPr="00F2477E" w14:paraId="23CF9D03" w14:textId="77777777" w:rsidTr="0050482A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6" w:space="0" w:color="000000"/>
            </w:tcBorders>
            <w:vAlign w:val="center"/>
          </w:tcPr>
          <w:p w14:paraId="4C18BB7B" w14:textId="4EC004B2" w:rsidR="001D44E0" w:rsidRDefault="001D44E0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Treść</w:t>
            </w:r>
          </w:p>
        </w:tc>
        <w:tc>
          <w:tcPr>
            <w:tcW w:w="4961" w:type="dxa"/>
            <w:tcBorders>
              <w:top w:val="single" w:sz="4" w:space="0" w:color="auto"/>
              <w:bottom w:val="single" w:sz="6" w:space="0" w:color="000000"/>
            </w:tcBorders>
          </w:tcPr>
          <w:p w14:paraId="6BDD4C93" w14:textId="4E168F60" w:rsidR="001D44E0" w:rsidRDefault="001D44E0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Zorganizowana w sekcje o czytelnej strukturze logicznej, zawartość sekcji adekwatna do ich tytułów. Powinna wskazywać źródła cytowanych stwierdzeń, hipotez, prognoz, ilustracji, tabel.</w:t>
            </w:r>
          </w:p>
        </w:tc>
      </w:tr>
      <w:tr w:rsidR="001D44E0" w:rsidRPr="00F2477E" w14:paraId="6609B07D" w14:textId="77777777" w:rsidTr="0050482A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6" w:space="0" w:color="000000"/>
            </w:tcBorders>
            <w:vAlign w:val="center"/>
          </w:tcPr>
          <w:p w14:paraId="260058AA" w14:textId="0728692F" w:rsidR="001D44E0" w:rsidRDefault="001D44E0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Podsumowanie</w:t>
            </w:r>
          </w:p>
        </w:tc>
        <w:tc>
          <w:tcPr>
            <w:tcW w:w="4961" w:type="dxa"/>
            <w:tcBorders>
              <w:top w:val="single" w:sz="4" w:space="0" w:color="auto"/>
              <w:bottom w:val="single" w:sz="6" w:space="0" w:color="000000"/>
            </w:tcBorders>
          </w:tcPr>
          <w:p w14:paraId="76564107" w14:textId="5A71A11B" w:rsidR="001D44E0" w:rsidRDefault="001D44E0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Adekwatne do celu i zakresu artykułu. Powinno zawierać wnioski, a co najmniej syntetyczną rekapitulacji treści.</w:t>
            </w:r>
          </w:p>
        </w:tc>
      </w:tr>
      <w:tr w:rsidR="008E68BA" w:rsidRPr="00F2477E" w14:paraId="4AD18469" w14:textId="77777777" w:rsidTr="0050482A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6" w:space="0" w:color="000000"/>
            </w:tcBorders>
            <w:vAlign w:val="center"/>
          </w:tcPr>
          <w:p w14:paraId="7591FCD7" w14:textId="35FBA11E" w:rsidR="008E68BA" w:rsidRDefault="008E68BA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Bibliografia</w:t>
            </w:r>
          </w:p>
        </w:tc>
        <w:tc>
          <w:tcPr>
            <w:tcW w:w="4961" w:type="dxa"/>
            <w:tcBorders>
              <w:top w:val="single" w:sz="4" w:space="0" w:color="auto"/>
              <w:bottom w:val="single" w:sz="6" w:space="0" w:color="000000"/>
            </w:tcBorders>
          </w:tcPr>
          <w:p w14:paraId="7C9DBFBC" w14:textId="61A77A6B" w:rsidR="008E68BA" w:rsidRDefault="008E68BA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Ukazująca cytowane źródła w sposób umożliwiający czytelnikowi dotarcie do ich treści. W przypadku źródeł internetowych powinna zawierać datę odsłony.</w:t>
            </w:r>
          </w:p>
        </w:tc>
      </w:tr>
    </w:tbl>
    <w:p w14:paraId="3B2D63E0" w14:textId="014C2BEA" w:rsidR="005A05BF" w:rsidRDefault="005A05BF" w:rsidP="005A05BF">
      <w:pPr>
        <w:spacing w:before="120"/>
        <w:ind w:firstLine="0"/>
      </w:pPr>
      <w:r>
        <w:t>Należy zadbać o poprawność językową i czytelność tekstu:</w:t>
      </w:r>
    </w:p>
    <w:p w14:paraId="623D4E34" w14:textId="465A28B6" w:rsidR="005A05BF" w:rsidRDefault="005A05BF" w:rsidP="00E32E0C">
      <w:pPr>
        <w:pStyle w:val="dashitem"/>
        <w:spacing w:before="0" w:after="0"/>
      </w:pPr>
      <w:r>
        <w:t>wskazywać rozwinięcia używanych skrótów, wyjaśniać specjalistyczne pojęcia przy pierwszym użyciu,</w:t>
      </w:r>
    </w:p>
    <w:p w14:paraId="7C6BA138" w14:textId="7DCB68D6" w:rsidR="005A05BF" w:rsidRDefault="005A05BF" w:rsidP="005A05BF">
      <w:pPr>
        <w:pStyle w:val="dashitem"/>
      </w:pPr>
      <w:r>
        <w:t>unikać zbyt długich zdań, wtrąceń, przypisów dolnych i innych konstrukcji utrudniających czytanie,</w:t>
      </w:r>
    </w:p>
    <w:p w14:paraId="7F81E03C" w14:textId="73F96DFD" w:rsidR="005A05BF" w:rsidRDefault="005A05BF" w:rsidP="005A05BF">
      <w:pPr>
        <w:pStyle w:val="dashitem"/>
      </w:pPr>
      <w:r>
        <w:t>unikać określeń potocznych i żargonowych,</w:t>
      </w:r>
    </w:p>
    <w:p w14:paraId="42FD8609" w14:textId="2A3AE35A" w:rsidR="005A05BF" w:rsidRDefault="005A05BF" w:rsidP="005A05BF">
      <w:pPr>
        <w:pStyle w:val="dashitem"/>
      </w:pPr>
      <w:r>
        <w:t>zwracać uwagę na łamanie linii i stron.</w:t>
      </w:r>
    </w:p>
    <w:p w14:paraId="3030BF13" w14:textId="377AD7C7" w:rsidR="00B310A5" w:rsidRDefault="00B310A5" w:rsidP="00E32E0C">
      <w:pPr>
        <w:pStyle w:val="heading1"/>
        <w:spacing w:before="0" w:after="0"/>
      </w:pPr>
      <w:r>
        <w:t>Formatowanie</w:t>
      </w:r>
    </w:p>
    <w:p w14:paraId="7EB4B79E" w14:textId="1834F32D" w:rsidR="00E446DC" w:rsidRDefault="00E446DC" w:rsidP="00E32E0C">
      <w:pPr>
        <w:pStyle w:val="p1a"/>
        <w:spacing w:before="120"/>
      </w:pPr>
      <w:r>
        <w:t>Czcionki tytułu i czterech poziomów zagnieżdżeń sekcji powinny odpowiednio przyjąć rozmiar 14, 12, 10, 10, 10 punktów i być pogrubione (z wyjątkiem ostatniego poziomu, wyróżnianego kursywą).</w:t>
      </w:r>
    </w:p>
    <w:p w14:paraId="0C58841E" w14:textId="77647AB1" w:rsidR="00E446DC" w:rsidRDefault="00E446DC" w:rsidP="00E446DC">
      <w:pPr>
        <w:pStyle w:val="heading2"/>
      </w:pPr>
      <w:r>
        <w:t>Podział tekstu</w:t>
      </w:r>
    </w:p>
    <w:p w14:paraId="64C3BFC6" w14:textId="298303C5" w:rsidR="00E446DC" w:rsidRDefault="00E446DC" w:rsidP="00E446DC">
      <w:pPr>
        <w:pStyle w:val="p1a"/>
      </w:pPr>
      <w:r>
        <w:t>Pierwszy akapit sekcji (niezależnie od poziomu zagnieżdżenia) występuje z pominięciem wcięcia, podobnie akapit występujący po ilustracji lub tabeli.</w:t>
      </w:r>
    </w:p>
    <w:p w14:paraId="223476DB" w14:textId="05CA1757" w:rsidR="00E446DC" w:rsidRPr="00E446DC" w:rsidRDefault="00E446DC" w:rsidP="00E446DC">
      <w:r>
        <w:t>Następujące po nim akapity powinny być wcięte.</w:t>
      </w:r>
    </w:p>
    <w:p w14:paraId="2D5AC8F6" w14:textId="7E556CD0" w:rsidR="004A44D5" w:rsidRPr="00F2477E" w:rsidRDefault="009A2EA2" w:rsidP="009930E4">
      <w:pPr>
        <w:pStyle w:val="Nagwek3"/>
      </w:pPr>
      <w:r>
        <w:rPr>
          <w:rStyle w:val="heading3"/>
        </w:rPr>
        <w:lastRenderedPageBreak/>
        <w:t>Poziomy sekcji</w:t>
      </w:r>
      <w:r w:rsidR="009B2539" w:rsidRPr="00F2477E">
        <w:rPr>
          <w:rStyle w:val="heading3"/>
        </w:rPr>
        <w:t xml:space="preserve">. </w:t>
      </w:r>
      <w:r>
        <w:rPr>
          <w:rStyle w:val="heading3"/>
          <w:b w:val="0"/>
        </w:rPr>
        <w:t xml:space="preserve">Jak można zauważyć, nagłówek 3. i 4. poziomu sekcji należy zakończyć kropką </w:t>
      </w:r>
      <w:r w:rsidR="0005336C">
        <w:t>[</w:t>
      </w:r>
      <w:r w:rsidR="0005336C">
        <w:fldChar w:fldCharType="begin"/>
      </w:r>
      <w:r w:rsidR="0005336C">
        <w:instrText xml:space="preserve"> REF _Ref34165141 \n \h </w:instrText>
      </w:r>
      <w:r w:rsidR="0005336C">
        <w:fldChar w:fldCharType="separate"/>
      </w:r>
      <w:r w:rsidR="00DB17E2">
        <w:t>1</w:t>
      </w:r>
      <w:r w:rsidR="0005336C">
        <w:fldChar w:fldCharType="end"/>
      </w:r>
      <w:r w:rsidR="0005336C">
        <w:t>]</w:t>
      </w:r>
      <w:r>
        <w:rPr>
          <w:rStyle w:val="heading3"/>
          <w:b w:val="0"/>
        </w:rPr>
        <w:t>. Wyłącznie dwa pierwsze poziomy są numerowane. Dalsze zagnieżdżenie skutkuje brakiem numeracji – wymagany sposób formatowania tekstu w tym przypadku to wlewanie nagłówków w tej samej linii</w:t>
      </w:r>
      <w:r w:rsidR="009B2539" w:rsidRPr="00F2477E">
        <w:rPr>
          <w:rStyle w:val="heading3"/>
          <w:b w:val="0"/>
        </w:rPr>
        <w:t>.</w:t>
      </w:r>
    </w:p>
    <w:p w14:paraId="0EDC63B5" w14:textId="279166EE" w:rsidR="004A44D5" w:rsidRDefault="0030739A" w:rsidP="009930E4">
      <w:pPr>
        <w:pStyle w:val="Nagwek4"/>
        <w:rPr>
          <w:rStyle w:val="heading4"/>
          <w:i w:val="0"/>
        </w:rPr>
      </w:pPr>
      <w:r>
        <w:rPr>
          <w:rStyle w:val="heading4"/>
        </w:rPr>
        <w:t>Granice zagnieżdżania</w:t>
      </w:r>
      <w:r w:rsidR="009B2539" w:rsidRPr="00F2477E">
        <w:rPr>
          <w:rStyle w:val="heading4"/>
        </w:rPr>
        <w:t>.</w:t>
      </w:r>
      <w:r w:rsidR="009B2539" w:rsidRPr="00F2477E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>W niniejszym szablonie dopuszcza się możliwość stosowania maksymalnie czterech poziomów zagnieżdżenia, jednak ostatni poziom najczęściej wpływa negatywnie na czytelność tekstu.</w:t>
      </w:r>
    </w:p>
    <w:p w14:paraId="10267562" w14:textId="6B7D6293" w:rsidR="00DE527C" w:rsidRDefault="00DE527C" w:rsidP="00E32E0C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Dzielenie wyrazów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Należy pamiętać o dzieleniu wyrazów z wykorzystaniem dywizu, a także łącznika – pauzy lub półpauzy – zgodnie z polskimi regułami słownikowymi. Sugeruje się jednak zastąpienie pauzy półpauzą w celu zwiększenia czytelności tekstu.</w:t>
      </w:r>
    </w:p>
    <w:p w14:paraId="443BA234" w14:textId="229BC0A8" w:rsidR="00DE527C" w:rsidRDefault="00DE527C" w:rsidP="00E32E0C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Łamanie linii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Tekst powinien być wyrównany obustronnie. Część wyrazów w języku polskim (np. krótkie spójniki) nie może być stosowana na końcu linii. Aby tego uniknąć, należy stosować skrypt porządkujący tekst lub korzystać ze znaku twardej spacji.</w:t>
      </w:r>
    </w:p>
    <w:p w14:paraId="070CE9E0" w14:textId="3F969D38" w:rsidR="00DE527C" w:rsidRDefault="00DE527C" w:rsidP="00E32E0C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Łamanie stron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Dobrą praktyką, nie zawsze możliwą do realizacji jest przejście do nowej strony na granicach akapitów i w taki sposób, aby w treści akapitu kończącego stronę nie było odwołania do ilustracji/tabeli znajdującej się na kolejnej. Należy unikać kontynuacji niewielkiej części wątku na następnej stronie, szczególnie jeśli jest parzysta (niewidoczna w trybie czytania dwóch stron naraz).</w:t>
      </w:r>
    </w:p>
    <w:p w14:paraId="2ED6F9CE" w14:textId="77777777" w:rsidR="00234FBB" w:rsidRDefault="007259B5" w:rsidP="00E32E0C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Odstępy pionowe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Nadmierne odstępy pionowe utrudniają odbiór tekstu. Wdrożenie zasady łamania stron może wpłynąć na zwiększenie wspomnianych odstępów. Warto w takim przypadku rozważyć możliwość przeredagowania tekstu aby umieścić zawartość jeszcze jednego akapitu na stronie.</w:t>
      </w:r>
    </w:p>
    <w:p w14:paraId="5EC5CC95" w14:textId="77777777" w:rsidR="00234FBB" w:rsidRDefault="00234FBB" w:rsidP="00234FBB">
      <w:pPr>
        <w:pStyle w:val="heading2"/>
        <w:rPr>
          <w:rStyle w:val="heading3"/>
          <w:b/>
        </w:rPr>
      </w:pPr>
      <w:r>
        <w:rPr>
          <w:rStyle w:val="heading3"/>
          <w:b/>
        </w:rPr>
        <w:t>Uzupełnienia treści</w:t>
      </w:r>
    </w:p>
    <w:p w14:paraId="101A4DA1" w14:textId="204197BD" w:rsidR="007259B5" w:rsidRDefault="00234FBB" w:rsidP="00234FBB">
      <w:pPr>
        <w:pStyle w:val="p1a"/>
      </w:pPr>
      <w:r>
        <w:t>Wśród często stosowanych obiektów urozmaicających treść są tabele i rysunki. Rozpatrzmy oba przykłady (Rys. 1, Tab. 2).</w:t>
      </w:r>
    </w:p>
    <w:p w14:paraId="0F66F54B" w14:textId="50726B98" w:rsidR="00052B18" w:rsidRPr="00052B18" w:rsidRDefault="00052B18" w:rsidP="00E32E0C">
      <w:pPr>
        <w:spacing w:before="360"/>
        <w:jc w:val="center"/>
      </w:pPr>
      <w:r>
        <w:rPr>
          <w:noProof/>
        </w:rPr>
        <w:drawing>
          <wp:inline distT="0" distB="0" distL="0" distR="0" wp14:anchorId="50968514" wp14:editId="397C2875">
            <wp:extent cx="3446585" cy="685032"/>
            <wp:effectExtent l="0" t="0" r="1905" b="1270"/>
            <wp:docPr id="5" name="Obraz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476432" cy="6909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7E27CF" w14:textId="5BF8B7E2" w:rsidR="00E32E0C" w:rsidRDefault="00DD3AFB" w:rsidP="00E32E0C">
      <w:pPr>
        <w:pStyle w:val="figurecaption"/>
      </w:pPr>
      <w:r>
        <w:rPr>
          <w:b/>
        </w:rPr>
        <w:t xml:space="preserve">Rys.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DB17E2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Krótkie podpisy należy wyrównać do środka.</w:t>
      </w:r>
      <w:r w:rsidR="00E32E0C">
        <w:br w:type="page"/>
      </w:r>
    </w:p>
    <w:p w14:paraId="37E9BE2B" w14:textId="4ADB2085" w:rsidR="004A44D5" w:rsidRPr="00E02128" w:rsidRDefault="00E02128" w:rsidP="00E02128">
      <w:pPr>
        <w:pStyle w:val="tablecaption"/>
      </w:pPr>
      <w:r>
        <w:rPr>
          <w:b/>
        </w:rPr>
        <w:lastRenderedPageBreak/>
        <w:t xml:space="preserve">Tab.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DB17E2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 xml:space="preserve">. </w:t>
      </w:r>
      <w:r>
        <w:t>Style wlewania tekstu</w:t>
      </w:r>
      <w:r w:rsidRPr="00F2477E">
        <w:t>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270"/>
        <w:gridCol w:w="1927"/>
      </w:tblGrid>
      <w:tr w:rsidR="004A44D5" w:rsidRPr="00F2477E" w14:paraId="1848B376" w14:textId="77777777" w:rsidTr="00E32E0C">
        <w:trPr>
          <w:trHeight w:val="45"/>
          <w:jc w:val="center"/>
        </w:trPr>
        <w:tc>
          <w:tcPr>
            <w:tcW w:w="1692" w:type="dxa"/>
            <w:tcBorders>
              <w:top w:val="single" w:sz="4" w:space="0" w:color="auto"/>
              <w:bottom w:val="single" w:sz="6" w:space="0" w:color="000000"/>
            </w:tcBorders>
          </w:tcPr>
          <w:p w14:paraId="1D313FEE" w14:textId="00893BC1" w:rsidR="004A44D5" w:rsidRPr="00F2477E" w:rsidRDefault="000318DE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Typ</w:t>
            </w:r>
          </w:p>
        </w:tc>
        <w:tc>
          <w:tcPr>
            <w:tcW w:w="3270" w:type="dxa"/>
            <w:tcBorders>
              <w:top w:val="single" w:sz="4" w:space="0" w:color="auto"/>
              <w:bottom w:val="single" w:sz="6" w:space="0" w:color="000000"/>
            </w:tcBorders>
          </w:tcPr>
          <w:p w14:paraId="056E4BCE" w14:textId="7906578D" w:rsidR="004A44D5" w:rsidRPr="00F2477E" w:rsidRDefault="000318DE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Przykład</w:t>
            </w:r>
          </w:p>
        </w:tc>
        <w:tc>
          <w:tcPr>
            <w:tcW w:w="1927" w:type="dxa"/>
            <w:tcBorders>
              <w:top w:val="single" w:sz="4" w:space="0" w:color="auto"/>
              <w:bottom w:val="single" w:sz="6" w:space="0" w:color="000000"/>
            </w:tcBorders>
          </w:tcPr>
          <w:p w14:paraId="735ED61B" w14:textId="32DAE251" w:rsidR="004A44D5" w:rsidRPr="00F2477E" w:rsidRDefault="000318DE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Styl i wielkość czcionki</w:t>
            </w:r>
          </w:p>
        </w:tc>
      </w:tr>
      <w:tr w:rsidR="004A44D5" w:rsidRPr="00F2477E" w14:paraId="0263D67D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38196DD7" w14:textId="3A01DFE3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Tytuł</w:t>
            </w:r>
          </w:p>
        </w:tc>
        <w:tc>
          <w:tcPr>
            <w:tcW w:w="3270" w:type="dxa"/>
            <w:vAlign w:val="center"/>
          </w:tcPr>
          <w:p w14:paraId="42979EE2" w14:textId="25E7D870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Zasady</w:t>
            </w:r>
          </w:p>
        </w:tc>
        <w:tc>
          <w:tcPr>
            <w:tcW w:w="1927" w:type="dxa"/>
            <w:vAlign w:val="center"/>
          </w:tcPr>
          <w:p w14:paraId="4DB70C68" w14:textId="07867644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14 punktów, pogrubiona</w:t>
            </w:r>
          </w:p>
        </w:tc>
      </w:tr>
      <w:tr w:rsidR="004A44D5" w:rsidRPr="00F2477E" w14:paraId="2AA6F94F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4B2831AE" w14:textId="382FB85E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Sekcja</w:t>
            </w:r>
          </w:p>
        </w:tc>
        <w:tc>
          <w:tcPr>
            <w:tcW w:w="3270" w:type="dxa"/>
            <w:vAlign w:val="center"/>
          </w:tcPr>
          <w:p w14:paraId="6006C9DC" w14:textId="786C8253" w:rsidR="004A44D5" w:rsidRPr="00F2477E" w:rsidRDefault="009B2539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 w:rsidRPr="00F2477E">
              <w:rPr>
                <w:b/>
                <w:bCs/>
                <w:sz w:val="24"/>
                <w:szCs w:val="21"/>
              </w:rPr>
              <w:t xml:space="preserve">1 </w:t>
            </w:r>
            <w:r w:rsidR="00BB367A">
              <w:rPr>
                <w:b/>
                <w:bCs/>
                <w:sz w:val="24"/>
                <w:szCs w:val="21"/>
              </w:rPr>
              <w:t>Wprowadzenie</w:t>
            </w:r>
          </w:p>
        </w:tc>
        <w:tc>
          <w:tcPr>
            <w:tcW w:w="1927" w:type="dxa"/>
            <w:vAlign w:val="center"/>
          </w:tcPr>
          <w:p w14:paraId="7F7AF21B" w14:textId="7F238625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 punktów, pogrubiona</w:t>
            </w:r>
          </w:p>
        </w:tc>
      </w:tr>
      <w:tr w:rsidR="004A44D5" w:rsidRPr="00F2477E" w14:paraId="506FB096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62B71D25" w14:textId="6AAC85FB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Podsekcja</w:t>
            </w:r>
          </w:p>
        </w:tc>
        <w:tc>
          <w:tcPr>
            <w:tcW w:w="3270" w:type="dxa"/>
            <w:vAlign w:val="center"/>
          </w:tcPr>
          <w:p w14:paraId="25E5FF4B" w14:textId="1BBB1AFD" w:rsidR="004A44D5" w:rsidRPr="00F2477E" w:rsidRDefault="009B2539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 w:rsidRPr="00F2477E">
              <w:rPr>
                <w:b/>
                <w:bCs/>
                <w:szCs w:val="18"/>
              </w:rPr>
              <w:t xml:space="preserve">2.1 </w:t>
            </w:r>
            <w:r w:rsidR="00BB367A">
              <w:rPr>
                <w:b/>
                <w:bCs/>
                <w:szCs w:val="18"/>
              </w:rPr>
              <w:t>Podział tekstu</w:t>
            </w:r>
          </w:p>
        </w:tc>
        <w:tc>
          <w:tcPr>
            <w:tcW w:w="1927" w:type="dxa"/>
            <w:vAlign w:val="center"/>
          </w:tcPr>
          <w:p w14:paraId="037F947A" w14:textId="009BAC5F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punktów, pogrubiona</w:t>
            </w:r>
          </w:p>
        </w:tc>
      </w:tr>
      <w:tr w:rsidR="004A44D5" w:rsidRPr="00F2477E" w14:paraId="7FB03056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67D64108" w14:textId="5E6B4C97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Paragraf</w:t>
            </w:r>
          </w:p>
        </w:tc>
        <w:tc>
          <w:tcPr>
            <w:tcW w:w="3270" w:type="dxa"/>
            <w:vAlign w:val="center"/>
          </w:tcPr>
          <w:p w14:paraId="2189C83E" w14:textId="07F480F0" w:rsidR="004A44D5" w:rsidRPr="00BB367A" w:rsidRDefault="00BB367A" w:rsidP="00E32E0C">
            <w:pPr>
              <w:spacing w:line="240" w:lineRule="auto"/>
              <w:ind w:firstLine="0"/>
              <w:jc w:val="left"/>
            </w:pPr>
            <w:r>
              <w:rPr>
                <w:b/>
                <w:bCs/>
                <w:szCs w:val="18"/>
              </w:rPr>
              <w:t>Poziom</w:t>
            </w:r>
            <w:r w:rsidR="009C0103">
              <w:rPr>
                <w:b/>
                <w:bCs/>
                <w:szCs w:val="18"/>
              </w:rPr>
              <w:t>y sekcji</w:t>
            </w:r>
          </w:p>
        </w:tc>
        <w:tc>
          <w:tcPr>
            <w:tcW w:w="1927" w:type="dxa"/>
            <w:vAlign w:val="center"/>
          </w:tcPr>
          <w:p w14:paraId="3DD3C16C" w14:textId="2542D571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punktów, pogrubiona</w:t>
            </w:r>
          </w:p>
        </w:tc>
      </w:tr>
      <w:tr w:rsidR="004A44D5" w:rsidRPr="00F2477E" w14:paraId="4CAEB4CD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253B46DC" w14:textId="2482E54E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Podparagraf</w:t>
            </w:r>
          </w:p>
        </w:tc>
        <w:tc>
          <w:tcPr>
            <w:tcW w:w="3270" w:type="dxa"/>
            <w:vAlign w:val="center"/>
          </w:tcPr>
          <w:p w14:paraId="6E1A23E3" w14:textId="46E39552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i/>
                <w:iCs/>
                <w:szCs w:val="18"/>
              </w:rPr>
              <w:t>Granice zagnieżdżania</w:t>
            </w:r>
          </w:p>
        </w:tc>
        <w:tc>
          <w:tcPr>
            <w:tcW w:w="1927" w:type="dxa"/>
            <w:vAlign w:val="center"/>
          </w:tcPr>
          <w:p w14:paraId="7BDF9D9E" w14:textId="70B9EC66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punktów, kursywa</w:t>
            </w:r>
          </w:p>
        </w:tc>
      </w:tr>
      <w:tr w:rsidR="00BB367A" w:rsidRPr="00F2477E" w14:paraId="7903805D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2864154B" w14:textId="77FF4ABA" w:rsidR="00BB367A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Zwykły tekst</w:t>
            </w:r>
          </w:p>
        </w:tc>
        <w:tc>
          <w:tcPr>
            <w:tcW w:w="3270" w:type="dxa"/>
            <w:vAlign w:val="center"/>
          </w:tcPr>
          <w:p w14:paraId="2291B7F0" w14:textId="0210DA9E" w:rsidR="00BB367A" w:rsidRPr="00BB367A" w:rsidRDefault="00BB367A" w:rsidP="00E32E0C">
            <w:pPr>
              <w:spacing w:line="240" w:lineRule="auto"/>
              <w:ind w:firstLine="0"/>
              <w:jc w:val="left"/>
              <w:rPr>
                <w:i/>
                <w:iCs/>
              </w:rPr>
            </w:pPr>
            <w:r w:rsidRPr="00BB367A">
              <w:t>Nadmierne odstępy pionowe</w:t>
            </w:r>
          </w:p>
        </w:tc>
        <w:tc>
          <w:tcPr>
            <w:tcW w:w="1927" w:type="dxa"/>
            <w:vAlign w:val="center"/>
          </w:tcPr>
          <w:p w14:paraId="4B4A35EC" w14:textId="15B09F70" w:rsidR="00BB367A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punktów</w:t>
            </w:r>
          </w:p>
        </w:tc>
      </w:tr>
      <w:tr w:rsidR="00BB367A" w:rsidRPr="00F2477E" w14:paraId="5201484B" w14:textId="77777777" w:rsidTr="00BB367A">
        <w:trPr>
          <w:trHeight w:val="284"/>
          <w:jc w:val="center"/>
        </w:trPr>
        <w:tc>
          <w:tcPr>
            <w:tcW w:w="1692" w:type="dxa"/>
            <w:tcBorders>
              <w:bottom w:val="single" w:sz="4" w:space="0" w:color="auto"/>
            </w:tcBorders>
            <w:vAlign w:val="center"/>
          </w:tcPr>
          <w:p w14:paraId="0F72DDF7" w14:textId="7D8249C6" w:rsidR="00BB367A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Podpis</w:t>
            </w:r>
          </w:p>
        </w:tc>
        <w:tc>
          <w:tcPr>
            <w:tcW w:w="3270" w:type="dxa"/>
            <w:tcBorders>
              <w:bottom w:val="single" w:sz="4" w:space="0" w:color="auto"/>
            </w:tcBorders>
            <w:vAlign w:val="center"/>
          </w:tcPr>
          <w:p w14:paraId="44BA1436" w14:textId="212AD69F" w:rsidR="00BB367A" w:rsidRPr="00F2477E" w:rsidRDefault="00BB367A" w:rsidP="00E32E0C">
            <w:pPr>
              <w:spacing w:line="240" w:lineRule="auto"/>
              <w:ind w:firstLine="0"/>
              <w:jc w:val="left"/>
              <w:rPr>
                <w:i/>
                <w:iCs/>
                <w:szCs w:val="18"/>
              </w:rPr>
            </w:pPr>
            <w:r w:rsidRPr="00BB367A">
              <w:rPr>
                <w:b/>
                <w:bCs/>
                <w:sz w:val="18"/>
                <w:szCs w:val="18"/>
              </w:rPr>
              <w:t>Tab. 2.</w:t>
            </w:r>
            <w:r>
              <w:rPr>
                <w:sz w:val="18"/>
                <w:szCs w:val="18"/>
              </w:rPr>
              <w:t xml:space="preserve"> Style wlewania tekstu</w:t>
            </w:r>
          </w:p>
        </w:tc>
        <w:tc>
          <w:tcPr>
            <w:tcW w:w="1927" w:type="dxa"/>
            <w:tcBorders>
              <w:bottom w:val="single" w:sz="4" w:space="0" w:color="auto"/>
            </w:tcBorders>
            <w:vAlign w:val="center"/>
          </w:tcPr>
          <w:p w14:paraId="31A64066" w14:textId="66B49DC3" w:rsidR="00BB367A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9 punktów</w:t>
            </w:r>
          </w:p>
        </w:tc>
      </w:tr>
    </w:tbl>
    <w:p w14:paraId="1B7963A7" w14:textId="32C77EE3" w:rsidR="000E1BD8" w:rsidRDefault="000E1BD8" w:rsidP="004A44D5">
      <w:pPr>
        <w:spacing w:before="240"/>
        <w:ind w:firstLine="0"/>
      </w:pPr>
      <w:r>
        <w:t>Podpis powinien znajdować się powyżej tabeli, ale poniżej rysunku.</w:t>
      </w:r>
      <w:r w:rsidR="00D95A0A">
        <w:t xml:space="preserve"> Powinien także identyfikować zawartość, a jeśli potrzebne jest obszerniejsze omówienie, to należy je zamieścić w tekście, w którym zazwyczaj anonsujemy, objaśniamy lub komentujemy zawartość ilustracji i tabel. W ten sposób </w:t>
      </w:r>
      <w:r w:rsidR="00180AF6">
        <w:t>c</w:t>
      </w:r>
      <w:r w:rsidR="00D95A0A">
        <w:t>zytelnik jest w stanie poznać intencje autora dotyczące prezentacji obiektów urozmaicających w artykule. Warto też zwrócić uwagę na dopasowanie rozmiaru wykorzystanych obiektów do pozostałej treści strony.</w:t>
      </w:r>
    </w:p>
    <w:p w14:paraId="7CBB6533" w14:textId="263141BE" w:rsidR="00956BC4" w:rsidRDefault="00956BC4" w:rsidP="00052B18">
      <w:pPr>
        <w:spacing w:before="240"/>
        <w:ind w:firstLine="0"/>
        <w:rPr>
          <w:rStyle w:val="heading3"/>
          <w:b w:val="0"/>
        </w:rPr>
      </w:pPr>
      <w:r>
        <w:rPr>
          <w:rStyle w:val="heading3"/>
        </w:rPr>
        <w:t>Wykresy</w:t>
      </w:r>
      <w:r w:rsidRPr="00F2477E">
        <w:rPr>
          <w:rStyle w:val="heading3"/>
        </w:rPr>
        <w:t xml:space="preserve">. </w:t>
      </w:r>
      <w:r w:rsidR="000231AA">
        <w:rPr>
          <w:rStyle w:val="heading3"/>
          <w:b w:val="0"/>
        </w:rPr>
        <w:t>Korzystając z tej formy prezentacji informacji, warto pamiętać o opisaniu osi wykresu, użyciu adekwatnej skali i typie dostosowanym do rodzaju danych, a także konsekwencji stylistycznej.</w:t>
      </w:r>
    </w:p>
    <w:p w14:paraId="14E21671" w14:textId="58490A7D" w:rsidR="00770511" w:rsidRDefault="00770511" w:rsidP="00052B18">
      <w:pPr>
        <w:spacing w:before="240"/>
        <w:ind w:firstLine="0"/>
        <w:jc w:val="center"/>
      </w:pPr>
      <w:r>
        <w:rPr>
          <w:noProof/>
        </w:rPr>
        <w:drawing>
          <wp:inline distT="0" distB="0" distL="0" distR="0" wp14:anchorId="0178EA8E" wp14:editId="775BF119">
            <wp:extent cx="2737591" cy="2315845"/>
            <wp:effectExtent l="0" t="0" r="5715" b="8255"/>
            <wp:docPr id="6" name="Wykres 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14:paraId="78CF901E" w14:textId="430F38E8" w:rsidR="00E32E0C" w:rsidRDefault="003D6BB9" w:rsidP="005F6D94">
      <w:pPr>
        <w:pStyle w:val="figurecaption"/>
        <w:jc w:val="both"/>
      </w:pPr>
      <w:r>
        <w:rPr>
          <w:b/>
        </w:rPr>
        <w:t xml:space="preserve">Rys.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DB17E2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Długie podpisy (zajmujące więcej niż jedną linię), należy wyrównać obustronnie. Wielkość czcionek w opisach obiektów na ilustracjach powinna być zbliżona do wielkości używanej w podpisie. Obyczaj używania znaczników wynika z nieczytelności kolorowych wykresów na czarno–białych wydrukach i kopiach.</w:t>
      </w:r>
    </w:p>
    <w:p w14:paraId="05C5E15A" w14:textId="33922CBA" w:rsidR="0075110F" w:rsidRDefault="0075110F" w:rsidP="0075110F">
      <w:pPr>
        <w:ind w:firstLine="0"/>
        <w:rPr>
          <w:rStyle w:val="heading3"/>
          <w:b w:val="0"/>
        </w:rPr>
      </w:pPr>
      <w:r>
        <w:rPr>
          <w:rStyle w:val="heading3"/>
        </w:rPr>
        <w:t>Wnioskowanie logiczne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Korzysta się z wielu form prezentacji logicznych wyrażeń</w:t>
      </w:r>
      <w:r w:rsidR="005F6D94">
        <w:rPr>
          <w:rStyle w:val="heading3"/>
          <w:b w:val="0"/>
        </w:rPr>
        <w:t xml:space="preserve">: </w:t>
      </w:r>
      <w:r>
        <w:rPr>
          <w:rStyle w:val="heading3"/>
          <w:b w:val="0"/>
        </w:rPr>
        <w:t>pytania, spostrzeżenia, teorie i hipotezy, lematy twierdzenia, dowody i wnioski,</w:t>
      </w:r>
      <w:r w:rsidR="005F6D94">
        <w:rPr>
          <w:rStyle w:val="heading3"/>
          <w:b w:val="0"/>
        </w:rPr>
        <w:t xml:space="preserve"> </w:t>
      </w:r>
      <w:r w:rsidR="005F6D94">
        <w:rPr>
          <w:rStyle w:val="heading3"/>
          <w:b w:val="0"/>
        </w:rPr>
        <w:br/>
      </w:r>
      <w:r w:rsidR="005F6D94">
        <w:rPr>
          <w:rStyle w:val="heading3"/>
          <w:b w:val="0"/>
        </w:rPr>
        <w:lastRenderedPageBreak/>
        <w:br/>
      </w:r>
      <w:r>
        <w:rPr>
          <w:rStyle w:val="heading3"/>
          <w:b w:val="0"/>
        </w:rPr>
        <w:t>definicje, przykłady, własności i rozwiązania. Student może je (oszczędnie) stosować, aby uporządkować tok rozumowania.</w:t>
      </w:r>
    </w:p>
    <w:p w14:paraId="605DCDB6" w14:textId="1D8442E4" w:rsidR="0075110F" w:rsidRDefault="0075110F" w:rsidP="00011923">
      <w:pPr>
        <w:spacing w:before="120"/>
        <w:ind w:firstLine="0"/>
      </w:pPr>
      <w:r>
        <w:rPr>
          <w:i/>
          <w:iCs/>
        </w:rPr>
        <w:t>Twierdzenie</w:t>
      </w:r>
      <w:r>
        <w:t xml:space="preserve">. Dla liczb dodatnich całkowitych </w:t>
      </w:r>
      <m:oMath>
        <m:r>
          <w:rPr>
            <w:rFonts w:ascii="Cambria Math" w:hAnsi="Cambria Math"/>
          </w:rPr>
          <m:t>a</m:t>
        </m:r>
      </m:oMath>
      <w:r>
        <w:t xml:space="preserve"> i </w:t>
      </w:r>
      <m:oMath>
        <m:r>
          <w:rPr>
            <w:rFonts w:ascii="Cambria Math" w:hAnsi="Cambria Math"/>
          </w:rPr>
          <m:t>b</m:t>
        </m:r>
      </m:oMath>
      <w:r>
        <w:t xml:space="preserve">, jeśli liczba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jest podzielna przez liczbę </w:t>
      </w:r>
      <m:oMath>
        <m:r>
          <w:rPr>
            <w:rFonts w:ascii="Cambria Math" w:hAnsi="Cambria Math"/>
          </w:rPr>
          <m:t>a+b</m:t>
        </m:r>
      </m:oMath>
      <w:r>
        <w:t xml:space="preserve">, to także liczba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b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jest podzielna przez </w:t>
      </w:r>
      <m:oMath>
        <m:r>
          <w:rPr>
            <w:rFonts w:ascii="Cambria Math" w:hAnsi="Cambria Math"/>
          </w:rPr>
          <m:t>a+b</m:t>
        </m:r>
      </m:oMath>
      <w:r>
        <w:t>.</w:t>
      </w:r>
    </w:p>
    <w:p w14:paraId="113612A1" w14:textId="1385D61C" w:rsidR="00331C97" w:rsidRDefault="0075110F" w:rsidP="004A44D5">
      <w:pPr>
        <w:spacing w:before="240"/>
        <w:ind w:firstLine="0"/>
      </w:pPr>
      <w:r>
        <w:rPr>
          <w:i/>
          <w:iCs/>
        </w:rPr>
        <w:t>Dowód</w:t>
      </w:r>
      <w:r>
        <w:t xml:space="preserve">. Zauważmy, że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b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-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=(b-a)(b+a)</m:t>
        </m:r>
      </m:oMath>
      <w:r w:rsidR="00713F35">
        <w:t>, czyli:</w:t>
      </w:r>
    </w:p>
    <w:p w14:paraId="1073A2E7" w14:textId="38115574" w:rsidR="00AD3588" w:rsidRPr="00AD3588" w:rsidRDefault="003E407E" w:rsidP="00AD3588">
      <w:pPr>
        <w:pStyle w:val="equation"/>
      </w:pPr>
      <m:oMathPara>
        <m:oMathParaPr>
          <m:jc m:val="right"/>
        </m:oMathParaPr>
        <m:oMath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b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 xml:space="preserve">=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a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+(</m:t>
          </m:r>
          <m:r>
            <w:rPr>
              <w:rFonts w:ascii="Cambria Math" w:hAnsi="Cambria Math"/>
            </w:rPr>
            <m:t>b</m:t>
          </m:r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a</m:t>
          </m:r>
          <m:r>
            <m:rPr>
              <m:sty m:val="p"/>
            </m:rPr>
            <w:rPr>
              <w:rFonts w:ascii="Cambria Math" w:hAnsi="Cambria Math"/>
            </w:rPr>
            <m:t>)(</m:t>
          </m:r>
          <m:r>
            <w:rPr>
              <w:rFonts w:ascii="Cambria Math" w:hAnsi="Cambria Math"/>
            </w:rPr>
            <m:t>b</m:t>
          </m:r>
          <m:r>
            <m:rPr>
              <m:sty m:val="p"/>
            </m:rP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a</m:t>
          </m:r>
          <m:r>
            <m:rPr>
              <m:sty m:val="p"/>
            </m:rPr>
            <w:rPr>
              <w:rFonts w:ascii="Cambria Math" w:hAnsi="Cambria Math"/>
            </w:rPr>
            <m:t>)                                          (</m:t>
          </m:r>
          <m:r>
            <m:rPr>
              <m:sty m:val="p"/>
            </m:rPr>
            <w:rPr>
              <w:rFonts w:ascii="Cambria Math" w:hAnsi="Cambria Math"/>
            </w:rPr>
            <w:fldChar w:fldCharType="begin"/>
          </m:r>
          <m:r>
            <m:rPr>
              <m:sty m:val="p"/>
            </m:rPr>
            <w:rPr>
              <w:rFonts w:ascii="Cambria Math" w:hAnsi="Cambria Math"/>
            </w:rPr>
            <m:t xml:space="preserve"> SEQ "equation" \n \* MERGEFORMAT </m:t>
          </m:r>
          <m:r>
            <m:rPr>
              <m:sty m:val="p"/>
            </m:rPr>
            <w:rPr>
              <w:rFonts w:ascii="Cambria Math" w:hAnsi="Cambria Math"/>
            </w:rPr>
            <w:fldChar w:fldCharType="separate"/>
          </m:r>
          <m:r>
            <m:rPr>
              <m:sty m:val="p"/>
            </m:rPr>
            <w:rPr>
              <w:rFonts w:ascii="Cambria Math" w:hAnsi="Cambria Math"/>
              <w:noProof/>
            </w:rPr>
            <m:t>1</m:t>
          </m:r>
          <m:r>
            <m:rPr>
              <m:sty m:val="p"/>
            </m:rPr>
            <w:rPr>
              <w:rFonts w:ascii="Cambria Math" w:hAnsi="Cambria Math"/>
            </w:rPr>
            <w:fldChar w:fldCharType="end"/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14:paraId="665D2D9F" w14:textId="76E3BE84" w:rsidR="00E24CFC" w:rsidRDefault="00E24CFC" w:rsidP="004A44D5">
      <w:pPr>
        <w:spacing w:before="240"/>
        <w:ind w:firstLine="0"/>
      </w:pPr>
      <w:r>
        <w:t xml:space="preserve">Jeśli liczba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jest podzielna przez </w:t>
      </w:r>
      <m:oMath>
        <m:r>
          <w:rPr>
            <w:rFonts w:ascii="Cambria Math" w:hAnsi="Cambria Math"/>
          </w:rPr>
          <m:t>a+b</m:t>
        </m:r>
      </m:oMath>
      <w:r>
        <w:t xml:space="preserve">, to prawa strona równania (1) również, na </w:t>
      </w:r>
      <w:r w:rsidR="00CF5BFB">
        <w:t>podstawie</w:t>
      </w:r>
      <w:r>
        <w:t xml:space="preserve"> rozdzielności mnożenia względem dodawania, ponieważ jest sumą liczb podzielnych przez </w:t>
      </w:r>
      <m:oMath>
        <m:r>
          <w:rPr>
            <w:rFonts w:ascii="Cambria Math" w:hAnsi="Cambria Math"/>
          </w:rPr>
          <m:t>a+b</m:t>
        </m:r>
      </m:oMath>
      <w:r>
        <w:t xml:space="preserve">. </w:t>
      </w:r>
      <w:r w:rsidR="00BC221F">
        <w:t xml:space="preserve">                                                                                                 </w:t>
      </w:r>
      <m:oMath>
        <m:r>
          <w:rPr>
            <w:rFonts w:ascii="Cambria Math" w:hAnsi="Cambria Math"/>
          </w:rPr>
          <m:t>□</m:t>
        </m:r>
      </m:oMath>
    </w:p>
    <w:p w14:paraId="45B917E1" w14:textId="4471E7F2" w:rsidR="00CF5BFB" w:rsidRDefault="00CF5BFB" w:rsidP="004A44D5">
      <w:pPr>
        <w:spacing w:before="240"/>
        <w:ind w:firstLine="0"/>
      </w:pPr>
      <w:r>
        <w:t>Należy zwrócić szczególną uwagę na spójność argumentacji i dostosowanie poziomu szczegółowości wnioskowania do spodziewanego stanu wiedzy odbiorcy artykułu. Sugeruje się zastosowanie krytycznego podejścia do autorskich badań, precyzyjny opis procedury i środowiska testowego, a także wnikliwą analizę otrzymanych rezultatów.</w:t>
      </w:r>
    </w:p>
    <w:p w14:paraId="08161B92" w14:textId="5A7634AF" w:rsidR="007B1933" w:rsidRDefault="00EE1ABF" w:rsidP="00011923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Pseudokod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Zaleca się użycie pseudokodu w celu przedstawienia zasady działania algorytmu. Należy stosować minimalistyczne podejście w opisie obiektów, tj. pomijać numerację dla typów występujących w tekście wyłącznie jeden raz.</w:t>
      </w:r>
      <w:r w:rsidR="007B1933">
        <w:rPr>
          <w:rStyle w:val="heading3"/>
          <w:b w:val="0"/>
        </w:rPr>
        <w:br/>
      </w:r>
    </w:p>
    <w:tbl>
      <w:tblPr>
        <w:tblW w:w="6804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09"/>
        <w:gridCol w:w="1985"/>
        <w:gridCol w:w="4110"/>
      </w:tblGrid>
      <w:tr w:rsidR="007B1933" w:rsidRPr="00F2477E" w14:paraId="384EACCF" w14:textId="120AF2BB" w:rsidTr="00DE1998">
        <w:trPr>
          <w:jc w:val="center"/>
        </w:trPr>
        <w:tc>
          <w:tcPr>
            <w:tcW w:w="709" w:type="dxa"/>
            <w:tcBorders>
              <w:top w:val="single" w:sz="4" w:space="0" w:color="auto"/>
              <w:bottom w:val="single" w:sz="6" w:space="0" w:color="000000"/>
            </w:tcBorders>
          </w:tcPr>
          <w:p w14:paraId="570D73A4" w14:textId="07744EDA" w:rsidR="007B1933" w:rsidRPr="00B9647E" w:rsidRDefault="007B1933" w:rsidP="00B9647E">
            <w:pPr>
              <w:ind w:firstLine="0"/>
              <w:jc w:val="left"/>
              <w:rPr>
                <w:b/>
                <w:bCs/>
                <w:sz w:val="18"/>
                <w:szCs w:val="18"/>
              </w:rPr>
            </w:pPr>
            <w:r w:rsidRPr="00B9647E">
              <w:rPr>
                <w:b/>
                <w:bCs/>
                <w:sz w:val="18"/>
                <w:szCs w:val="18"/>
              </w:rPr>
              <w:t>Listing</w:t>
            </w:r>
          </w:p>
        </w:tc>
        <w:tc>
          <w:tcPr>
            <w:tcW w:w="6095" w:type="dxa"/>
            <w:gridSpan w:val="2"/>
            <w:tcBorders>
              <w:top w:val="single" w:sz="4" w:space="0" w:color="auto"/>
              <w:bottom w:val="single" w:sz="6" w:space="0" w:color="000000"/>
            </w:tcBorders>
          </w:tcPr>
          <w:p w14:paraId="490EAD86" w14:textId="0D9A5F6D" w:rsidR="007B1933" w:rsidRDefault="007B1933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Algorytm Euklidesa</w:t>
            </w:r>
          </w:p>
        </w:tc>
      </w:tr>
      <w:tr w:rsidR="007B1933" w:rsidRPr="00F2477E" w14:paraId="107FD38E" w14:textId="5323D35B" w:rsidTr="00443ABE">
        <w:trPr>
          <w:trHeight w:val="352"/>
          <w:jc w:val="center"/>
        </w:trPr>
        <w:tc>
          <w:tcPr>
            <w:tcW w:w="2694" w:type="dxa"/>
            <w:gridSpan w:val="2"/>
          </w:tcPr>
          <w:p w14:paraId="193B9E71" w14:textId="66779F1E" w:rsidR="007B1933" w:rsidRPr="00443ABE" w:rsidRDefault="00443ABE" w:rsidP="00B9647E">
            <w:pPr>
              <w:ind w:firstLine="0"/>
              <w:jc w:val="left"/>
              <w:rPr>
                <w:rFonts w:ascii="Courier" w:hAnsi="Courier"/>
                <w:sz w:val="18"/>
                <w:szCs w:val="18"/>
              </w:rPr>
            </w:pPr>
            <m:oMathPara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1: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>procedure</m:t>
                </m:r>
                <m:r>
                  <w:rPr>
                    <w:rFonts w:ascii="Cambria Math" w:hAnsi="Cambria Math"/>
                    <w:sz w:val="18"/>
                    <w:szCs w:val="18"/>
                  </w:rPr>
                  <m:t xml:space="preserve"> NWD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18"/>
                        <w:szCs w:val="18"/>
                      </w:rPr>
                      <m:t>a,b</m:t>
                    </m:r>
                  </m:e>
                </m:d>
                <m:r>
                  <w:rPr>
                    <w:rFonts w:ascii="Cambria Math" w:hAnsi="Cambria Math"/>
                    <w:sz w:val="18"/>
                    <w:szCs w:val="18"/>
                  </w:rPr>
                  <m:t xml:space="preserve">         </m:t>
                </m:r>
                <m:r>
                  <m:rPr>
                    <m:sty m:val="p"/>
                  </m:rPr>
                  <w:rPr>
                    <w:rFonts w:ascii="Courier" w:hAnsi="Courier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>2:            r←a mod b</m:t>
                </m:r>
                <m:r>
                  <m:rPr>
                    <m:sty m:val="p"/>
                  </m:rPr>
                  <w:rPr>
                    <w:rFonts w:ascii="Courier" w:hAnsi="Courier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3:         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 xml:space="preserve">while </m:t>
                </m:r>
                <m:r>
                  <w:rPr>
                    <w:rFonts w:ascii="Cambria Math" w:hAnsi="Cambria Math"/>
                    <w:sz w:val="18"/>
                    <w:szCs w:val="18"/>
                  </w:rPr>
                  <m:t xml:space="preserve">r≠0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>do</m:t>
                </m:r>
                <m:r>
                  <m:rPr>
                    <m:sty m:val="p"/>
                  </m:rPr>
                  <w:rPr>
                    <w:rFonts w:ascii="Courier" w:hAnsi="Courier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>4:                  a←b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>5:                  b←r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>6:                  r←a mod b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7:          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>end while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8:          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 xml:space="preserve">return </m:t>
                </m:r>
                <m:r>
                  <w:rPr>
                    <w:rFonts w:ascii="Cambria Math" w:hAnsi="Cambria Math"/>
                    <w:sz w:val="18"/>
                    <w:szCs w:val="18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9: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>end procedure</m:t>
                </m:r>
              </m:oMath>
            </m:oMathPara>
          </w:p>
        </w:tc>
        <w:tc>
          <w:tcPr>
            <w:tcW w:w="4110" w:type="dxa"/>
          </w:tcPr>
          <w:p w14:paraId="2070368F" w14:textId="4A6DE1C4" w:rsidR="007B1933" w:rsidRPr="007B1933" w:rsidRDefault="007B1933" w:rsidP="00B9647E">
            <w:pPr>
              <w:ind w:firstLine="0"/>
              <w:jc w:val="left"/>
              <w:rPr>
                <w:sz w:val="18"/>
                <w:szCs w:val="18"/>
              </w:rPr>
            </w:pPr>
            <w:r w:rsidRPr="007B1933">
              <w:rPr>
                <w:rFonts w:ascii="Cambria Math" w:hAnsi="Cambria Math" w:cs="Cambria Math"/>
                <w:sz w:val="12"/>
                <w:szCs w:val="12"/>
              </w:rPr>
              <w:t>▷</w:t>
            </w:r>
            <w:r>
              <w:rPr>
                <w:rFonts w:ascii="Cambria Math" w:hAnsi="Cambria Math" w:cs="Cambria Math"/>
                <w:sz w:val="18"/>
                <w:szCs w:val="18"/>
              </w:rPr>
              <w:t xml:space="preserve"> </w:t>
            </w:r>
            <w:r w:rsidRPr="007B1933">
              <w:rPr>
                <w:sz w:val="18"/>
                <w:szCs w:val="18"/>
              </w:rPr>
              <w:t>Największy wspólny dzielnik liczb całkowitych a i b</w:t>
            </w:r>
            <w:r w:rsidR="00443ABE">
              <w:rPr>
                <w:sz w:val="18"/>
                <w:szCs w:val="18"/>
              </w:rPr>
              <w:br/>
            </w:r>
            <w:r w:rsidR="00443ABE">
              <w:rPr>
                <w:sz w:val="18"/>
                <w:szCs w:val="18"/>
              </w:rPr>
              <w:br/>
            </w:r>
            <w:r w:rsidR="00B5243F" w:rsidRPr="007B1933">
              <w:rPr>
                <w:rFonts w:ascii="Cambria Math" w:hAnsi="Cambria Math" w:cs="Cambria Math"/>
                <w:sz w:val="12"/>
                <w:szCs w:val="12"/>
              </w:rPr>
              <w:t>▷</w:t>
            </w:r>
            <w:r w:rsidR="00B5243F">
              <w:rPr>
                <w:rFonts w:ascii="Cambria Math" w:hAnsi="Cambria Math" w:cs="Cambria Math"/>
                <w:sz w:val="18"/>
                <w:szCs w:val="18"/>
              </w:rPr>
              <w:t xml:space="preserve"> </w:t>
            </w:r>
            <w:r w:rsidR="00B5243F">
              <w:rPr>
                <w:sz w:val="18"/>
                <w:szCs w:val="18"/>
              </w:rPr>
              <w:t>W przeciwnym przypadku odpowiedź jest trywialna</w:t>
            </w:r>
          </w:p>
        </w:tc>
      </w:tr>
    </w:tbl>
    <w:p w14:paraId="481051CF" w14:textId="1CBCFB00" w:rsidR="00600B20" w:rsidRDefault="00600B20" w:rsidP="00011923">
      <w:pPr>
        <w:spacing w:before="240"/>
        <w:ind w:firstLine="0"/>
        <w:rPr>
          <w:rStyle w:val="heading3"/>
          <w:b w:val="0"/>
        </w:rPr>
      </w:pPr>
      <w:r>
        <w:rPr>
          <w:rStyle w:val="heading3"/>
        </w:rPr>
        <w:t>Cytowanie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 xml:space="preserve">Wymaganym stylem cytowania są liczby w nawiasach kwadratowych, uporządkowane według kolejności wystąpienia w artykule </w:t>
      </w:r>
      <w:r w:rsidR="00364EB4">
        <w:t>[</w:t>
      </w:r>
      <w:r w:rsidR="00364EB4">
        <w:fldChar w:fldCharType="begin"/>
      </w:r>
      <w:r w:rsidR="00364EB4">
        <w:instrText xml:space="preserve"> REF _Ref34165141 \n \h </w:instrText>
      </w:r>
      <w:r w:rsidR="00364EB4">
        <w:fldChar w:fldCharType="separate"/>
      </w:r>
      <w:r w:rsidR="00DB17E2">
        <w:t>1</w:t>
      </w:r>
      <w:r w:rsidR="00364EB4">
        <w:fldChar w:fldCharType="end"/>
      </w:r>
      <w:r w:rsidR="00364EB4">
        <w:t>]</w:t>
      </w:r>
      <w:r>
        <w:rPr>
          <w:rStyle w:val="heading3"/>
          <w:b w:val="0"/>
        </w:rPr>
        <w:t xml:space="preserve">, ponieważ stosowanie etykiet lub nazwisk mogłoby wpłynąć negatywnie na czytelność tekstu. Cytowania wielu źródeł powinny być zgrupowane </w:t>
      </w:r>
      <w:r w:rsidR="00325004">
        <w:t>[</w:t>
      </w:r>
      <w:r w:rsidR="00325004">
        <w:fldChar w:fldCharType="begin"/>
      </w:r>
      <w:r w:rsidR="00325004">
        <w:instrText xml:space="preserve"> REF _Ref34165141 \n \h </w:instrText>
      </w:r>
      <w:r w:rsidR="00325004">
        <w:fldChar w:fldCharType="separate"/>
      </w:r>
      <w:r w:rsidR="00DB17E2">
        <w:t>1</w:t>
      </w:r>
      <w:r w:rsidR="00325004">
        <w:fldChar w:fldCharType="end"/>
      </w:r>
      <w:r>
        <w:rPr>
          <w:rStyle w:val="heading3"/>
          <w:b w:val="0"/>
        </w:rPr>
        <w:t>,</w:t>
      </w:r>
      <w:r w:rsidR="00325004">
        <w:rPr>
          <w:rStyle w:val="heading3"/>
          <w:b w:val="0"/>
        </w:rPr>
        <w:fldChar w:fldCharType="begin"/>
      </w:r>
      <w:r w:rsidR="00325004">
        <w:rPr>
          <w:rStyle w:val="heading3"/>
          <w:b w:val="0"/>
        </w:rPr>
        <w:instrText xml:space="preserve"> REF _Ref34165408 \n \h </w:instrText>
      </w:r>
      <w:r w:rsidR="00325004">
        <w:rPr>
          <w:rStyle w:val="heading3"/>
          <w:b w:val="0"/>
        </w:rPr>
      </w:r>
      <w:r w:rsidR="00325004">
        <w:rPr>
          <w:rStyle w:val="heading3"/>
          <w:b w:val="0"/>
        </w:rPr>
        <w:fldChar w:fldCharType="separate"/>
      </w:r>
      <w:r w:rsidR="00DB17E2">
        <w:rPr>
          <w:rStyle w:val="heading3"/>
          <w:b w:val="0"/>
        </w:rPr>
        <w:t>2</w:t>
      </w:r>
      <w:r w:rsidR="00325004">
        <w:rPr>
          <w:rStyle w:val="heading3"/>
          <w:b w:val="0"/>
        </w:rPr>
        <w:fldChar w:fldCharType="end"/>
      </w:r>
      <w:r>
        <w:rPr>
          <w:rStyle w:val="heading3"/>
          <w:b w:val="0"/>
        </w:rPr>
        <w:t>], a wszystkie pozycje literatury</w:t>
      </w:r>
      <w:r w:rsidR="0019773C">
        <w:rPr>
          <w:rStyle w:val="heading3"/>
          <w:b w:val="0"/>
        </w:rPr>
        <w:t xml:space="preserve"> – mieć swoje odwołania w tekście.</w:t>
      </w:r>
    </w:p>
    <w:p w14:paraId="1A7CE98D" w14:textId="7CB6D465" w:rsidR="00457F78" w:rsidRDefault="00457F78" w:rsidP="00011923">
      <w:pPr>
        <w:spacing w:before="240"/>
        <w:ind w:firstLine="0"/>
        <w:rPr>
          <w:rStyle w:val="heading3"/>
          <w:b w:val="0"/>
        </w:rPr>
      </w:pPr>
      <w:r>
        <w:rPr>
          <w:rStyle w:val="heading3"/>
        </w:rPr>
        <w:t>Inne konstrukcje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Konstrukcje przedstawione powyżej są typowe dla artykułów naukowych i technicznych. Użycie innych, nietypowych konstrukcji powinno być uzasadnione specyfiką zagadnienia opisywanego w artykule.</w:t>
      </w:r>
    </w:p>
    <w:p w14:paraId="0CFF1C55" w14:textId="4E43B6EA" w:rsidR="00457F78" w:rsidRDefault="00457F78" w:rsidP="00457F78">
      <w:pPr>
        <w:pStyle w:val="heading1"/>
        <w:rPr>
          <w:rStyle w:val="heading3"/>
          <w:b/>
        </w:rPr>
      </w:pPr>
      <w:r>
        <w:rPr>
          <w:rStyle w:val="heading3"/>
          <w:b/>
        </w:rPr>
        <w:lastRenderedPageBreak/>
        <w:t>Podsumowanie</w:t>
      </w:r>
    </w:p>
    <w:p w14:paraId="16CD1A28" w14:textId="53A4E943" w:rsidR="00457F78" w:rsidRDefault="00457F78" w:rsidP="00457F78">
      <w:pPr>
        <w:pStyle w:val="p1a"/>
      </w:pPr>
      <w:r>
        <w:t>Najmniej wartościowym, dopuszczalnym sposobem podsumowania jest syntetyczna rekapitulacja treści. Wartością dodaną, świadczącą o jakości puenty jest interpretacja uzyskanych wyników, w szczególności odniesienie ich do rezultatów innych prac i wyjaśnienie ewentualnych różnic. Podsumowanie jest właściwym miejscem do przedstawienia rezultatów w szerszym kontekście (np. biznesowym lub społecznym) i wskazania kierunków dalszych prac. Poniżej podsumowano (pokrótce) artykuł z uwzględnieniem powyższych stwierdzeń.</w:t>
      </w:r>
    </w:p>
    <w:p w14:paraId="78958AAD" w14:textId="6E89A142" w:rsidR="00457F78" w:rsidRDefault="00457F78" w:rsidP="00457F78">
      <w:r>
        <w:t>Jednym z elementów pracy twórczej studenta realizującego Seminarium Dyplomowe Magisterskie 2 jest dostarczenie nowego artykułu, dotyczącego nieprezentowanych dotychczas (na seminarium) zagadnień, przygotowanego zgodnie z szablonem. Na ocenę wpływa jakość opracowania i czytelność. Należy zwrócić uwagę na poprawność formatowania, tj. właściwe łamanie linii i stron oraz unikanie odwołań do ilustracji/tabel na kolejnych stronach. Artykuł powinien mieć wyraźną strukturę logiczną, zakończoną syntetyczną informacją o zakresie zrealizowanych prac i wartością dodaną, opisaną w poprzednim akapicie.</w:t>
      </w:r>
    </w:p>
    <w:p w14:paraId="30FC63CD" w14:textId="07BAEEAC" w:rsidR="00457F78" w:rsidRDefault="00DF5F39" w:rsidP="00457F78">
      <w:r>
        <w:rPr>
          <w:noProof/>
        </w:rPr>
        <w:drawing>
          <wp:anchor distT="0" distB="0" distL="114300" distR="114300" simplePos="0" relativeHeight="251660288" behindDoc="1" locked="0" layoutInCell="1" allowOverlap="1" wp14:anchorId="51619215" wp14:editId="012DAE63">
            <wp:simplePos x="0" y="0"/>
            <wp:positionH relativeFrom="column">
              <wp:posOffset>963295</wp:posOffset>
            </wp:positionH>
            <wp:positionV relativeFrom="paragraph">
              <wp:posOffset>165735</wp:posOffset>
            </wp:positionV>
            <wp:extent cx="349885" cy="145415"/>
            <wp:effectExtent l="0" t="0" r="0" b="6985"/>
            <wp:wrapTight wrapText="bothSides">
              <wp:wrapPolygon edited="0">
                <wp:start x="0" y="0"/>
                <wp:lineTo x="0" y="16978"/>
                <wp:lineTo x="8232" y="19808"/>
                <wp:lineTo x="16465" y="19808"/>
                <wp:lineTo x="19993" y="16978"/>
                <wp:lineTo x="19993" y="0"/>
                <wp:lineTo x="0" y="0"/>
              </wp:wrapPolygon>
            </wp:wrapTight>
            <wp:docPr id="1" name="Obraz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885" cy="145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57F78">
        <w:t xml:space="preserve">Dokument opracowano w odpowiedzi na zapotrzebowanie na jednolity szablon artykułu w języku </w:t>
      </w:r>
      <w:r w:rsidR="0089584C">
        <w:t>i programie Microsoft Word zgłoszone przez grupę studentów realizujących przedmiot, którego niniejszy tekst dotyczy. Do cech wyróżniających artykułu można zaliczyć:</w:t>
      </w:r>
    </w:p>
    <w:p w14:paraId="2AF994D6" w14:textId="0179CEBF" w:rsidR="00457F78" w:rsidRDefault="0089584C" w:rsidP="00155B3A">
      <w:pPr>
        <w:pStyle w:val="dashitem"/>
        <w:spacing w:before="0" w:after="0"/>
      </w:pPr>
      <w:r>
        <w:t>nowatorski opis zasad składania dokumentu z wykorzystaniem szablonu LNCS w Instytucie Informatyki PW (wedle stanu wiedzy autora),</w:t>
      </w:r>
    </w:p>
    <w:p w14:paraId="54A568B8" w14:textId="7DC934DF" w:rsidR="0089584C" w:rsidRDefault="0089584C" w:rsidP="0089584C">
      <w:pPr>
        <w:pStyle w:val="dashitem"/>
      </w:pPr>
      <w:r>
        <w:t>zawarcie istoty zadania i zasad przygotowania artykułu w logicznej formie,</w:t>
      </w:r>
    </w:p>
    <w:p w14:paraId="2AFE5403" w14:textId="39B8CEAF" w:rsidR="0089584C" w:rsidRDefault="0089584C" w:rsidP="0089584C">
      <w:pPr>
        <w:pStyle w:val="dashitem"/>
      </w:pPr>
      <w:r>
        <w:t>omówienie sposobu formatowania zgodnego z wymienionymi regułami,</w:t>
      </w:r>
    </w:p>
    <w:p w14:paraId="2AD76725" w14:textId="395215C6" w:rsidR="0089584C" w:rsidRDefault="0089584C" w:rsidP="0089584C">
      <w:pPr>
        <w:pStyle w:val="dashitem"/>
      </w:pPr>
      <w:r>
        <w:t>zamieszczenie przykładów użycia typowych obiektów urozmaicających treść z wykorzystaniem natywnego środowiska edycji dokumentu,</w:t>
      </w:r>
    </w:p>
    <w:p w14:paraId="1D1A1CCE" w14:textId="14792EA4" w:rsidR="0089584C" w:rsidRDefault="0089584C" w:rsidP="0089584C">
      <w:pPr>
        <w:pStyle w:val="dashitem"/>
      </w:pPr>
      <w:r>
        <w:t>zaanonsowanie dobrych praktyk tworzenia krótkich form tekstowych.</w:t>
      </w:r>
    </w:p>
    <w:p w14:paraId="07FF182F" w14:textId="10430361" w:rsidR="0089584C" w:rsidRDefault="0089584C" w:rsidP="004C42FF">
      <w:pPr>
        <w:pStyle w:val="p1a"/>
        <w:ind w:firstLine="227"/>
      </w:pPr>
      <w:r>
        <w:t>Więcej informacji na temat przygotowania artykułu i używania języka zainteresowany Czytelnik może znaleźć w regulaminie przedmiotu i poradni językowej PWN </w:t>
      </w:r>
      <w:r w:rsidR="0051663B">
        <w:t>[</w:t>
      </w:r>
      <w:r w:rsidR="0051663B">
        <w:fldChar w:fldCharType="begin"/>
      </w:r>
      <w:r w:rsidR="0051663B">
        <w:instrText xml:space="preserve"> REF _Ref34165438 \n \h </w:instrText>
      </w:r>
      <w:r w:rsidR="0051663B">
        <w:fldChar w:fldCharType="separate"/>
      </w:r>
      <w:r w:rsidR="00DB17E2">
        <w:t>3</w:t>
      </w:r>
      <w:r w:rsidR="0051663B">
        <w:fldChar w:fldCharType="end"/>
      </w:r>
      <w:r w:rsidR="0051663B">
        <w:t>]</w:t>
      </w:r>
      <w:r>
        <w:t xml:space="preserve">. W celu zgłoszenia usterki merytorycznej sugeruje się kontakt z prowadzącym, a w przypadku dostrzeżenia usterki technicznej </w:t>
      </w:r>
      <w:r>
        <w:rPr>
          <w:rStyle w:val="heading3"/>
          <w:b w:val="0"/>
        </w:rPr>
        <w:t>– należy zamieścić komentarz wraz z propozycją zmiany w repozytorium projektu [</w:t>
      </w:r>
      <w:r w:rsidR="006955D4">
        <w:rPr>
          <w:rStyle w:val="heading3"/>
          <w:b w:val="0"/>
        </w:rPr>
        <w:fldChar w:fldCharType="begin"/>
      </w:r>
      <w:r w:rsidR="006955D4">
        <w:rPr>
          <w:rStyle w:val="heading3"/>
          <w:b w:val="0"/>
        </w:rPr>
        <w:instrText xml:space="preserve"> REF _Ref34165454 \n \h </w:instrText>
      </w:r>
      <w:r w:rsidR="006955D4">
        <w:rPr>
          <w:rStyle w:val="heading3"/>
          <w:b w:val="0"/>
        </w:rPr>
      </w:r>
      <w:r w:rsidR="006955D4">
        <w:rPr>
          <w:rStyle w:val="heading3"/>
          <w:b w:val="0"/>
        </w:rPr>
        <w:fldChar w:fldCharType="separate"/>
      </w:r>
      <w:r w:rsidR="00DB17E2">
        <w:rPr>
          <w:rStyle w:val="heading3"/>
          <w:b w:val="0"/>
        </w:rPr>
        <w:t>4</w:t>
      </w:r>
      <w:r w:rsidR="006955D4">
        <w:rPr>
          <w:rStyle w:val="heading3"/>
          <w:b w:val="0"/>
        </w:rPr>
        <w:fldChar w:fldCharType="end"/>
      </w:r>
      <w:r>
        <w:rPr>
          <w:rStyle w:val="heading3"/>
          <w:b w:val="0"/>
        </w:rPr>
        <w:t>].</w:t>
      </w:r>
    </w:p>
    <w:p w14:paraId="66810944" w14:textId="77777777" w:rsidR="004A44D5" w:rsidRPr="00F2477E" w:rsidRDefault="00920A49" w:rsidP="00F77B01">
      <w:pPr>
        <w:pStyle w:val="heading1"/>
        <w:numPr>
          <w:ilvl w:val="0"/>
          <w:numId w:val="0"/>
        </w:numPr>
        <w:spacing w:before="120" w:after="0"/>
        <w:ind w:left="567" w:hanging="567"/>
      </w:pPr>
      <w:r w:rsidRPr="00F2477E">
        <w:t>Literatura</w:t>
      </w:r>
    </w:p>
    <w:p w14:paraId="7F4D5CFD" w14:textId="125BAAA5" w:rsidR="004A44D5" w:rsidRDefault="0091550D" w:rsidP="00155B3A">
      <w:pPr>
        <w:pStyle w:val="referenceitem"/>
        <w:spacing w:before="120"/>
      </w:pPr>
      <w:bookmarkStart w:id="1" w:name="_Ref34165141"/>
      <w:r>
        <w:t>Springer</w:t>
      </w:r>
      <w:r w:rsidR="009B2539" w:rsidRPr="00F2477E">
        <w:t xml:space="preserve">: </w:t>
      </w:r>
      <w:r>
        <w:t xml:space="preserve">Information for Authors of Springer Computer Science Proceedings. Dostęp zdalny (20.12.2019): </w:t>
      </w:r>
      <w:hyperlink r:id="rId13" w:history="1">
        <w:r w:rsidRPr="005574B5">
          <w:rPr>
            <w:rStyle w:val="Hipercze"/>
            <w:color w:val="0000CC"/>
          </w:rPr>
          <w:t>https://www.springer.com/gp/computer-science/lncs/conference-proceedings-guidelines</w:t>
        </w:r>
      </w:hyperlink>
      <w:r w:rsidRPr="0091550D">
        <w:t>.</w:t>
      </w:r>
      <w:bookmarkEnd w:id="1"/>
    </w:p>
    <w:p w14:paraId="717ED41B" w14:textId="3D2FE40B" w:rsidR="0091550D" w:rsidRPr="00F2477E" w:rsidRDefault="0091550D" w:rsidP="0091550D">
      <w:pPr>
        <w:pStyle w:val="referenceitem"/>
      </w:pPr>
      <w:bookmarkStart w:id="2" w:name="_Ref34165408"/>
      <w:r>
        <w:t>Borkowski, M., Przybylski, B.: LaTeX. Książka kucharska. Polskie Towarzystwo Matematyczne, Warszawa (2015). ISBN: 978</w:t>
      </w:r>
      <w:r>
        <w:rPr>
          <w:rStyle w:val="heading3"/>
          <w:b w:val="0"/>
        </w:rPr>
        <w:t>–83–937220–3–7. Dostęp zdalny (21.12.2019):</w:t>
      </w:r>
      <w:r>
        <w:rPr>
          <w:rStyle w:val="heading3"/>
          <w:b w:val="0"/>
        </w:rPr>
        <w:br/>
      </w:r>
      <w:hyperlink r:id="rId14" w:history="1">
        <w:r w:rsidRPr="005574B5">
          <w:rPr>
            <w:rStyle w:val="Hipercze"/>
            <w:color w:val="0000CC"/>
          </w:rPr>
          <w:t>https://www.ptm.org.pl/sites/default/files/latex-ksiazka-kucharska.pdf</w:t>
        </w:r>
      </w:hyperlink>
      <w:r>
        <w:t>.</w:t>
      </w:r>
      <w:bookmarkEnd w:id="2"/>
    </w:p>
    <w:p w14:paraId="55F551FE" w14:textId="0996836B" w:rsidR="0091550D" w:rsidRPr="005F1EB1" w:rsidRDefault="0091550D" w:rsidP="00532225">
      <w:pPr>
        <w:pStyle w:val="referenceitem"/>
      </w:pPr>
      <w:bookmarkStart w:id="3" w:name="_Ref34165438"/>
      <w:r>
        <w:t>Kłosińska, K., Marcjanik, M., Sikora, K. i inni</w:t>
      </w:r>
      <w:r w:rsidR="00660F22">
        <w:t>:</w:t>
      </w:r>
      <w:r>
        <w:t xml:space="preserve"> Poradnia Językowa PWN. Wydawnictwo Naukowe PWN. Dostęp zdalny (21.12.2019): </w:t>
      </w:r>
      <w:hyperlink r:id="rId15" w:history="1">
        <w:r w:rsidR="004804C4" w:rsidRPr="004804C4">
          <w:rPr>
            <w:rStyle w:val="Hipercze"/>
            <w:color w:val="0000CC"/>
          </w:rPr>
          <w:t>https://sjp.pwn.pl/poradnia</w:t>
        </w:r>
      </w:hyperlink>
      <w:r>
        <w:t>.</w:t>
      </w:r>
      <w:bookmarkEnd w:id="3"/>
    </w:p>
    <w:p w14:paraId="6EA8A4CC" w14:textId="3C1630D5" w:rsidR="00E834AC" w:rsidRPr="005F1EB1" w:rsidRDefault="0091550D" w:rsidP="00E834AC">
      <w:pPr>
        <w:pStyle w:val="referenceitem"/>
        <w:jc w:val="left"/>
      </w:pPr>
      <w:bookmarkStart w:id="4" w:name="_Ref34165454"/>
      <w:r>
        <w:t>Marcul, Ł</w:t>
      </w:r>
      <w:r w:rsidR="00EE61E0">
        <w:t>.</w:t>
      </w:r>
      <w:r>
        <w:t>: WUT</w:t>
      </w:r>
      <w:r w:rsidR="00660F22">
        <w:rPr>
          <w:rStyle w:val="heading3"/>
          <w:b w:val="0"/>
        </w:rPr>
        <w:t>–</w:t>
      </w:r>
      <w:r w:rsidR="00B35F31">
        <w:rPr>
          <w:rStyle w:val="heading3"/>
          <w:b w:val="0"/>
        </w:rPr>
        <w:t>A</w:t>
      </w:r>
      <w:r w:rsidR="00660F22">
        <w:rPr>
          <w:rStyle w:val="heading3"/>
          <w:b w:val="0"/>
        </w:rPr>
        <w:t>rticle. Dostęp zdalny (21.12.2019):</w:t>
      </w:r>
      <w:r w:rsidR="00660F22">
        <w:rPr>
          <w:rStyle w:val="heading3"/>
          <w:b w:val="0"/>
        </w:rPr>
        <w:br/>
      </w:r>
      <w:hyperlink r:id="rId16" w:history="1">
        <w:r w:rsidR="00E834AC" w:rsidRPr="00E834AC">
          <w:rPr>
            <w:rStyle w:val="Hipercze"/>
            <w:color w:val="0000CC"/>
          </w:rPr>
          <w:t>https://github.com/marcullo/WUT-Article</w:t>
        </w:r>
      </w:hyperlink>
      <w:bookmarkEnd w:id="4"/>
      <w:r w:rsidR="00E834AC">
        <w:rPr>
          <w:rStyle w:val="heading3"/>
          <w:b w:val="0"/>
        </w:rPr>
        <w:t>.</w:t>
      </w:r>
    </w:p>
    <w:sectPr w:rsidR="00E834AC" w:rsidRPr="005F1EB1" w:rsidSect="009F7FCE">
      <w:headerReference w:type="even" r:id="rId17"/>
      <w:headerReference w:type="default" r:id="rId18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8F30078" w14:textId="77777777" w:rsidR="003E407E" w:rsidRDefault="003E407E">
      <w:r>
        <w:separator/>
      </w:r>
    </w:p>
  </w:endnote>
  <w:endnote w:type="continuationSeparator" w:id="0">
    <w:p w14:paraId="169D164B" w14:textId="77777777" w:rsidR="003E407E" w:rsidRDefault="003E40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2C6FDF5" w14:textId="77777777" w:rsidR="003E407E" w:rsidRDefault="003E407E" w:rsidP="009F7FCE">
      <w:pPr>
        <w:ind w:firstLine="0"/>
      </w:pPr>
      <w:r>
        <w:separator/>
      </w:r>
    </w:p>
  </w:footnote>
  <w:footnote w:type="continuationSeparator" w:id="0">
    <w:p w14:paraId="11C7E2D1" w14:textId="77777777" w:rsidR="003E407E" w:rsidRDefault="003E407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B04C35" w14:textId="1D5B8A65" w:rsidR="004A44D5" w:rsidRDefault="004A44D5" w:rsidP="00F321B4">
    <w:pPr>
      <w:pStyle w:val="Nagwek"/>
    </w:pPr>
    <w:r>
      <w:fldChar w:fldCharType="begin"/>
    </w:r>
    <w:r>
      <w:instrText>PAGE   \* MERGEFORMAT</w:instrText>
    </w:r>
    <w:r>
      <w:fldChar w:fldCharType="separate"/>
    </w:r>
    <w:r w:rsidR="005F1EB1">
      <w:rPr>
        <w:noProof/>
      </w:rPr>
      <w:t>2</w:t>
    </w:r>
    <w:r>
      <w:fldChar w:fldCharType="end"/>
    </w:r>
    <w:r w:rsidR="00B310A5">
      <w:t xml:space="preserve">                                  </w:t>
    </w:r>
    <w:r w:rsidR="00DA4681">
      <w:t>G</w:t>
    </w:r>
    <w:r w:rsidR="00B310A5">
      <w:t xml:space="preserve">. </w:t>
    </w:r>
    <w:r w:rsidR="00DA4681">
      <w:t>Anonim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E3656D" w14:textId="38A21D82" w:rsidR="004A44D5" w:rsidRDefault="00B310A5" w:rsidP="002D48C5">
    <w:pPr>
      <w:pStyle w:val="Nagwek"/>
      <w:jc w:val="right"/>
    </w:pPr>
    <w:r>
      <w:t xml:space="preserve">Zasady składania artyk. z wykorzyst. zmodyfikowanego szablonu LNCS.           </w:t>
    </w:r>
    <w:r w:rsidR="004A44D5">
      <w:fldChar w:fldCharType="begin"/>
    </w:r>
    <w:r w:rsidR="004A44D5">
      <w:instrText>PAGE   \* MERGEFORMAT</w:instrText>
    </w:r>
    <w:r w:rsidR="004A44D5">
      <w:fldChar w:fldCharType="separate"/>
    </w:r>
    <w:r w:rsidR="005F1EB1">
      <w:rPr>
        <w:noProof/>
      </w:rPr>
      <w:t>3</w:t>
    </w:r>
    <w:r w:rsidR="004A44D5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3420265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2778A4BA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6CB82B76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9A7C05FC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E03034C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003528"/>
    <w:rsid w:val="00011923"/>
    <w:rsid w:val="000231AA"/>
    <w:rsid w:val="00023957"/>
    <w:rsid w:val="00026831"/>
    <w:rsid w:val="000318DE"/>
    <w:rsid w:val="00050C28"/>
    <w:rsid w:val="00052B18"/>
    <w:rsid w:val="0005336C"/>
    <w:rsid w:val="000551CD"/>
    <w:rsid w:val="00055D6F"/>
    <w:rsid w:val="000678E7"/>
    <w:rsid w:val="000A58DE"/>
    <w:rsid w:val="000B4F25"/>
    <w:rsid w:val="000C6F49"/>
    <w:rsid w:val="000D3C12"/>
    <w:rsid w:val="000E1BD8"/>
    <w:rsid w:val="000E6946"/>
    <w:rsid w:val="000F0AB0"/>
    <w:rsid w:val="00134A3A"/>
    <w:rsid w:val="00155B3A"/>
    <w:rsid w:val="00180AF6"/>
    <w:rsid w:val="0019773C"/>
    <w:rsid w:val="001A02F0"/>
    <w:rsid w:val="001C71AA"/>
    <w:rsid w:val="001D44E0"/>
    <w:rsid w:val="002213EA"/>
    <w:rsid w:val="00225008"/>
    <w:rsid w:val="00234FBB"/>
    <w:rsid w:val="00246F18"/>
    <w:rsid w:val="00247357"/>
    <w:rsid w:val="00297E49"/>
    <w:rsid w:val="002A1A4C"/>
    <w:rsid w:val="002A4231"/>
    <w:rsid w:val="002D2066"/>
    <w:rsid w:val="002D48C5"/>
    <w:rsid w:val="002F360E"/>
    <w:rsid w:val="00300F4E"/>
    <w:rsid w:val="00304968"/>
    <w:rsid w:val="0030739A"/>
    <w:rsid w:val="00320814"/>
    <w:rsid w:val="00323E03"/>
    <w:rsid w:val="0032497D"/>
    <w:rsid w:val="00325004"/>
    <w:rsid w:val="00331C97"/>
    <w:rsid w:val="003323B9"/>
    <w:rsid w:val="00364EB4"/>
    <w:rsid w:val="0036596E"/>
    <w:rsid w:val="003B66F3"/>
    <w:rsid w:val="003C4677"/>
    <w:rsid w:val="003D6BB9"/>
    <w:rsid w:val="003E3503"/>
    <w:rsid w:val="003E407E"/>
    <w:rsid w:val="004037C3"/>
    <w:rsid w:val="00405FFD"/>
    <w:rsid w:val="00411210"/>
    <w:rsid w:val="0043068F"/>
    <w:rsid w:val="00443ABE"/>
    <w:rsid w:val="004473FE"/>
    <w:rsid w:val="00457383"/>
    <w:rsid w:val="00457F78"/>
    <w:rsid w:val="00460A6B"/>
    <w:rsid w:val="004804C4"/>
    <w:rsid w:val="00484843"/>
    <w:rsid w:val="004A44D5"/>
    <w:rsid w:val="004C42FF"/>
    <w:rsid w:val="004E6FED"/>
    <w:rsid w:val="004F0F43"/>
    <w:rsid w:val="004F2DBE"/>
    <w:rsid w:val="004F3002"/>
    <w:rsid w:val="004F3858"/>
    <w:rsid w:val="005003DA"/>
    <w:rsid w:val="00503AD5"/>
    <w:rsid w:val="0050482A"/>
    <w:rsid w:val="0051663B"/>
    <w:rsid w:val="005224EE"/>
    <w:rsid w:val="00533AB8"/>
    <w:rsid w:val="00534538"/>
    <w:rsid w:val="0055297C"/>
    <w:rsid w:val="005574B5"/>
    <w:rsid w:val="005656C4"/>
    <w:rsid w:val="00570C3A"/>
    <w:rsid w:val="0058167F"/>
    <w:rsid w:val="00585CEB"/>
    <w:rsid w:val="00591969"/>
    <w:rsid w:val="005A05BF"/>
    <w:rsid w:val="005A3D37"/>
    <w:rsid w:val="005C0AE1"/>
    <w:rsid w:val="005C1891"/>
    <w:rsid w:val="005F1EB1"/>
    <w:rsid w:val="005F6D94"/>
    <w:rsid w:val="00600B20"/>
    <w:rsid w:val="00643B64"/>
    <w:rsid w:val="00646753"/>
    <w:rsid w:val="00654815"/>
    <w:rsid w:val="00660F22"/>
    <w:rsid w:val="006914BB"/>
    <w:rsid w:val="006955D4"/>
    <w:rsid w:val="006B2430"/>
    <w:rsid w:val="006C1E21"/>
    <w:rsid w:val="006E70F9"/>
    <w:rsid w:val="006F1B5E"/>
    <w:rsid w:val="00713F35"/>
    <w:rsid w:val="00716363"/>
    <w:rsid w:val="007259B5"/>
    <w:rsid w:val="00726081"/>
    <w:rsid w:val="00736028"/>
    <w:rsid w:val="00750CF1"/>
    <w:rsid w:val="0075110F"/>
    <w:rsid w:val="00770511"/>
    <w:rsid w:val="007A035C"/>
    <w:rsid w:val="007B1933"/>
    <w:rsid w:val="007C773B"/>
    <w:rsid w:val="007F352C"/>
    <w:rsid w:val="008010A8"/>
    <w:rsid w:val="00812484"/>
    <w:rsid w:val="00816AA2"/>
    <w:rsid w:val="00817CB2"/>
    <w:rsid w:val="00825BF1"/>
    <w:rsid w:val="00841F07"/>
    <w:rsid w:val="0085074A"/>
    <w:rsid w:val="008604FC"/>
    <w:rsid w:val="008668EC"/>
    <w:rsid w:val="008706F9"/>
    <w:rsid w:val="008902BD"/>
    <w:rsid w:val="0089584C"/>
    <w:rsid w:val="008A70AC"/>
    <w:rsid w:val="008C5DC5"/>
    <w:rsid w:val="008E2E19"/>
    <w:rsid w:val="008E68BA"/>
    <w:rsid w:val="008F2D4C"/>
    <w:rsid w:val="008F3400"/>
    <w:rsid w:val="008F6475"/>
    <w:rsid w:val="00914EE0"/>
    <w:rsid w:val="0091550D"/>
    <w:rsid w:val="00920A49"/>
    <w:rsid w:val="00925349"/>
    <w:rsid w:val="00926C56"/>
    <w:rsid w:val="00934AA0"/>
    <w:rsid w:val="00950947"/>
    <w:rsid w:val="00956020"/>
    <w:rsid w:val="00956BC4"/>
    <w:rsid w:val="00960585"/>
    <w:rsid w:val="009664A7"/>
    <w:rsid w:val="00966711"/>
    <w:rsid w:val="0098500A"/>
    <w:rsid w:val="009930E4"/>
    <w:rsid w:val="009A2EA2"/>
    <w:rsid w:val="009A78D5"/>
    <w:rsid w:val="009B2539"/>
    <w:rsid w:val="009C0103"/>
    <w:rsid w:val="009D19FB"/>
    <w:rsid w:val="009E33DC"/>
    <w:rsid w:val="009F7FCE"/>
    <w:rsid w:val="00A07DC8"/>
    <w:rsid w:val="00A162E7"/>
    <w:rsid w:val="00A24A17"/>
    <w:rsid w:val="00A30FB1"/>
    <w:rsid w:val="00A412BF"/>
    <w:rsid w:val="00A45A4B"/>
    <w:rsid w:val="00A73CDB"/>
    <w:rsid w:val="00AB29BB"/>
    <w:rsid w:val="00AB3535"/>
    <w:rsid w:val="00AD3588"/>
    <w:rsid w:val="00AD7E3B"/>
    <w:rsid w:val="00AF18C8"/>
    <w:rsid w:val="00B02FC8"/>
    <w:rsid w:val="00B136EF"/>
    <w:rsid w:val="00B2038D"/>
    <w:rsid w:val="00B23481"/>
    <w:rsid w:val="00B310A5"/>
    <w:rsid w:val="00B35F31"/>
    <w:rsid w:val="00B449CB"/>
    <w:rsid w:val="00B5243F"/>
    <w:rsid w:val="00B55D11"/>
    <w:rsid w:val="00B63632"/>
    <w:rsid w:val="00B956D4"/>
    <w:rsid w:val="00B9647E"/>
    <w:rsid w:val="00BA1871"/>
    <w:rsid w:val="00BB367A"/>
    <w:rsid w:val="00BB7A26"/>
    <w:rsid w:val="00BC0D69"/>
    <w:rsid w:val="00BC221F"/>
    <w:rsid w:val="00BF249E"/>
    <w:rsid w:val="00C340DC"/>
    <w:rsid w:val="00C551B8"/>
    <w:rsid w:val="00CD344F"/>
    <w:rsid w:val="00CF5BFB"/>
    <w:rsid w:val="00D05EE0"/>
    <w:rsid w:val="00D23571"/>
    <w:rsid w:val="00D51E5B"/>
    <w:rsid w:val="00D5247C"/>
    <w:rsid w:val="00D5488B"/>
    <w:rsid w:val="00D65481"/>
    <w:rsid w:val="00D92BF4"/>
    <w:rsid w:val="00D95A0A"/>
    <w:rsid w:val="00DA4681"/>
    <w:rsid w:val="00DB17E2"/>
    <w:rsid w:val="00DC2CA9"/>
    <w:rsid w:val="00DD3AFB"/>
    <w:rsid w:val="00DE527C"/>
    <w:rsid w:val="00DF5F39"/>
    <w:rsid w:val="00E02128"/>
    <w:rsid w:val="00E0396E"/>
    <w:rsid w:val="00E24CFC"/>
    <w:rsid w:val="00E2507C"/>
    <w:rsid w:val="00E32E0C"/>
    <w:rsid w:val="00E408C2"/>
    <w:rsid w:val="00E446DC"/>
    <w:rsid w:val="00E603C7"/>
    <w:rsid w:val="00E8007E"/>
    <w:rsid w:val="00E834AC"/>
    <w:rsid w:val="00E9107C"/>
    <w:rsid w:val="00EA4BDD"/>
    <w:rsid w:val="00EA726A"/>
    <w:rsid w:val="00EB3E34"/>
    <w:rsid w:val="00EB5A78"/>
    <w:rsid w:val="00EB6BAB"/>
    <w:rsid w:val="00EC6629"/>
    <w:rsid w:val="00ED22F4"/>
    <w:rsid w:val="00EE1ABF"/>
    <w:rsid w:val="00EE61E0"/>
    <w:rsid w:val="00EE6882"/>
    <w:rsid w:val="00F01DE9"/>
    <w:rsid w:val="00F01F07"/>
    <w:rsid w:val="00F10A2F"/>
    <w:rsid w:val="00F2477E"/>
    <w:rsid w:val="00F321B4"/>
    <w:rsid w:val="00F347B9"/>
    <w:rsid w:val="00F4512E"/>
    <w:rsid w:val="00F77B01"/>
    <w:rsid w:val="00F80F77"/>
    <w:rsid w:val="00F80FB6"/>
    <w:rsid w:val="00FA48F6"/>
    <w:rsid w:val="00FA4C00"/>
    <w:rsid w:val="00FE2D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B809DD2"/>
  <w15:docId w15:val="{1F6D4A55-1E8C-40E9-BAC8-D352E1748F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ny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l-PL"/>
    </w:rPr>
  </w:style>
  <w:style w:type="paragraph" w:styleId="Nagwek1">
    <w:name w:val="heading 1"/>
    <w:basedOn w:val="Normalny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Nagwek2">
    <w:name w:val="heading 2"/>
    <w:basedOn w:val="Normalny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Nagwek3">
    <w:name w:val="heading 3"/>
    <w:basedOn w:val="Normalny"/>
    <w:next w:val="Normalny"/>
    <w:qFormat/>
    <w:pPr>
      <w:spacing w:before="360"/>
      <w:ind w:firstLine="0"/>
      <w:outlineLvl w:val="2"/>
    </w:pPr>
  </w:style>
  <w:style w:type="paragraph" w:styleId="Nagwek4">
    <w:name w:val="heading 4"/>
    <w:basedOn w:val="Normalny"/>
    <w:next w:val="Normalny"/>
    <w:qFormat/>
    <w:pPr>
      <w:spacing w:before="240"/>
      <w:ind w:firstLine="0"/>
      <w:outlineLvl w:val="3"/>
    </w:p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abstract">
    <w:name w:val="abstract"/>
    <w:basedOn w:val="Normalny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ny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Bezlisty"/>
    <w:pPr>
      <w:numPr>
        <w:numId w:val="5"/>
      </w:numPr>
    </w:pPr>
  </w:style>
  <w:style w:type="paragraph" w:customStyle="1" w:styleId="author">
    <w:name w:val="author"/>
    <w:basedOn w:val="Normalny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ny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ny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omylnaczcionkaakapitu"/>
    <w:rPr>
      <w:rFonts w:ascii="Courier" w:hAnsi="Courier"/>
      <w:noProof/>
    </w:rPr>
  </w:style>
  <w:style w:type="paragraph" w:customStyle="1" w:styleId="equation">
    <w:name w:val="equation"/>
    <w:basedOn w:val="Normalny"/>
    <w:next w:val="Normalny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ny"/>
    <w:next w:val="Normalny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Odwoanieprzypisudolnego">
    <w:name w:val="footnote reference"/>
    <w:basedOn w:val="Domylnaczcionkaakapitu"/>
    <w:semiHidden/>
    <w:unhideWhenUsed/>
    <w:rPr>
      <w:position w:val="0"/>
      <w:vertAlign w:val="superscript"/>
    </w:rPr>
  </w:style>
  <w:style w:type="paragraph" w:styleId="Stopka">
    <w:name w:val="footer"/>
    <w:basedOn w:val="Normalny"/>
    <w:unhideWhenUsed/>
  </w:style>
  <w:style w:type="paragraph" w:customStyle="1" w:styleId="heading1">
    <w:name w:val="heading1"/>
    <w:basedOn w:val="Normalny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ny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Domylnaczcionkaakapitu"/>
    <w:rPr>
      <w:b/>
    </w:rPr>
  </w:style>
  <w:style w:type="character" w:customStyle="1" w:styleId="heading4">
    <w:name w:val="heading4"/>
    <w:basedOn w:val="Domylnaczcionkaakapitu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cze">
    <w:name w:val="Hyperlink"/>
    <w:basedOn w:val="Domylnaczcionkaakapitu"/>
    <w:unhideWhenUsed/>
    <w:rPr>
      <w:color w:val="auto"/>
      <w:u w:val="none"/>
    </w:rPr>
  </w:style>
  <w:style w:type="paragraph" w:customStyle="1" w:styleId="image">
    <w:name w:val="image"/>
    <w:basedOn w:val="Normalny"/>
    <w:next w:val="Normalny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Bezlisty"/>
    <w:pPr>
      <w:numPr>
        <w:numId w:val="1"/>
      </w:numPr>
    </w:pPr>
  </w:style>
  <w:style w:type="numbering" w:customStyle="1" w:styleId="itemization2">
    <w:name w:val="itemization2"/>
    <w:basedOn w:val="Bezlisty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Nagwek">
    <w:name w:val="header"/>
    <w:basedOn w:val="Normalny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ny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ny"/>
    <w:next w:val="Normalny"/>
    <w:pPr>
      <w:ind w:firstLine="0"/>
    </w:pPr>
  </w:style>
  <w:style w:type="paragraph" w:customStyle="1" w:styleId="programcode">
    <w:name w:val="programcode"/>
    <w:basedOn w:val="Normalny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ny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Bezlisty"/>
    <w:semiHidden/>
    <w:pPr>
      <w:numPr>
        <w:numId w:val="8"/>
      </w:numPr>
    </w:pPr>
  </w:style>
  <w:style w:type="paragraph" w:customStyle="1" w:styleId="runninghead-left">
    <w:name w:val="running head - left"/>
    <w:basedOn w:val="Normalny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ny"/>
    <w:pPr>
      <w:ind w:firstLine="0"/>
      <w:jc w:val="right"/>
    </w:pPr>
    <w:rPr>
      <w:bCs/>
      <w:sz w:val="18"/>
      <w:szCs w:val="18"/>
    </w:rPr>
  </w:style>
  <w:style w:type="character" w:styleId="Numerstrony">
    <w:name w:val="page number"/>
    <w:basedOn w:val="Domylnaczcionkaakapitu"/>
    <w:semiHidden/>
    <w:unhideWhenUsed/>
    <w:rPr>
      <w:sz w:val="18"/>
    </w:rPr>
  </w:style>
  <w:style w:type="paragraph" w:customStyle="1" w:styleId="papertitle">
    <w:name w:val="papertitle"/>
    <w:basedOn w:val="Normalny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ny"/>
    <w:next w:val="Normalny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omylnaczcionkaakapitu"/>
    <w:rPr>
      <w:rFonts w:ascii="Courier" w:hAnsi="Courier"/>
      <w:noProof/>
    </w:rPr>
  </w:style>
  <w:style w:type="character" w:customStyle="1" w:styleId="ORCID">
    <w:name w:val="ORCID"/>
    <w:basedOn w:val="Domylnaczcionkaakapitu"/>
    <w:rPr>
      <w:noProof/>
      <w:position w:val="0"/>
      <w:vertAlign w:val="superscript"/>
    </w:rPr>
  </w:style>
  <w:style w:type="paragraph" w:styleId="Tekstprzypisudolnego">
    <w:name w:val="footnote text"/>
    <w:basedOn w:val="Normalny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Nierozpoznanawzmianka">
    <w:name w:val="Unresolved Mention"/>
    <w:basedOn w:val="Domylnaczcionkaakapitu"/>
    <w:uiPriority w:val="99"/>
    <w:semiHidden/>
    <w:unhideWhenUsed/>
    <w:rsid w:val="00A412BF"/>
    <w:rPr>
      <w:color w:val="605E5C"/>
      <w:shd w:val="clear" w:color="auto" w:fill="E1DFDD"/>
    </w:rPr>
  </w:style>
  <w:style w:type="paragraph" w:styleId="Tekstdymka">
    <w:name w:val="Balloon Text"/>
    <w:basedOn w:val="Normalny"/>
    <w:link w:val="TekstdymkaZnak"/>
    <w:semiHidden/>
    <w:unhideWhenUsed/>
    <w:rsid w:val="007F352C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kstdymkaZnak">
    <w:name w:val="Tekst dymka Znak"/>
    <w:basedOn w:val="Domylnaczcionkaakapitu"/>
    <w:link w:val="Tekstdymka"/>
    <w:semiHidden/>
    <w:rsid w:val="007F352C"/>
    <w:rPr>
      <w:rFonts w:ascii="Segoe UI" w:hAnsi="Segoe UI" w:cs="Segoe UI"/>
      <w:sz w:val="18"/>
      <w:szCs w:val="18"/>
      <w:lang w:val="pl-PL"/>
    </w:rPr>
  </w:style>
  <w:style w:type="character" w:styleId="Tekstzastpczy">
    <w:name w:val="Placeholder Text"/>
    <w:basedOn w:val="Domylnaczcionkaakapitu"/>
    <w:semiHidden/>
    <w:rsid w:val="0075110F"/>
    <w:rPr>
      <w:color w:val="808080"/>
    </w:rPr>
  </w:style>
  <w:style w:type="character" w:styleId="UyteHipercze">
    <w:name w:val="FollowedHyperlink"/>
    <w:basedOn w:val="Domylnaczcionkaakapitu"/>
    <w:semiHidden/>
    <w:unhideWhenUsed/>
    <w:rsid w:val="000F0AB0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050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84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www.springer.com/gp/computer-science/lncs/conference-proceedings-guidelines" TargetMode="External"/><Relationship Id="rId18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hart" Target="charts/chart1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marcullo/WUT-Article" TargetMode="Externa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hyperlink" Target="https://sjp.pwn.pl/poradnia" TargetMode="External"/><Relationship Id="rId10" Type="http://schemas.openxmlformats.org/officeDocument/2006/relationships/image" Target="media/image1.png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mailto:gall.anonim.stud@pw.edu.pl?subject=Warning!%20Provided%20e-mail%20address%20is%20dummy.%20Do%20not%20send%20a%20message." TargetMode="External"/><Relationship Id="rId14" Type="http://schemas.openxmlformats.org/officeDocument/2006/relationships/hyperlink" Target="https://www.ptm.org.pl/sites/default/files/latex-ksiazka-kucharska.pdf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l-P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677751024923536"/>
          <c:y val="4.9920580894032222E-2"/>
          <c:w val="0.79333518697089989"/>
          <c:h val="0.78941090498473254"/>
        </c:manualLayout>
      </c:layout>
      <c:lineChart>
        <c:grouping val="standard"/>
        <c:varyColors val="0"/>
        <c:ser>
          <c:idx val="0"/>
          <c:order val="0"/>
          <c:tx>
            <c:strRef>
              <c:f>Arkusz1!$B$1</c:f>
              <c:strCache>
                <c:ptCount val="1"/>
                <c:pt idx="0">
                  <c:v>PDMGR</c:v>
                </c:pt>
              </c:strCache>
            </c:strRef>
          </c:tx>
          <c:spPr>
            <a:ln w="12700" cap="rnd">
              <a:solidFill>
                <a:srgbClr val="0000CC"/>
              </a:solidFill>
              <a:round/>
            </a:ln>
            <a:effectLst/>
          </c:spPr>
          <c:marker>
            <c:symbol val="circle"/>
            <c:size val="4"/>
            <c:spPr>
              <a:solidFill>
                <a:srgbClr val="0000CC"/>
              </a:solidFill>
              <a:ln w="9525">
                <a:solidFill>
                  <a:srgbClr val="0000CC"/>
                </a:solidFill>
              </a:ln>
              <a:effectLst/>
            </c:spPr>
          </c:marker>
          <c:cat>
            <c:strRef>
              <c:f>Arkusz1!$A$2:$A$7</c:f>
              <c:strCache>
                <c:ptCount val="6"/>
                <c:pt idx="0">
                  <c:v>17L</c:v>
                </c:pt>
                <c:pt idx="1">
                  <c:v>17Z</c:v>
                </c:pt>
                <c:pt idx="2">
                  <c:v>18L</c:v>
                </c:pt>
                <c:pt idx="3">
                  <c:v>18Z</c:v>
                </c:pt>
                <c:pt idx="4">
                  <c:v>19L</c:v>
                </c:pt>
                <c:pt idx="5">
                  <c:v>19Z</c:v>
                </c:pt>
              </c:strCache>
            </c:strRef>
          </c:cat>
          <c:val>
            <c:numRef>
              <c:f>Arkusz1!$B$2:$B$7</c:f>
              <c:numCache>
                <c:formatCode>General</c:formatCode>
                <c:ptCount val="6"/>
                <c:pt idx="0">
                  <c:v>172</c:v>
                </c:pt>
                <c:pt idx="1">
                  <c:v>183</c:v>
                </c:pt>
                <c:pt idx="2">
                  <c:v>168</c:v>
                </c:pt>
                <c:pt idx="3">
                  <c:v>152</c:v>
                </c:pt>
                <c:pt idx="4">
                  <c:v>158</c:v>
                </c:pt>
                <c:pt idx="5">
                  <c:v>156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1F95-4B59-B34E-42106210F9E4}"/>
            </c:ext>
          </c:extLst>
        </c:ser>
        <c:ser>
          <c:idx val="1"/>
          <c:order val="1"/>
          <c:tx>
            <c:strRef>
              <c:f>Arkusz1!$C$1</c:f>
              <c:strCache>
                <c:ptCount val="1"/>
                <c:pt idx="0">
                  <c:v>SDM1</c:v>
                </c:pt>
              </c:strCache>
            </c:strRef>
          </c:tx>
          <c:spPr>
            <a:ln w="12700" cap="rnd">
              <a:solidFill>
                <a:srgbClr val="FF0000"/>
              </a:solidFill>
              <a:round/>
            </a:ln>
            <a:effectLst/>
          </c:spPr>
          <c:marker>
            <c:symbol val="square"/>
            <c:size val="4"/>
            <c:spPr>
              <a:solidFill>
                <a:srgbClr val="CC0000"/>
              </a:solidFill>
              <a:ln w="9525">
                <a:solidFill>
                  <a:srgbClr val="FF0000"/>
                </a:solidFill>
              </a:ln>
              <a:effectLst/>
            </c:spPr>
          </c:marker>
          <c:cat>
            <c:strRef>
              <c:f>Arkusz1!$A$2:$A$7</c:f>
              <c:strCache>
                <c:ptCount val="6"/>
                <c:pt idx="0">
                  <c:v>17L</c:v>
                </c:pt>
                <c:pt idx="1">
                  <c:v>17Z</c:v>
                </c:pt>
                <c:pt idx="2">
                  <c:v>18L</c:v>
                </c:pt>
                <c:pt idx="3">
                  <c:v>18Z</c:v>
                </c:pt>
                <c:pt idx="4">
                  <c:v>19L</c:v>
                </c:pt>
                <c:pt idx="5">
                  <c:v>19Z</c:v>
                </c:pt>
              </c:strCache>
            </c:strRef>
          </c:cat>
          <c:val>
            <c:numRef>
              <c:f>Arkusz1!$C$2:$C$7</c:f>
              <c:numCache>
                <c:formatCode>General</c:formatCode>
                <c:ptCount val="6"/>
                <c:pt idx="0">
                  <c:v>170</c:v>
                </c:pt>
                <c:pt idx="1">
                  <c:v>159</c:v>
                </c:pt>
                <c:pt idx="2">
                  <c:v>162</c:v>
                </c:pt>
                <c:pt idx="3">
                  <c:v>137</c:v>
                </c:pt>
                <c:pt idx="4">
                  <c:v>144</c:v>
                </c:pt>
                <c:pt idx="5">
                  <c:v>154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F95-4B59-B34E-42106210F9E4}"/>
            </c:ext>
          </c:extLst>
        </c:ser>
        <c:ser>
          <c:idx val="2"/>
          <c:order val="2"/>
          <c:tx>
            <c:strRef>
              <c:f>Arkusz1!$D$1</c:f>
              <c:strCache>
                <c:ptCount val="1"/>
                <c:pt idx="0">
                  <c:v>SDM2</c:v>
                </c:pt>
              </c:strCache>
            </c:strRef>
          </c:tx>
          <c:spPr>
            <a:ln w="12700" cap="rnd">
              <a:solidFill>
                <a:srgbClr val="734C26"/>
              </a:solidFill>
              <a:round/>
            </a:ln>
            <a:effectLst/>
          </c:spPr>
          <c:marker>
            <c:symbol val="triangle"/>
            <c:size val="4"/>
            <c:spPr>
              <a:solidFill>
                <a:srgbClr val="996633"/>
              </a:solidFill>
              <a:ln w="9525">
                <a:solidFill>
                  <a:srgbClr val="734C26"/>
                </a:solidFill>
              </a:ln>
              <a:effectLst/>
            </c:spPr>
          </c:marker>
          <c:cat>
            <c:strRef>
              <c:f>Arkusz1!$A$2:$A$7</c:f>
              <c:strCache>
                <c:ptCount val="6"/>
                <c:pt idx="0">
                  <c:v>17L</c:v>
                </c:pt>
                <c:pt idx="1">
                  <c:v>17Z</c:v>
                </c:pt>
                <c:pt idx="2">
                  <c:v>18L</c:v>
                </c:pt>
                <c:pt idx="3">
                  <c:v>18Z</c:v>
                </c:pt>
                <c:pt idx="4">
                  <c:v>19L</c:v>
                </c:pt>
                <c:pt idx="5">
                  <c:v>19Z</c:v>
                </c:pt>
              </c:strCache>
            </c:strRef>
          </c:cat>
          <c:val>
            <c:numRef>
              <c:f>Arkusz1!$D$2:$D$7</c:f>
              <c:numCache>
                <c:formatCode>General</c:formatCode>
                <c:ptCount val="6"/>
                <c:pt idx="0">
                  <c:v>162</c:v>
                </c:pt>
                <c:pt idx="1">
                  <c:v>154</c:v>
                </c:pt>
                <c:pt idx="2">
                  <c:v>175</c:v>
                </c:pt>
                <c:pt idx="3">
                  <c:v>161</c:v>
                </c:pt>
                <c:pt idx="4">
                  <c:v>143</c:v>
                </c:pt>
                <c:pt idx="5">
                  <c:v>138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4-1F95-4B59-B34E-42106210F9E4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682079376"/>
        <c:axId val="682080016"/>
      </c:lineChart>
      <c:catAx>
        <c:axId val="682079376"/>
        <c:scaling>
          <c:orientation val="minMax"/>
        </c:scaling>
        <c:delete val="0"/>
        <c:axPos val="b"/>
        <c:majorGridlines>
          <c:spPr>
            <a:ln w="9525" cap="flat" cmpd="sng" algn="ctr">
              <a:noFill/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l-PL">
                    <a:solidFill>
                      <a:schemeClr val="tx1"/>
                    </a:solidFill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semestr akademicki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/>
                  </a:solidFill>
                  <a:latin typeface="+mn-lt"/>
                  <a:ea typeface="+mn-ea"/>
                  <a:cs typeface="+mn-cs"/>
                </a:defRPr>
              </a:pPr>
              <a:endParaRPr lang="pl-PL"/>
            </a:p>
          </c:txPr>
        </c:title>
        <c:numFmt formatCode="General" sourceLinked="1"/>
        <c:majorTickMark val="none"/>
        <c:minorTickMark val="in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pl-PL"/>
          </a:p>
        </c:txPr>
        <c:crossAx val="682080016"/>
        <c:crosses val="autoZero"/>
        <c:auto val="1"/>
        <c:lblAlgn val="ctr"/>
        <c:lblOffset val="100"/>
        <c:noMultiLvlLbl val="1"/>
      </c:catAx>
      <c:valAx>
        <c:axId val="682080016"/>
        <c:scaling>
          <c:orientation val="minMax"/>
          <c:max val="190"/>
          <c:min val="13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minorGridlines>
          <c:spPr>
            <a:ln w="9525" cap="flat" cmpd="sng" algn="ctr">
              <a:noFill/>
              <a:round/>
            </a:ln>
            <a:effectLst/>
          </c:spPr>
        </c:min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/>
                    </a:solidFill>
                    <a:latin typeface="Times New Roman" panose="02020603050405020304" pitchFamily="18" charset="0"/>
                    <a:ea typeface="+mn-ea"/>
                    <a:cs typeface="Times New Roman" panose="02020603050405020304" pitchFamily="18" charset="0"/>
                  </a:defRPr>
                </a:pPr>
                <a:r>
                  <a:rPr lang="pl-PL">
                    <a:solidFill>
                      <a:schemeClr val="tx1"/>
                    </a:solidFill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liczba uczestników</a:t>
                </a:r>
              </a:p>
            </c:rich>
          </c:tx>
          <c:layout>
            <c:manualLayout>
              <c:xMode val="edge"/>
              <c:yMode val="edge"/>
              <c:x val="0"/>
              <c:y val="0.21876895906245883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/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pl-PL"/>
            </a:p>
          </c:txPr>
        </c:title>
        <c:numFmt formatCode="General" sourceLinked="1"/>
        <c:majorTickMark val="none"/>
        <c:minorTickMark val="in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pl-PL"/>
          </a:p>
        </c:txPr>
        <c:crossAx val="682079376"/>
        <c:crosses val="autoZero"/>
        <c:crossBetween val="between"/>
        <c:majorUnit val="20"/>
      </c:valAx>
      <c:spPr>
        <a:noFill/>
        <a:ln>
          <a:solidFill>
            <a:schemeClr val="bg1">
              <a:lumMod val="75000"/>
            </a:schemeClr>
          </a:solidFill>
        </a:ln>
        <a:effectLst/>
      </c:spPr>
    </c:plotArea>
    <c:legend>
      <c:legendPos val="r"/>
      <c:layout>
        <c:manualLayout>
          <c:xMode val="edge"/>
          <c:yMode val="edge"/>
          <c:x val="0.60331584142799166"/>
          <c:y val="6.3841491982408155E-2"/>
          <c:w val="0.33024443276662829"/>
          <c:h val="0.23031496062992124"/>
        </c:manualLayout>
      </c:layout>
      <c:overlay val="1"/>
      <c:spPr>
        <a:solidFill>
          <a:schemeClr val="bg1"/>
        </a:solidFill>
        <a:ln w="6350">
          <a:solidFill>
            <a:schemeClr val="tx1"/>
          </a:solidFill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pl-PL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pl-PL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BE6606-6030-4C34-BD28-28CEF48614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1926</Words>
  <Characters>11562</Characters>
  <Application>Microsoft Office Word</Application>
  <DocSecurity>0</DocSecurity>
  <Lines>96</Lines>
  <Paragraphs>26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13462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Luke One</cp:lastModifiedBy>
  <cp:revision>191</cp:revision>
  <cp:lastPrinted>2020-03-15T09:22:00Z</cp:lastPrinted>
  <dcterms:created xsi:type="dcterms:W3CDTF">2018-05-05T07:23:00Z</dcterms:created>
  <dcterms:modified xsi:type="dcterms:W3CDTF">2020-03-15T09:23:00Z</dcterms:modified>
</cp:coreProperties>
</file>