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Override PartName="/word/media/image2.svg" ContentType="image/svg+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br/>
      </w:r>
      <w:r>
        <w:t xml:space="preserve"> </w:t>
      </w:r>
      <w:r>
        <w:br/>
      </w:r>
      <w:r>
        <w:t xml:space="preserve"> </w:t>
      </w:r>
      <w:r>
        <w:br/>
      </w:r>
      <w:r>
        <w:t xml:space="preserve"> </w:t>
      </w:r>
      <w:r>
        <w:br/>
      </w:r>
      <w:r>
        <w:t xml:space="preserve"> </w:t>
      </w:r>
    </w:p>
    <w:p>
      <w:pPr>
        <w:pStyle w:val="Titre1"/>
      </w:pPr>
      <w:bookmarkStart w:id="20" w:name="X330fbb25595d2da3826cc337f5ffa328bd4413f"/>
      <w:r>
        <w:t xml:space="preserve">VAE collective : tests portail employeur pour simplification.</w:t>
      </w:r>
      <w:bookmarkEnd w:id="20"/>
    </w:p>
    <w:p>
      <w:pPr>
        <w:pStyle w:val="FirstParagraph"/>
      </w:pPr>
      <w:r>
        <w:br/>
      </w:r>
      <w:r>
        <w:t xml:space="preserve"> </w:t>
      </w:r>
      <w:r>
        <w:br/>
      </w:r>
      <w:r>
        <w:t xml:space="preserve"> </w:t>
      </w:r>
    </w:p>
    <w:p>
      <w:pPr>
        <w:pStyle w:val="Titre2"/>
      </w:pPr>
      <w:bookmarkStart w:id="21" w:name="compte-rendu-détaillé-2.0-beta"/>
      <w:r>
        <w:t xml:space="preserve">Compte-rendu détaillé 2.0 (beta)</w:t>
      </w:r>
      <w:bookmarkEnd w:id="21"/>
    </w:p>
    <w:p>
      <w:pPr>
        <w:pStyle w:val="FirstParagraph"/>
      </w:pPr>
      <w:r>
        <w:br/>
      </w:r>
      <w:r>
        <w:t xml:space="preserve"> </w:t>
      </w:r>
      <w:r>
        <w:br/>
      </w:r>
      <w:r>
        <w:t xml:space="preserve"> </w:t>
      </w:r>
    </w:p>
    <w:p>
      <w:pPr>
        <w:pStyle w:val="Corpsdetexte"/>
      </w:pPr>
      <w:r>
        <w:t xml:space="preserve">Date : 15/04/2025 15:35</w:t>
      </w:r>
    </w:p>
    <w:p>
      <w:pPr>
        <w:pStyle w:val="Corpsdetexte"/>
      </w:pPr>
      <w:r>
        <w:t xml:space="preserve">Layla de Dicte.ai</w:t>
      </w:r>
    </w:p>
    <w:p>
      <w:pPr>
        <w:pStyle w:val="Corpsdetexte"/>
      </w:pPr>
      <w:r>
        <w:t xml:space="preserve">Dicte.ai</w:t>
      </w:r>
    </w:p>
    <w:p>
      <w:pPr>
        <w:pStyle w:val="Corpsdetexte"/>
      </w:pPr>
      <w:r>
        <w:br/>
      </w:r>
      <w:r>
        <w:t xml:space="preserve"> </w:t>
      </w:r>
      <w:r>
        <w:br/>
      </w:r>
      <w:r>
        <w:t xml:space="preserve"> </w:t>
      </w:r>
      <w:r>
        <w:br/>
      </w:r>
      <w:r>
        <w:t xml:space="preserve"> </w:t>
      </w:r>
      <w:r>
        <w:br/>
      </w:r>
      <w:r>
        <w:t xml:space="preserve"> </w:t>
      </w:r>
      <w:r>
        <w:br/>
      </w:r>
      <w:r>
        <w:t xml:space="preserve"> </w:t>
      </w:r>
      <w:r>
        <w:br/>
      </w:r>
      <w:r>
        <w:t xml:space="preserve"> </w:t>
      </w:r>
    </w:p>
    <w:p>
      <w:r>
        <w:br w:type="page"/>
      </w:r>
    </w:p>
    <w:p>
      <w:pPr>
        <w:pStyle w:val="Titre1"/>
      </w:pPr>
      <w:bookmarkStart w:id="22" w:name="Xa11910c7598ca013a2fa6d97dfc23f9bcefed0d"/>
      <w:r>
        <w:t xml:space="preserve">Compte Rendu de Séance : Amélioration de la plateforme VAE collective</w:t>
      </w:r>
      <w:bookmarkEnd w:id="22"/>
    </w:p>
    <w:p>
      <w:pPr>
        <w:pStyle w:val="FirstParagraph"/>
      </w:pPr>
      <w:r>
        <w:rPr>
          <w:b/>
        </w:rPr>
        <w:t xml:space="preserve">Date :</w:t>
      </w:r>
      <w:r>
        <w:t xml:space="preserve"> </w:t>
      </w:r>
      <w:r>
        <w:t xml:space="preserve">15 avril 2025</w:t>
      </w:r>
      <w:r>
        <w:t xml:space="preserve"> </w:t>
      </w:r>
      <w:r>
        <w:rPr>
          <w:b/>
        </w:rPr>
        <w:t xml:space="preserve">Heure de début :</w:t>
      </w:r>
      <w:r>
        <w:t xml:space="preserve"> </w:t>
      </w:r>
      <w:r>
        <w:t xml:space="preserve">15:35</w:t>
      </w:r>
      <w:r>
        <w:t xml:space="preserve"> </w:t>
      </w:r>
      <w:r>
        <w:rPr>
          <w:b/>
        </w:rPr>
        <w:t xml:space="preserve">Heure de fin :</w:t>
      </w:r>
      <w:r>
        <w:t xml:space="preserve"> </w:t>
      </w:r>
      <w:r>
        <w:t xml:space="preserve">16:54</w:t>
      </w:r>
      <w:r>
        <w:t xml:space="preserve"> </w:t>
      </w:r>
      <w:r>
        <w:rPr>
          <w:b/>
        </w:rPr>
        <w:t xml:space="preserve">Durée :</w:t>
      </w:r>
      <w:r>
        <w:t xml:space="preserve"> </w:t>
      </w:r>
      <w:r>
        <w:t xml:space="preserve">01:19:16</w:t>
      </w:r>
      <w:r>
        <w:t xml:space="preserve"> </w:t>
      </w:r>
      <w:r>
        <w:rPr>
          <w:b/>
        </w:rPr>
        <w:t xml:space="preserve">Lieu :</w:t>
      </w:r>
      <w:r>
        <w:t xml:space="preserve"> </w:t>
      </w:r>
      <w:r>
        <w:t xml:space="preserve">Réunion enregistrée</w:t>
      </w:r>
    </w:p>
    <w:p>
      <w:pPr>
        <w:pStyle w:val="Titre2"/>
      </w:pPr>
      <w:bookmarkStart w:id="23" w:name="table-des-matières"/>
      <w:r>
        <w:t xml:space="preserve">Table des Matières</w:t>
      </w:r>
      <w:bookmarkEnd w:id="23"/>
    </w:p>
    <w:p>
      <w:pPr>
        <w:numPr>
          <w:ilvl w:val="0"/>
          <w:numId w:val="1001"/>
        </w:numPr>
        <w:pStyle w:val="Compact"/>
      </w:pPr>
      <w:r>
        <w:t xml:space="preserve">Participants</w:t>
      </w:r>
    </w:p>
    <w:p>
      <w:pPr>
        <w:numPr>
          <w:ilvl w:val="0"/>
          <w:numId w:val="1001"/>
        </w:numPr>
        <w:pStyle w:val="Compact"/>
      </w:pPr>
      <w:r>
        <w:t xml:space="preserve">Résumé des Décisions</w:t>
      </w:r>
    </w:p>
    <w:p>
      <w:pPr>
        <w:numPr>
          <w:ilvl w:val="0"/>
          <w:numId w:val="1001"/>
        </w:numPr>
        <w:pStyle w:val="Compact"/>
      </w:pPr>
      <w:r>
        <w:t xml:space="preserve">Introduction : Amélioration de la plateforme VAE collective</w:t>
      </w:r>
    </w:p>
    <w:p>
      <w:pPr>
        <w:numPr>
          <w:ilvl w:val="0"/>
          <w:numId w:val="1001"/>
        </w:numPr>
        <w:pStyle w:val="Compact"/>
      </w:pPr>
      <w:r>
        <w:t xml:space="preserve">Tests du Portail Employeur : Besoins et Fonctionnalités</w:t>
      </w:r>
    </w:p>
    <w:p>
      <w:pPr>
        <w:numPr>
          <w:ilvl w:val="0"/>
          <w:numId w:val="1001"/>
        </w:numPr>
        <w:pStyle w:val="Compact"/>
      </w:pPr>
      <w:r>
        <w:t xml:space="preserve">Suivi des Décisions</w:t>
      </w:r>
    </w:p>
    <w:p>
      <w:pPr>
        <w:pStyle w:val="Titre2"/>
      </w:pPr>
      <w:bookmarkStart w:id="24" w:name="participants"/>
      <w:r>
        <w:t xml:space="preserve">1. Participants</w:t>
      </w:r>
      <w:bookmarkEnd w:id="24"/>
    </w:p>
    <w:p>
      <w:pPr>
        <w:pStyle w:val="Titre3"/>
      </w:pPr>
      <w:bookmarkStart w:id="25" w:name="a-participants-présents"/>
      <w:r>
        <w:t xml:space="preserve">a) Participants présents :</w:t>
      </w:r>
      <w:bookmarkEnd w:id="25"/>
    </w:p>
    <w:p>
      <w:pPr>
        <w:numPr>
          <w:ilvl w:val="0"/>
          <w:numId w:val="1002"/>
        </w:numPr>
        <w:pStyle w:val="Compact"/>
      </w:pPr>
      <w:r>
        <w:t xml:space="preserve">Vincent (Chef de projet, Croix-Rouge Campus)</w:t>
      </w:r>
    </w:p>
    <w:p>
      <w:pPr>
        <w:numPr>
          <w:ilvl w:val="0"/>
          <w:numId w:val="1002"/>
        </w:numPr>
        <w:pStyle w:val="Compact"/>
      </w:pPr>
      <w:r>
        <w:t xml:space="preserve">Speaker0 (Responsable des affaires juridiques et de la conformité, France VAE)</w:t>
      </w:r>
    </w:p>
    <w:p>
      <w:pPr>
        <w:numPr>
          <w:ilvl w:val="0"/>
          <w:numId w:val="1002"/>
        </w:numPr>
        <w:pStyle w:val="Compact"/>
      </w:pPr>
      <w:r>
        <w:t xml:space="preserve">Florian (Adjoint de Olivier, France VAE)</w:t>
      </w:r>
    </w:p>
    <w:p>
      <w:pPr>
        <w:numPr>
          <w:ilvl w:val="0"/>
          <w:numId w:val="1002"/>
        </w:numPr>
        <w:pStyle w:val="Compact"/>
      </w:pPr>
      <w:r>
        <w:t xml:space="preserve">Florian Berger (France VAE)</w:t>
      </w:r>
    </w:p>
    <w:p>
      <w:pPr>
        <w:numPr>
          <w:ilvl w:val="0"/>
          <w:numId w:val="1002"/>
        </w:numPr>
        <w:pStyle w:val="Compact"/>
      </w:pPr>
      <w:r>
        <w:t xml:space="preserve">Victor Soussan (Responsable conception et design, France VAE)</w:t>
      </w:r>
    </w:p>
    <w:p>
      <w:pPr>
        <w:numPr>
          <w:ilvl w:val="0"/>
          <w:numId w:val="1002"/>
        </w:numPr>
        <w:pStyle w:val="Compact"/>
      </w:pPr>
      <w:r>
        <w:t xml:space="preserve">Zachariah Rulli (Responsable des affaires juridiques et de la conformité, France VAE)</w:t>
      </w:r>
    </w:p>
    <w:p>
      <w:pPr>
        <w:numPr>
          <w:ilvl w:val="0"/>
          <w:numId w:val="1002"/>
        </w:numPr>
        <w:pStyle w:val="Compact"/>
      </w:pPr>
      <w:r>
        <w:t xml:space="preserve">Victor (Lead UX, France VAE)</w:t>
      </w:r>
    </w:p>
    <w:p>
      <w:pPr>
        <w:numPr>
          <w:ilvl w:val="0"/>
          <w:numId w:val="1002"/>
        </w:numPr>
        <w:pStyle w:val="Compact"/>
      </w:pPr>
      <w:r>
        <w:t xml:space="preserve">Vincent ? (Franche-Comté)</w:t>
      </w:r>
    </w:p>
    <w:p>
      <w:pPr>
        <w:numPr>
          <w:ilvl w:val="0"/>
          <w:numId w:val="1002"/>
        </w:numPr>
        <w:pStyle w:val="Compact"/>
      </w:pPr>
      <w:r>
        <w:t xml:space="preserve">Marie (Franche-Comté)</w:t>
      </w:r>
    </w:p>
    <w:p>
      <w:pPr>
        <w:numPr>
          <w:ilvl w:val="0"/>
          <w:numId w:val="1002"/>
        </w:numPr>
        <w:pStyle w:val="Compact"/>
      </w:pPr>
      <w:r>
        <w:t xml:space="preserve">Céline (Franche-Comté)</w:t>
      </w:r>
    </w:p>
    <w:p>
      <w:pPr>
        <w:pStyle w:val="Titre3"/>
      </w:pPr>
      <w:bookmarkStart w:id="26" w:name="b-participants-excusés"/>
      <w:r>
        <w:t xml:space="preserve">b) Participants excusés :</w:t>
      </w:r>
      <w:bookmarkEnd w:id="26"/>
    </w:p>
    <w:p>
      <w:pPr>
        <w:numPr>
          <w:ilvl w:val="0"/>
          <w:numId w:val="1003"/>
        </w:numPr>
        <w:pStyle w:val="Compact"/>
      </w:pPr>
      <w:r>
        <w:t xml:space="preserve">Aucun participant excusé n’est mentionné dans la transcription.</w:t>
      </w:r>
    </w:p>
    <w:p>
      <w:pPr>
        <w:pStyle w:val="Titre3"/>
      </w:pPr>
      <w:bookmarkStart w:id="27" w:name="remarque"/>
      <w:r>
        <w:t xml:space="preserve">Remarque :</w:t>
      </w:r>
      <w:bookmarkEnd w:id="27"/>
    </w:p>
    <w:p>
      <w:pPr>
        <w:pStyle w:val="FirstParagraph"/>
      </w:pPr>
      <w:r>
        <w:t xml:space="preserve">La transcription ne précise pas clairement la présence ou l’absence de certains intervenants. Il est possible que d’autres personnes aient participé à la réunion sans être explicitement nommées.</w:t>
      </w:r>
    </w:p>
    <w:p>
      <w:pPr>
        <w:pStyle w:val="Titre2"/>
      </w:pPr>
      <w:bookmarkStart w:id="28" w:name="résumé-des-décisions"/>
      <w:r>
        <w:t xml:space="preserve">2. Résumé des Décisions</w:t>
      </w:r>
      <w:bookmarkEnd w:id="28"/>
    </w:p>
    <w:tbl>
      <w:tblPr>
        <w:tblStyle w:val="Table"/>
        <w:tblW w:type="pct" w:w="5000.0"/>
        <w:tblLook w:firstRow="1"/>
      </w:tblPr>
      <w:tblGrid>
        <w:gridCol w:w="822"/>
        <w:gridCol w:w="5142"/>
        <w:gridCol w:w="1028"/>
        <w:gridCol w:w="925"/>
      </w:tblGrid>
      <w:tr>
        <w:trPr>
          <w:cnfStyle w:firstRow="1"/>
        </w:trPr>
        <w:tc>
          <w:tcPr>
            <w:tcBorders>
              <w:bottom w:val="single"/>
            </w:tcBorders>
            <w:vAlign w:val="bottom"/>
          </w:tcPr>
          <w:p>
            <w:pPr>
              <w:pStyle w:val="Compact"/>
              <w:jc w:val="left"/>
            </w:pPr>
            <w:r>
              <w:t xml:space="preserve">Numéro de la Décision</w:t>
            </w:r>
          </w:p>
        </w:tc>
        <w:tc>
          <w:tcPr>
            <w:tcBorders>
              <w:bottom w:val="single"/>
            </w:tcBorders>
            <w:vAlign w:val="bottom"/>
          </w:tcPr>
          <w:p>
            <w:pPr>
              <w:pStyle w:val="Compact"/>
              <w:jc w:val="left"/>
            </w:pPr>
            <w:r>
              <w:t xml:space="preserve">Description de la Décision</w:t>
            </w:r>
          </w:p>
        </w:tc>
        <w:tc>
          <w:tcPr>
            <w:tcBorders>
              <w:bottom w:val="single"/>
            </w:tcBorders>
            <w:vAlign w:val="bottom"/>
          </w:tcPr>
          <w:p>
            <w:pPr>
              <w:pStyle w:val="Compact"/>
              <w:jc w:val="left"/>
            </w:pPr>
            <w:r>
              <w:t xml:space="preserve">Thème</w:t>
            </w:r>
          </w:p>
        </w:tc>
        <w:tc>
          <w:tcPr>
            <w:tcBorders>
              <w:bottom w:val="single"/>
            </w:tcBorders>
            <w:vAlign w:val="bottom"/>
          </w:tcPr>
          <w:p>
            <w:pPr>
              <w:pStyle w:val="Compact"/>
              <w:jc w:val="left"/>
            </w:pPr>
            <w:r>
              <w:t xml:space="preserve">Section du Compte Rendu</w:t>
            </w:r>
          </w:p>
        </w:tc>
      </w:tr>
      <w:tr>
        <w:tc>
          <w:p>
            <w:pPr>
              <w:pStyle w:val="Compact"/>
              <w:jc w:val="left"/>
            </w:pPr>
            <w:r>
              <w:t xml:space="preserve">1</w:t>
            </w:r>
          </w:p>
        </w:tc>
        <w:tc>
          <w:p>
            <w:pPr>
              <w:pStyle w:val="Compact"/>
              <w:jc w:val="left"/>
            </w:pPr>
            <w:r>
              <w:t xml:space="preserve">Tester un MVP (Minimum Viable Product) du portail projet collectif avec les participants dans les prochaines semaines.</w:t>
            </w:r>
          </w:p>
        </w:tc>
        <w:tc>
          <w:p>
            <w:pPr>
              <w:pStyle w:val="Compact"/>
              <w:jc w:val="left"/>
            </w:pPr>
            <w:r>
              <w:t xml:space="preserve">Tests du Portail Employeur</w:t>
            </w:r>
          </w:p>
        </w:tc>
        <w:tc>
          <w:p>
            <w:pPr>
              <w:pStyle w:val="Compact"/>
              <w:jc w:val="left"/>
            </w:pPr>
            <w:r>
              <w:t xml:space="preserve">4</w:t>
            </w:r>
          </w:p>
        </w:tc>
      </w:tr>
      <w:tr>
        <w:tc>
          <w:p>
            <w:pPr>
              <w:pStyle w:val="Compact"/>
              <w:jc w:val="left"/>
            </w:pPr>
            <w:r>
              <w:t xml:space="preserve">2</w:t>
            </w:r>
          </w:p>
        </w:tc>
        <w:tc>
          <w:p>
            <w:pPr>
              <w:pStyle w:val="Compact"/>
              <w:jc w:val="left"/>
            </w:pPr>
            <w:r>
              <w:t xml:space="preserve">Organiser des ateliers pour définir les composantes de l’offre du portail employeur et simplifier la création et le suivi des projets VAE collectifs.</w:t>
            </w:r>
          </w:p>
        </w:tc>
        <w:tc>
          <w:p>
            <w:pPr>
              <w:pStyle w:val="Compact"/>
              <w:jc w:val="left"/>
            </w:pPr>
            <w:r>
              <w:t xml:space="preserve">Tests du Portail Employeur</w:t>
            </w:r>
          </w:p>
        </w:tc>
        <w:tc>
          <w:p>
            <w:pPr>
              <w:pStyle w:val="Compact"/>
              <w:jc w:val="left"/>
            </w:pPr>
            <w:r>
              <w:t xml:space="preserve">4</w:t>
            </w:r>
          </w:p>
        </w:tc>
      </w:tr>
      <w:tr>
        <w:tc>
          <w:p>
            <w:pPr>
              <w:pStyle w:val="Compact"/>
              <w:jc w:val="left"/>
            </w:pPr>
            <w:r>
              <w:t xml:space="preserve">3</w:t>
            </w:r>
          </w:p>
        </w:tc>
        <w:tc>
          <w:p>
            <w:pPr>
              <w:pStyle w:val="Compact"/>
              <w:jc w:val="left"/>
            </w:pPr>
            <w:r>
              <w:t xml:space="preserve">Intégrer une fonctionnalité permettant aux AAP de communiquer régulièrement avec l’employeur sur l’état d’avancement des cohortes de candidats (boîte de dialogue par cohorte).</w:t>
            </w:r>
          </w:p>
        </w:tc>
        <w:tc>
          <w:p>
            <w:pPr>
              <w:pStyle w:val="Compact"/>
              <w:jc w:val="left"/>
            </w:pPr>
            <w:r>
              <w:t xml:space="preserve">Tests du Portail Employeur</w:t>
            </w:r>
          </w:p>
        </w:tc>
        <w:tc>
          <w:p>
            <w:pPr>
              <w:pStyle w:val="Compact"/>
              <w:jc w:val="left"/>
            </w:pPr>
            <w:r>
              <w:t xml:space="preserve">4</w:t>
            </w:r>
          </w:p>
        </w:tc>
      </w:tr>
      <w:tr>
        <w:tc>
          <w:p>
            <w:pPr>
              <w:pStyle w:val="Compact"/>
              <w:jc w:val="left"/>
            </w:pPr>
            <w:r>
              <w:t xml:space="preserve">4</w:t>
            </w:r>
          </w:p>
        </w:tc>
        <w:tc>
          <w:p>
            <w:pPr>
              <w:pStyle w:val="Compact"/>
              <w:jc w:val="left"/>
            </w:pPr>
            <w:r>
              <w:t xml:space="preserve">Explorer la possibilité d’intégrer un espace documentaire sécurisé dans le portail AAP pour gérer les documents liés aux projets collectifs.</w:t>
            </w:r>
          </w:p>
        </w:tc>
        <w:tc>
          <w:p>
            <w:pPr>
              <w:pStyle w:val="Compact"/>
              <w:jc w:val="left"/>
            </w:pPr>
            <w:r>
              <w:t xml:space="preserve">Tests du Portail Employeur</w:t>
            </w:r>
          </w:p>
        </w:tc>
        <w:tc>
          <w:p>
            <w:pPr>
              <w:pStyle w:val="Compact"/>
              <w:jc w:val="left"/>
            </w:pPr>
            <w:r>
              <w:t xml:space="preserve">4</w:t>
            </w:r>
          </w:p>
        </w:tc>
      </w:tr>
      <w:tr>
        <w:tc>
          <w:p>
            <w:pPr>
              <w:pStyle w:val="Compact"/>
              <w:jc w:val="left"/>
            </w:pPr>
            <w:r>
              <w:t xml:space="preserve">5</w:t>
            </w:r>
          </w:p>
        </w:tc>
        <w:tc>
          <w:p>
            <w:pPr>
              <w:pStyle w:val="Compact"/>
              <w:jc w:val="left"/>
            </w:pPr>
            <w:r>
              <w:t xml:space="preserve">Étudier la faisabilité d’un import massif de données candidats par les employeurs via un fichier (ex: DSN ou Excel), incluant le matricule interne.</w:t>
            </w:r>
          </w:p>
        </w:tc>
        <w:tc>
          <w:p>
            <w:pPr>
              <w:pStyle w:val="Compact"/>
              <w:jc w:val="left"/>
            </w:pPr>
            <w:r>
              <w:t xml:space="preserve">Tests du Portail Employeur</w:t>
            </w:r>
          </w:p>
        </w:tc>
        <w:tc>
          <w:p>
            <w:pPr>
              <w:pStyle w:val="Compact"/>
              <w:jc w:val="left"/>
            </w:pPr>
            <w:r>
              <w:t xml:space="preserve">4</w:t>
            </w:r>
          </w:p>
        </w:tc>
      </w:tr>
      <w:tr>
        <w:tc>
          <w:p>
            <w:pPr>
              <w:pStyle w:val="Compact"/>
              <w:jc w:val="left"/>
            </w:pPr>
            <w:r>
              <w:t xml:space="preserve">6</w:t>
            </w:r>
          </w:p>
        </w:tc>
        <w:tc>
          <w:p>
            <w:pPr>
              <w:pStyle w:val="Compact"/>
              <w:jc w:val="left"/>
            </w:pPr>
            <w:r>
              <w:t xml:space="preserve">Explorer la possibilité d’une notification automatique au certificateur concernant les volumes de candidats attendus dans le cadre des projets collectifs.</w:t>
            </w:r>
          </w:p>
        </w:tc>
        <w:tc>
          <w:p>
            <w:pPr>
              <w:pStyle w:val="Compact"/>
              <w:jc w:val="left"/>
            </w:pPr>
            <w:r>
              <w:t xml:space="preserve">Tests du Portail Employeur</w:t>
            </w:r>
          </w:p>
        </w:tc>
        <w:tc>
          <w:p>
            <w:pPr>
              <w:pStyle w:val="Compact"/>
              <w:jc w:val="left"/>
            </w:pPr>
            <w:r>
              <w:t xml:space="preserve">4</w:t>
            </w:r>
          </w:p>
        </w:tc>
      </w:tr>
    </w:tbl>
    <w:p>
      <w:pPr>
        <w:pStyle w:val="Titre2"/>
      </w:pPr>
      <w:bookmarkStart w:id="29" w:name="X1c7b842066de5b76920fdc11d86db0932602054"/>
      <w:r>
        <w:t xml:space="preserve">3. Introduction : Amélioration de la plateforme VAE collective</w:t>
      </w:r>
      <w:bookmarkEnd w:id="29"/>
    </w:p>
    <w:p>
      <w:pPr>
        <w:pStyle w:val="FirstParagraph"/>
      </w:pPr>
      <w:r>
        <w:t xml:space="preserve">Cette séance a pour objectif d’améliorer la plateforme VAE collective en testant un nouveau portail employeur. Ce portail vise à simplifier l’inscription, le suivi et le reporting des candidats pour les projets VAE collectifs, répondant ainsi à une demande croissante des employeurs, notamment dans le secteur sanitaire et social. L’amélioration de l’expérience utilisateur et l’optimisation des processus sont au cœur de cette initiative.</w:t>
      </w:r>
    </w:p>
    <w:p>
      <w:pPr>
        <w:pStyle w:val="Titre2"/>
      </w:pPr>
      <w:bookmarkStart w:id="30" w:name="X75d92f24d88bdf06ceb5f89c43b7e726430f779"/>
      <w:r>
        <w:t xml:space="preserve">4. Tests du Portail Employeur : Besoins et Fonctionnalités</w:t>
      </w:r>
      <w:bookmarkEnd w:id="30"/>
    </w:p>
    <w:p>
      <w:pPr>
        <w:pStyle w:val="FirstParagraph"/>
      </w:pPr>
      <w:r>
        <w:t xml:space="preserve">La discussion s’est concentrée sur les besoins des employeurs et des accompagnateurs dans le cadre de projets VAE collectifs. Plusieurs points importants ont été soulevés concernant le pilotage des projets, le suivi des candidats et la communication entre les différentes parties prenantes (employeur, accompagnateur, certificateur).</w:t>
      </w:r>
    </w:p>
    <w:p>
      <w:pPr>
        <w:pStyle w:val="Corpsdetexte"/>
      </w:pPr>
      <w:r>
        <w:rPr>
          <w:b/>
        </w:rPr>
        <w:t xml:space="preserve">Le besoin d’un portail employeur dédié est apparu clairement.</w:t>
      </w:r>
      <w:r>
        <w:t xml:space="preserve"> </w:t>
      </w:r>
      <w:r>
        <w:t xml:space="preserve">L’expérience passée avec des projets collectifs a mis en évidence les difficultés liées à la gestion des inscriptions, au suivi des candidats et à la production de rapports. L’utilisation de tableaux Excel s’est avérée fastidieuse et peu efficace.</w:t>
      </w:r>
    </w:p>
    <w:p>
      <w:pPr>
        <w:pStyle w:val="Corpsdetexte"/>
      </w:pPr>
      <w:r>
        <w:rPr>
          <w:b/>
        </w:rPr>
        <w:t xml:space="preserve">Plusieurs fonctionnalités ont été proposées et discutées:</w:t>
      </w:r>
    </w:p>
    <w:p>
      <w:pPr>
        <w:numPr>
          <w:ilvl w:val="0"/>
          <w:numId w:val="1004"/>
        </w:numPr>
      </w:pPr>
      <w:r>
        <w:rPr>
          <w:b/>
        </w:rPr>
        <w:t xml:space="preserve">Import massif de données:</w:t>
      </w:r>
      <w:r>
        <w:t xml:space="preserve"> </w:t>
      </w:r>
      <w:r>
        <w:t xml:space="preserve">La possibilité pour l’employeur d’importer un fichier (DSN, Excel) contenant les informations des candidats afin de simplifier leur inscription. L’inclusion du matricule interne de l’entreprise a été suggérée.</w:t>
      </w:r>
      <w:r>
        <w:t xml:space="preserve"> </w:t>
      </w:r>
      <w:r>
        <w:rPr>
          <w:i/>
        </w:rPr>
        <w:t xml:space="preserve">Décision 5</w:t>
      </w:r>
    </w:p>
    <w:p>
      <w:pPr>
        <w:numPr>
          <w:ilvl w:val="0"/>
          <w:numId w:val="1004"/>
        </w:numPr>
      </w:pPr>
      <w:r>
        <w:rPr>
          <w:b/>
        </w:rPr>
        <w:t xml:space="preserve">Espace de communication dédié:</w:t>
      </w:r>
      <w:r>
        <w:t xml:space="preserve"> </w:t>
      </w:r>
      <w:r>
        <w:t xml:space="preserve">La création d’une boîte de dialogue par cohorte de candidats permettant aux AAP de communiquer régulièrement avec l’employeur sur l’état d’avancement du projet, de manière anonyme et synthétique.</w:t>
      </w:r>
      <w:r>
        <w:t xml:space="preserve"> </w:t>
      </w:r>
      <w:r>
        <w:rPr>
          <w:i/>
        </w:rPr>
        <w:t xml:space="preserve">Décision 3</w:t>
      </w:r>
    </w:p>
    <w:p>
      <w:pPr>
        <w:numPr>
          <w:ilvl w:val="0"/>
          <w:numId w:val="1004"/>
        </w:numPr>
      </w:pPr>
      <w:r>
        <w:rPr>
          <w:b/>
        </w:rPr>
        <w:t xml:space="preserve">Espace documentaire sécurisé:</w:t>
      </w:r>
      <w:r>
        <w:t xml:space="preserve"> </w:t>
      </w:r>
      <w:r>
        <w:t xml:space="preserve">L’intégration d’un espace documentaire sécurisé au sein du portail AAP pour stocker et partager les documents liés aux projets collectifs (conventions, chartes d’engagement, etc.).</w:t>
      </w:r>
      <w:r>
        <w:t xml:space="preserve"> </w:t>
      </w:r>
      <w:r>
        <w:rPr>
          <w:i/>
        </w:rPr>
        <w:t xml:space="preserve">Décision 4</w:t>
      </w:r>
    </w:p>
    <w:p>
      <w:pPr>
        <w:numPr>
          <w:ilvl w:val="0"/>
          <w:numId w:val="1004"/>
        </w:numPr>
      </w:pPr>
      <w:r>
        <w:rPr>
          <w:b/>
        </w:rPr>
        <w:t xml:space="preserve">Notification automatique au certificateur:</w:t>
      </w:r>
      <w:r>
        <w:t xml:space="preserve"> </w:t>
      </w:r>
      <w:r>
        <w:t xml:space="preserve">Une notification automatique au certificateur concernant les volumes de candidats attendus pour les projets collectifs afin de faciliter la planification des jurys.</w:t>
      </w:r>
      <w:r>
        <w:t xml:space="preserve"> </w:t>
      </w:r>
      <w:r>
        <w:rPr>
          <w:i/>
        </w:rPr>
        <w:t xml:space="preserve">Décision 6</w:t>
      </w:r>
    </w:p>
    <w:p>
      <w:pPr>
        <w:numPr>
          <w:ilvl w:val="0"/>
          <w:numId w:val="1004"/>
        </w:numPr>
      </w:pPr>
      <w:r>
        <w:rPr>
          <w:b/>
        </w:rPr>
        <w:t xml:space="preserve">Suivi des indicateurs clés:</w:t>
      </w:r>
      <w:r>
        <w:t xml:space="preserve"> </w:t>
      </w:r>
      <w:r>
        <w:t xml:space="preserve">Le suivi d’indicateurs clés tels que le taux d’abandon, la progression individuelle des candidats et les résultats aux jurys.</w:t>
      </w:r>
    </w:p>
    <w:p>
      <w:pPr>
        <w:pStyle w:val="FirstParagraph"/>
      </w:pPr>
      <w:r>
        <w:t xml:space="preserve">“</w:t>
      </w:r>
      <w:r>
        <w:t xml:space="preserve">L’idée, c’est de jeter avec vous, à titre expérimental, ce que peut être un porteur de projet… et comment elle peut embarquer un projet collectif pour ses salariés en utilisant les fonctionnalités de France VAE, et en ayant des outils de pilotage et de reporting, tout en ramenant la candidature du projet collectif dans l’espace individuel du candidat.</w:t>
      </w:r>
      <w:r>
        <w:t xml:space="preserve">”</w:t>
      </w:r>
      <w:r>
        <w:t xml:space="preserve"> </w:t>
      </w:r>
      <w:r>
        <w:t xml:space="preserve">- Speaker0</w:t>
      </w:r>
    </w:p>
    <w:p>
      <w:pPr>
        <w:pStyle w:val="Corpsdetexte"/>
      </w:pPr>
      <w:r>
        <w:t xml:space="preserve">“</w:t>
      </w:r>
      <w:r>
        <w:t xml:space="preserve">Aujourd’hui, comme l’a dit Olivier, on arrive avec une toute première version qu’on a essayé d’incarner en partant de notre expérience actuelle.</w:t>
      </w:r>
      <w:r>
        <w:t xml:space="preserve">”</w:t>
      </w:r>
      <w:r>
        <w:t xml:space="preserve"> </w:t>
      </w:r>
      <w:r>
        <w:t xml:space="preserve">- Speaker1</w:t>
      </w:r>
    </w:p>
    <w:p>
      <w:pPr>
        <w:pStyle w:val="Corpsdetexte"/>
      </w:pPr>
      <w:r>
        <w:t xml:space="preserve">“</w:t>
      </w:r>
      <w:r>
        <w:t xml:space="preserve">La réussite d’une VAE collective, elle passe forcément par une communication fluide, par des points réguliers, par… Enfin oui, vraiment des temps de reporting…</w:t>
      </w:r>
      <w:r>
        <w:t xml:space="preserve">”</w:t>
      </w:r>
      <w:r>
        <w:t xml:space="preserve"> </w:t>
      </w:r>
      <w:r>
        <w:t xml:space="preserve">- Speaker3</w:t>
      </w:r>
    </w:p>
    <w:p>
      <w:pPr>
        <w:pStyle w:val="Corpsdetexte"/>
      </w:pPr>
      <w:r>
        <w:rPr>
          <w:b/>
        </w:rPr>
        <w:t xml:space="preserve">Un premier MVP (Minimum Viable Product) du portail projet collectif sera testé par les participants.</w:t>
      </w:r>
      <w:r>
        <w:t xml:space="preserve"> </w:t>
      </w:r>
      <w:r>
        <w:t xml:space="preserve">Ce test permettra de recueillir des retours d’expérience et d’identifier les améliorations nécessaires.</w:t>
      </w:r>
      <w:r>
        <w:t xml:space="preserve"> </w:t>
      </w:r>
      <w:r>
        <w:rPr>
          <w:i/>
        </w:rPr>
        <w:t xml:space="preserve">Décision 1</w:t>
      </w:r>
    </w:p>
    <w:p>
      <w:pPr>
        <w:pStyle w:val="Corpsdetexte"/>
      </w:pPr>
      <w:r>
        <w:t xml:space="preserve">Des ateliers seront organisés pour définir plus précisément les composantes de l’offre et affiner les fonctionnalités du portail.</w:t>
      </w:r>
      <w:r>
        <w:t xml:space="preserve"> </w:t>
      </w:r>
      <w:r>
        <w:rPr>
          <w:i/>
        </w:rPr>
        <w:t xml:space="preserve">Décision 2</w:t>
      </w:r>
    </w:p>
    <w:p>
      <w:pPr>
        <w:pStyle w:val="Titre2"/>
      </w:pPr>
      <w:bookmarkStart w:id="31" w:name="suivi-des-décisions"/>
      <w:r>
        <w:t xml:space="preserve">5. Suivi des Décisions</w:t>
      </w:r>
      <w:bookmarkEnd w:id="31"/>
    </w:p>
    <w:tbl>
      <w:tblPr>
        <w:tblStyle w:val="Table"/>
        <w:tblW w:type="pct" w:w="5000.0"/>
        <w:tblLook w:firstRow="1"/>
      </w:tblPr>
      <w:tblGrid>
        <w:gridCol w:w="495"/>
        <w:gridCol w:w="1732"/>
        <w:gridCol w:w="2640"/>
        <w:gridCol w:w="660"/>
        <w:gridCol w:w="247"/>
        <w:gridCol w:w="2145"/>
      </w:tblGrid>
      <w:tr>
        <w:trPr>
          <w:cnfStyle w:firstRow="1"/>
        </w:trPr>
        <w:tc>
          <w:tcPr>
            <w:tcBorders>
              <w:bottom w:val="single"/>
            </w:tcBorders>
            <w:vAlign w:val="bottom"/>
          </w:tcPr>
          <w:p>
            <w:pPr>
              <w:pStyle w:val="Compact"/>
              <w:jc w:val="left"/>
            </w:pPr>
            <w:r>
              <w:t xml:space="preserve">Numéro de la Décision</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Actions</w:t>
            </w:r>
          </w:p>
        </w:tc>
        <w:tc>
          <w:tcPr>
            <w:tcBorders>
              <w:bottom w:val="single"/>
            </w:tcBorders>
            <w:vAlign w:val="bottom"/>
          </w:tcPr>
          <w:p>
            <w:pPr>
              <w:pStyle w:val="Compact"/>
              <w:jc w:val="left"/>
            </w:pPr>
            <w:r>
              <w:t xml:space="preserve">Responsable</w:t>
            </w:r>
          </w:p>
        </w:tc>
        <w:tc>
          <w:tcPr>
            <w:tcBorders>
              <w:bottom w:val="single"/>
            </w:tcBorders>
            <w:vAlign w:val="bottom"/>
          </w:tcPr>
          <w:p>
            <w:pPr>
              <w:pStyle w:val="Compact"/>
              <w:jc w:val="left"/>
            </w:pPr>
            <w:r>
              <w:t xml:space="preserve">Délai</w:t>
            </w:r>
          </w:p>
        </w:tc>
        <w:tc>
          <w:tcPr>
            <w:tcBorders>
              <w:bottom w:val="single"/>
            </w:tcBorders>
            <w:vAlign w:val="bottom"/>
          </w:tcPr>
          <w:p>
            <w:pPr>
              <w:pStyle w:val="Compact"/>
              <w:jc w:val="left"/>
            </w:pPr>
            <w:r>
              <w:t xml:space="preserve">Critères de Succès</w:t>
            </w:r>
          </w:p>
        </w:tc>
      </w:tr>
      <w:tr>
        <w:tc>
          <w:p>
            <w:pPr>
              <w:pStyle w:val="Compact"/>
              <w:jc w:val="left"/>
            </w:pPr>
            <w:r>
              <w:t xml:space="preserve">1</w:t>
            </w:r>
          </w:p>
        </w:tc>
        <w:tc>
          <w:p>
            <w:pPr>
              <w:pStyle w:val="Compact"/>
              <w:jc w:val="left"/>
            </w:pPr>
            <w:r>
              <w:t xml:space="preserve">Tester le MVP du portail projet collectif</w:t>
            </w:r>
          </w:p>
        </w:tc>
        <w:tc>
          <w:p>
            <w:pPr>
              <w:pStyle w:val="Compact"/>
              <w:jc w:val="left"/>
            </w:pPr>
            <w:r>
              <w:t xml:space="preserve">Organiser des sessions de test avec les participants. Recueillir les retours et les analyser.</w:t>
            </w:r>
          </w:p>
        </w:tc>
        <w:tc>
          <w:p>
            <w:pPr>
              <w:pStyle w:val="Compact"/>
              <w:jc w:val="left"/>
            </w:pPr>
            <w:r>
              <w:t xml:space="preserve">Victor et équipe technique</w:t>
            </w:r>
          </w:p>
        </w:tc>
        <w:tc>
          <w:p>
            <w:pPr>
              <w:pStyle w:val="Compact"/>
              <w:jc w:val="left"/>
            </w:pPr>
            <w:r>
              <w:t xml:space="preserve">15 mai 2025</w:t>
            </w:r>
          </w:p>
        </w:tc>
        <w:tc>
          <w:p>
            <w:pPr>
              <w:pStyle w:val="Compact"/>
              <w:jc w:val="left"/>
            </w:pPr>
            <w:r>
              <w:t xml:space="preserve">Amélioration de l’expérience utilisateur et identification des points à améliorer.</w:t>
            </w:r>
          </w:p>
        </w:tc>
      </w:tr>
      <w:tr>
        <w:tc>
          <w:p>
            <w:pPr>
              <w:pStyle w:val="Compact"/>
              <w:jc w:val="left"/>
            </w:pPr>
            <w:r>
              <w:t xml:space="preserve">2</w:t>
            </w:r>
          </w:p>
        </w:tc>
        <w:tc>
          <w:p>
            <w:pPr>
              <w:pStyle w:val="Compact"/>
              <w:jc w:val="left"/>
            </w:pPr>
            <w:r>
              <w:t xml:space="preserve">Définir les composantes de l’offre du portail employeur</w:t>
            </w:r>
          </w:p>
        </w:tc>
        <w:tc>
          <w:p>
            <w:pPr>
              <w:pStyle w:val="Compact"/>
              <w:jc w:val="left"/>
            </w:pPr>
            <w:r>
              <w:t xml:space="preserve">Organiser des ateliers avec les participants. Documenter les besoins et les fonctionnalités.</w:t>
            </w:r>
          </w:p>
        </w:tc>
        <w:tc>
          <w:p>
            <w:pPr>
              <w:pStyle w:val="Compact"/>
              <w:jc w:val="left"/>
            </w:pPr>
            <w:r>
              <w:t xml:space="preserve">Victor et équipe</w:t>
            </w:r>
          </w:p>
        </w:tc>
        <w:tc>
          <w:p>
            <w:pPr>
              <w:pStyle w:val="Compact"/>
              <w:jc w:val="left"/>
            </w:pPr>
            <w:r>
              <w:t xml:space="preserve">Juin 2025</w:t>
            </w:r>
          </w:p>
        </w:tc>
        <w:tc>
          <w:p>
            <w:pPr>
              <w:pStyle w:val="Compact"/>
              <w:jc w:val="left"/>
            </w:pPr>
            <w:r>
              <w:t xml:space="preserve">Définition claire des fonctionnalités et des besoins des utilisateurs.</w:t>
            </w:r>
          </w:p>
        </w:tc>
      </w:tr>
      <w:tr>
        <w:tc>
          <w:p>
            <w:pPr>
              <w:pStyle w:val="Compact"/>
              <w:jc w:val="left"/>
            </w:pPr>
            <w:r>
              <w:t xml:space="preserve">3</w:t>
            </w:r>
          </w:p>
        </w:tc>
        <w:tc>
          <w:p>
            <w:pPr>
              <w:pStyle w:val="Compact"/>
              <w:jc w:val="left"/>
            </w:pPr>
            <w:r>
              <w:t xml:space="preserve">Intégrer une fonctionnalité de communication entre AAP et employeur</w:t>
            </w:r>
          </w:p>
        </w:tc>
        <w:tc>
          <w:p>
            <w:pPr>
              <w:pStyle w:val="Compact"/>
              <w:jc w:val="left"/>
            </w:pPr>
            <w:r>
              <w:t xml:space="preserve">Développer et implémenter la fonctionnalité de boîte de dialogue par cohorte.</w:t>
            </w:r>
          </w:p>
        </w:tc>
        <w:tc>
          <w:p>
            <w:pPr>
              <w:pStyle w:val="Compact"/>
              <w:jc w:val="left"/>
            </w:pPr>
            <w:r>
              <w:t xml:space="preserve">Équipe technique</w:t>
            </w:r>
          </w:p>
        </w:tc>
        <w:tc>
          <w:p>
            <w:pPr>
              <w:pStyle w:val="Compact"/>
              <w:jc w:val="left"/>
            </w:pPr>
            <w:r>
              <w:t xml:space="preserve">Juillet 2025</w:t>
            </w:r>
          </w:p>
        </w:tc>
        <w:tc>
          <w:p>
            <w:pPr>
              <w:pStyle w:val="Compact"/>
              <w:jc w:val="left"/>
            </w:pPr>
            <w:r>
              <w:t xml:space="preserve">Fonctionnalité opérationnelle et facile à utiliser.</w:t>
            </w:r>
          </w:p>
        </w:tc>
      </w:tr>
      <w:tr>
        <w:tc>
          <w:p>
            <w:pPr>
              <w:pStyle w:val="Compact"/>
              <w:jc w:val="left"/>
            </w:pPr>
            <w:r>
              <w:t xml:space="preserve">4</w:t>
            </w:r>
          </w:p>
        </w:tc>
        <w:tc>
          <w:p>
            <w:pPr>
              <w:pStyle w:val="Compact"/>
              <w:jc w:val="left"/>
            </w:pPr>
            <w:r>
              <w:t xml:space="preserve">Intégrer un espace documentaire sécurisé dans le portail AAP</w:t>
            </w:r>
          </w:p>
        </w:tc>
        <w:tc>
          <w:p>
            <w:pPr>
              <w:pStyle w:val="Compact"/>
              <w:jc w:val="left"/>
            </w:pPr>
            <w:r>
              <w:t xml:space="preserve">Développer et implémenter l’espace documentaire sécurisé. Définir les règles d’accès et de sécurité.</w:t>
            </w:r>
          </w:p>
        </w:tc>
        <w:tc>
          <w:p>
            <w:pPr>
              <w:pStyle w:val="Compact"/>
              <w:jc w:val="left"/>
            </w:pPr>
            <w:r>
              <w:t xml:space="preserve">Équipe technique</w:t>
            </w:r>
          </w:p>
        </w:tc>
        <w:tc>
          <w:p>
            <w:pPr>
              <w:pStyle w:val="Compact"/>
              <w:jc w:val="left"/>
            </w:pPr>
            <w:r>
              <w:t xml:space="preserve">À définir</w:t>
            </w:r>
          </w:p>
        </w:tc>
        <w:tc>
          <w:p>
            <w:pPr>
              <w:pStyle w:val="Compact"/>
              <w:jc w:val="left"/>
            </w:pPr>
            <w:r>
              <w:t xml:space="preserve">Espace sécurisé et accessible aux utilisateurs autorisés.</w:t>
            </w:r>
          </w:p>
        </w:tc>
      </w:tr>
      <w:tr>
        <w:tc>
          <w:p>
            <w:pPr>
              <w:pStyle w:val="Compact"/>
              <w:jc w:val="left"/>
            </w:pPr>
            <w:r>
              <w:t xml:space="preserve">5</w:t>
            </w:r>
          </w:p>
        </w:tc>
        <w:tc>
          <w:p>
            <w:pPr>
              <w:pStyle w:val="Compact"/>
              <w:jc w:val="left"/>
            </w:pPr>
            <w:r>
              <w:t xml:space="preserve">Étudier l’import massif de données candidats</w:t>
            </w:r>
          </w:p>
        </w:tc>
        <w:tc>
          <w:p>
            <w:pPr>
              <w:pStyle w:val="Compact"/>
              <w:jc w:val="left"/>
            </w:pPr>
            <w:r>
              <w:t xml:space="preserve">Analyser les différentes options d’import (DSN, Excel, API). Définir les spécifications techniques.</w:t>
            </w:r>
          </w:p>
        </w:tc>
        <w:tc>
          <w:p>
            <w:pPr>
              <w:pStyle w:val="Compact"/>
              <w:jc w:val="left"/>
            </w:pPr>
            <w:r>
              <w:t xml:space="preserve">Équipe technique</w:t>
            </w:r>
          </w:p>
        </w:tc>
        <w:tc>
          <w:p>
            <w:pPr>
              <w:pStyle w:val="Compact"/>
              <w:jc w:val="left"/>
            </w:pPr>
            <w:r>
              <w:t xml:space="preserve">À définir</w:t>
            </w:r>
          </w:p>
        </w:tc>
        <w:tc>
          <w:p>
            <w:pPr>
              <w:pStyle w:val="Compact"/>
              <w:jc w:val="left"/>
            </w:pPr>
            <w:r>
              <w:t xml:space="preserve">Solution d’import efficace et sécurisée.</w:t>
            </w:r>
          </w:p>
        </w:tc>
      </w:tr>
      <w:tr>
        <w:tc>
          <w:p>
            <w:pPr>
              <w:pStyle w:val="Compact"/>
              <w:jc w:val="left"/>
            </w:pPr>
            <w:r>
              <w:t xml:space="preserve">6</w:t>
            </w:r>
          </w:p>
        </w:tc>
        <w:tc>
          <w:p>
            <w:pPr>
              <w:pStyle w:val="Compact"/>
              <w:jc w:val="left"/>
            </w:pPr>
            <w:r>
              <w:t xml:space="preserve">Notification automatique au certificateur</w:t>
            </w:r>
          </w:p>
        </w:tc>
        <w:tc>
          <w:p>
            <w:pPr>
              <w:pStyle w:val="Compact"/>
              <w:jc w:val="left"/>
            </w:pPr>
            <w:r>
              <w:t xml:space="preserve">Développer et implémenter la fonctionnalité de notification.</w:t>
            </w:r>
          </w:p>
        </w:tc>
        <w:tc>
          <w:p>
            <w:pPr>
              <w:pStyle w:val="Compact"/>
              <w:jc w:val="left"/>
            </w:pPr>
            <w:r>
              <w:t xml:space="preserve">Équipe technique</w:t>
            </w:r>
          </w:p>
        </w:tc>
        <w:tc>
          <w:p>
            <w:pPr>
              <w:pStyle w:val="Compact"/>
              <w:jc w:val="left"/>
            </w:pPr>
            <w:r>
              <w:t xml:space="preserve">À définir</w:t>
            </w:r>
          </w:p>
        </w:tc>
        <w:tc>
          <w:p>
            <w:pPr>
              <w:pStyle w:val="Compact"/>
              <w:jc w:val="left"/>
            </w:pPr>
            <w:r>
              <w:t xml:space="preserve">Notification fiable et informative.</w:t>
            </w:r>
          </w:p>
        </w:tc>
      </w:tr>
    </w:tbl>
    <w:p>
      <w:pPr>
        <w:pStyle w:val="Corpsdetexte"/>
      </w:pPr>
      <w:r>
        <w:rPr>
          <w:b/>
        </w:rPr>
        <w:t xml:space="preserve">(Note : Les délais sont des estimations et devront être précisés lors des prochaines étapes.)</w:t>
      </w:r>
    </w:p>
    <w:sectPr w:rsidR="00BC570C" w:rsidRPr="00BC570C" w:rsidSect="00F4268F">
      <w:footerReference w:type="default" r:id="rId9"/>
      <w:pgSz w:w="11900" w:h="16820"/>
      <w:pgMar w:top="1417" w:right="1417" w:bottom="1417" w:left="1417" w:header="720" w:footer="720" w:gutter="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Corps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A2A15E" w14:textId="64787CE3" w:rsidR="00140283" w:rsidRDefault="00280CC3" w:rsidP="00140283">
    <w:pPr>
      <w:pStyle w:val="Pieddepage"/>
    </w:pPr>
    <w:r>
      <w:rPr>
        <w:noProof/>
      </w:rPr>
      <w:drawing>
        <wp:anchor distT="0" distB="0" distL="114300" distR="114300" simplePos="0" relativeHeight="251658240" behindDoc="1" locked="0" layoutInCell="1" allowOverlap="1" wp14:anchorId="1E465BFA" wp14:editId="41291734">
          <wp:simplePos x="0" y="0"/>
          <wp:positionH relativeFrom="column">
            <wp:posOffset>-3810</wp:posOffset>
          </wp:positionH>
          <wp:positionV relativeFrom="paragraph">
            <wp:posOffset>-3810</wp:posOffset>
          </wp:positionV>
          <wp:extent cx="262551" cy="184500"/>
          <wp:effectExtent l="0" t="0" r="0" b="0"/>
          <wp:wrapTight wrapText="bothSides">
            <wp:wrapPolygon edited="0">
              <wp:start x="0" y="0"/>
              <wp:lineTo x="0" y="20855"/>
              <wp:lineTo x="20920" y="20855"/>
              <wp:lineTo x="20920" y="0"/>
              <wp:lineTo x="0" y="0"/>
            </wp:wrapPolygon>
          </wp:wrapTight>
          <wp:docPr id="1115764392"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64392" name="Graphique 1115764392"/>
                  <pic:cNvPicPr/>
                </pic:nvPicPr>
                <pic:blipFill rotWithShape="1">
                  <a:blip r:embed="rId1">
                    <a:extLst>
                      <a:ext uri="{96DAC541-7B7A-43D3-8B79-37D633B846F1}">
                        <asvg:svgBlip xmlns:asvg="http://schemas.microsoft.com/office/drawing/2016/SVG/main" r:embed="rId2"/>
                      </a:ext>
                    </a:extLst>
                  </a:blip>
                  <a:srcRect l="15948" t="20316" b="20619"/>
                  <a:stretch/>
                </pic:blipFill>
                <pic:spPr bwMode="auto">
                  <a:xfrm flipV="1">
                    <a:off x="0" y="0"/>
                    <a:ext cx="262551" cy="184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         </w:t>
    </w:r>
    <w:r w:rsidR="00140283">
      <w:t>Dicte.ai</w:t>
    </w:r>
    <w:r w:rsidR="00741798">
      <w:t xml:space="preserve"> – the AI Meeting Assistant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A454B4C"/>
    <w:multiLevelType w:val="multilevel"/>
    <w:tmpl w:val="12C09CD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170CD2DE"/>
    <w:multiLevelType w:val="multilevel"/>
    <w:tmpl w:val="2F2AE84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2C1AE401"/>
    <w:multiLevelType w:val="multilevel"/>
    <w:tmpl w:val="87CC42D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71315DCA"/>
    <w:multiLevelType w:val="multilevel"/>
    <w:tmpl w:val="D226BC0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1734697609">
    <w:abstractNumId w:val="2"/>
  </w:num>
  <w:num w:numId="2" w16cid:durableId="841700490">
    <w:abstractNumId w:val="2"/>
  </w:num>
  <w:num w:numId="3" w16cid:durableId="17844229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40472340">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0427"/>
    <w:pPr>
      <w:spacing w:line="360" w:lineRule="exact"/>
    </w:pPr>
    <w:rPr>
      <w:rFonts w:eastAsiaTheme="minorEastAsia"/>
    </w:rPr>
  </w:style>
  <w:style w:type="paragraph" w:styleId="Titre1">
    <w:name w:val="heading 1"/>
    <w:basedOn w:val="Normal"/>
    <w:next w:val="Corpsdetexte"/>
    <w:uiPriority w:val="9"/>
    <w:qFormat/>
    <w:rsid w:val="00933B3A"/>
    <w:pPr>
      <w:keepNext/>
      <w:keepLines/>
      <w:spacing w:before="720" w:after="480" w:line="240" w:lineRule="auto"/>
      <w:outlineLvl w:val="0"/>
    </w:pPr>
    <w:rPr>
      <w:rFonts w:ascii="Calibri Light" w:eastAsiaTheme="majorEastAsia" w:hAnsi="Calibri Light" w:cstheme="majorBidi"/>
      <w:bCs/>
      <w:color w:val="262626" w:themeColor="text1" w:themeTint="D9"/>
      <w:sz w:val="56"/>
      <w:szCs w:val="32"/>
    </w:rPr>
  </w:style>
  <w:style w:type="paragraph" w:styleId="Titre2">
    <w:name w:val="heading 2"/>
    <w:basedOn w:val="Normal"/>
    <w:next w:val="Corpsdetexte"/>
    <w:uiPriority w:val="9"/>
    <w:unhideWhenUsed/>
    <w:qFormat/>
    <w:rsid w:val="00933B3A"/>
    <w:pPr>
      <w:keepNext/>
      <w:keepLines/>
      <w:spacing w:before="400" w:line="240" w:lineRule="auto"/>
      <w:outlineLvl w:val="1"/>
    </w:pPr>
    <w:rPr>
      <w:rFonts w:ascii="Calibri" w:eastAsiaTheme="majorEastAsia" w:hAnsi="Calibri" w:cstheme="majorBidi"/>
      <w:bCs/>
      <w:color w:val="262626" w:themeColor="text1" w:themeTint="D9"/>
      <w:sz w:val="40"/>
      <w:szCs w:val="32"/>
    </w:rPr>
  </w:style>
  <w:style w:type="paragraph" w:styleId="Titre3">
    <w:name w:val="heading 3"/>
    <w:basedOn w:val="Normal"/>
    <w:next w:val="Corpsdetexte"/>
    <w:uiPriority w:val="9"/>
    <w:unhideWhenUsed/>
    <w:qFormat/>
    <w:rsid w:val="00933B3A"/>
    <w:pPr>
      <w:keepNext/>
      <w:keepLines/>
      <w:spacing w:before="320" w:after="160" w:line="240" w:lineRule="auto"/>
      <w:outlineLvl w:val="2"/>
    </w:pPr>
    <w:rPr>
      <w:rFonts w:ascii="Calibri" w:eastAsiaTheme="majorEastAsia" w:hAnsi="Calibri" w:cstheme="majorBidi"/>
      <w:bCs/>
      <w:color w:val="262626" w:themeColor="text1" w:themeTint="D9"/>
      <w:sz w:val="32"/>
      <w:szCs w:val="28"/>
    </w:rPr>
  </w:style>
  <w:style w:type="paragraph" w:styleId="Titre4">
    <w:name w:val="heading 4"/>
    <w:basedOn w:val="Normal"/>
    <w:next w:val="Corpsdetexte"/>
    <w:uiPriority w:val="9"/>
    <w:unhideWhenUsed/>
    <w:qFormat/>
    <w:rsid w:val="00933B3A"/>
    <w:pPr>
      <w:keepNext/>
      <w:keepLines/>
      <w:spacing w:before="200" w:after="0" w:line="240" w:lineRule="auto"/>
      <w:outlineLvl w:val="3"/>
    </w:pPr>
    <w:rPr>
      <w:rFonts w:ascii="Calibri" w:eastAsiaTheme="majorEastAsia" w:hAnsi="Calibri" w:cstheme="majorBidi"/>
      <w:b/>
      <w:bCs/>
      <w:color w:val="262626" w:themeColor="text1" w:themeTint="D9"/>
      <w:sz w:val="28"/>
    </w:rPr>
  </w:style>
  <w:style w:type="paragraph" w:styleId="Titre5">
    <w:name w:val="heading 5"/>
    <w:basedOn w:val="Normal"/>
    <w:next w:val="Corpsdetexte"/>
    <w:uiPriority w:val="9"/>
    <w:unhideWhenUsed/>
    <w:qFormat/>
    <w:rsid w:val="00B769BB"/>
    <w:pPr>
      <w:keepNext/>
      <w:keepLines/>
      <w:spacing w:before="200" w:after="0"/>
      <w:outlineLvl w:val="4"/>
    </w:pPr>
    <w:rPr>
      <w:rFonts w:asciiTheme="majorHAnsi" w:eastAsiaTheme="majorEastAsia" w:hAnsiTheme="majorHAnsi" w:cstheme="majorBidi"/>
      <w:b/>
      <w:i/>
      <w:iCs/>
      <w:color w:val="262626" w:themeColor="text1" w:themeTint="D9"/>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C57BCD"/>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rsid w:val="00C57BCD"/>
    <w:pPr>
      <w:spacing w:before="156" w:after="15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pPr>
    <w:rPr>
      <w:rFonts w:asciiTheme="majorHAnsi" w:eastAsiaTheme="majorEastAsia" w:hAnsiTheme="majorHAnsi" w:cstheme="majorBidi"/>
      <w:bCs/>
      <w:sz w:val="20"/>
      <w:szCs w:val="20"/>
    </w:r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rsid w:val="005D34DA"/>
    <w:pPr>
      <w:keepNext/>
    </w:pPr>
    <w:rPr>
      <w:i w:val="0"/>
    </w:r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rsid w:val="00B769BB"/>
    <w:rPr>
      <w:color w:val="4F45E6"/>
    </w:rPr>
  </w:style>
  <w:style w:type="paragraph" w:styleId="En-ttedetabledesmatires">
    <w:name w:val="TOC Heading"/>
    <w:basedOn w:val="Titre1"/>
    <w:next w:val="Corpsdetexte"/>
    <w:uiPriority w:val="39"/>
    <w:unhideWhenUsed/>
    <w:qFormat/>
    <w:pPr>
      <w:spacing w:before="240" w:line="259" w:lineRule="auto"/>
      <w:outlineLvl w:val="9"/>
    </w:pPr>
    <w:rPr>
      <w:rFonts w:asciiTheme="majorHAnsi" w:hAnsiTheme="majorHAnsi"/>
      <w:b/>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tte">
    <w:name w:val="header"/>
    <w:basedOn w:val="Normal"/>
    <w:link w:val="En-tteCar"/>
    <w:rsid w:val="004459DD"/>
    <w:pPr>
      <w:tabs>
        <w:tab w:val="center" w:pos="4536"/>
        <w:tab w:val="right" w:pos="9072"/>
      </w:tabs>
      <w:spacing w:after="0"/>
    </w:pPr>
    <w:rPr>
      <w:color w:val="7F7F7F" w:themeColor="text1" w:themeTint="80"/>
    </w:rPr>
  </w:style>
  <w:style w:type="character" w:customStyle="1" w:styleId="En-tteCar">
    <w:name w:val="En-tête Car"/>
    <w:basedOn w:val="Policepardfaut"/>
    <w:link w:val="En-tte"/>
    <w:rsid w:val="004459DD"/>
    <w:rPr>
      <w:rFonts w:eastAsiaTheme="minorEastAsia"/>
      <w:color w:val="7F7F7F" w:themeColor="text1" w:themeTint="80"/>
    </w:rPr>
  </w:style>
  <w:style w:type="paragraph" w:styleId="Pieddepage">
    <w:name w:val="footer"/>
    <w:basedOn w:val="Normal"/>
    <w:link w:val="PieddepageCar"/>
    <w:rsid w:val="00165B03"/>
    <w:pPr>
      <w:tabs>
        <w:tab w:val="center" w:pos="4536"/>
        <w:tab w:val="right" w:pos="9072"/>
      </w:tabs>
      <w:spacing w:after="0" w:line="240" w:lineRule="auto"/>
    </w:pPr>
  </w:style>
  <w:style w:type="character" w:customStyle="1" w:styleId="PieddepageCar">
    <w:name w:val="Pied de page Car"/>
    <w:basedOn w:val="Policepardfaut"/>
    <w:link w:val="Pieddepage"/>
    <w:rsid w:val="00165B03"/>
    <w:rPr>
      <w:rFonts w:eastAsiaTheme="minorEastAsia"/>
    </w:rPr>
  </w:style>
  <w:style w:type="character" w:styleId="Lienhypertextesuivivisit">
    <w:name w:val="FollowedHyperlink"/>
    <w:basedOn w:val="Policepardfaut"/>
    <w:rsid w:val="00B769BB"/>
    <w:rPr>
      <w:color w:val="4F45E6"/>
      <w:u w:val="single"/>
    </w:rPr>
  </w:style>
  <w:style w:type="character" w:styleId="Marquedecommentaire">
    <w:name w:val="annotation reference"/>
    <w:basedOn w:val="Policepardfaut"/>
    <w:rsid w:val="00C57BCD"/>
    <w:rPr>
      <w:sz w:val="16"/>
      <w:szCs w:val="16"/>
    </w:rPr>
  </w:style>
  <w:style w:type="table" w:styleId="Tableausimple2">
    <w:name w:val="Plain Table 2"/>
    <w:basedOn w:val="TableauNormal"/>
    <w:rsid w:val="005D34DA"/>
    <w:pPr>
      <w:spacing w:after="0" w:line="160" w:lineRule="exact"/>
    </w:pPr>
    <w:rPr>
      <w:rFonts w:cs="Times New Roman (Corps CS)"/>
      <w:color w:val="595959" w:themeColor="text1" w:themeTint="A6"/>
      <w:sz w:val="20"/>
    </w:rPr>
    <w:tblPr>
      <w:tblStyleRowBandSize w:val="1"/>
      <w:tblStyleColBandSize w:val="1"/>
      <w:tblBorders>
        <w:top w:val="single" w:sz="4" w:space="0" w:color="7F7F7F" w:themeColor="text1" w:themeTint="80"/>
        <w:bottom w:val="single" w:sz="4" w:space="0" w:color="7F7F7F" w:themeColor="text1" w:themeTint="80"/>
      </w:tblBorders>
    </w:tblPr>
    <w:tcPr>
      <w:shd w:val="clear" w:color="auto" w:fill="auto"/>
      <w:vAlign w:val="center"/>
    </w:tcPr>
    <w:tblStylePr w:type="firstRow">
      <w:pPr>
        <w:wordWrap/>
        <w:spacing w:afterLines="50" w:after="50" w:afterAutospacing="0" w:line="240" w:lineRule="auto"/>
        <w:ind w:rightChars="0"/>
        <w:jc w:val="left"/>
      </w:pPr>
      <w:rPr>
        <w:rFonts w:asciiTheme="minorHAnsi" w:hAnsiTheme="minorHAnsi"/>
        <w:b/>
        <w:bCs/>
        <w:color w:val="000000" w:themeColor="text1"/>
        <w:sz w:val="20"/>
      </w:rPr>
      <w:tblPr/>
      <w:tcPr>
        <w:shd w:val="clear" w:color="auto" w:fill="F2F2F2" w:themeFill="background1" w:themeFillShade="F2"/>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pPr>
        <w:wordWrap/>
        <w:spacing w:line="240" w:lineRule="auto"/>
      </w:pPr>
      <w:rPr>
        <w:i w:val="0"/>
        <w:sz w:val="20"/>
      </w:rPr>
      <w:tblPr/>
      <w:tcPr>
        <w:tcBorders>
          <w:top w:val="single" w:sz="4" w:space="0" w:color="7F7F7F" w:themeColor="text1" w:themeTint="80"/>
          <w:bottom w:val="single" w:sz="4" w:space="0" w:color="7F7F7F" w:themeColor="text1" w:themeTint="80"/>
        </w:tcBorders>
      </w:tcPr>
    </w:tblStylePr>
    <w:tblStylePr w:type="band2Horz">
      <w:rPr>
        <w:sz w:val="20"/>
      </w:rPr>
    </w:tblStylePr>
  </w:style>
  <w:style w:type="table" w:styleId="Grilledutableau">
    <w:name w:val="Table Grid"/>
    <w:basedOn w:val="TableauNormal"/>
    <w:rsid w:val="005D34D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desillustrations">
    <w:name w:val="table of figures"/>
    <w:basedOn w:val="Normal"/>
    <w:next w:val="Normal"/>
    <w:rsid w:val="005D34DA"/>
    <w:pPr>
      <w:spacing w:after="0"/>
    </w:pPr>
  </w:style>
  <w:style w:type="paragraph" w:styleId="Textebrut">
    <w:name w:val="Plain Text"/>
    <w:basedOn w:val="Normal"/>
    <w:link w:val="TextebrutCar"/>
    <w:rsid w:val="005D34DA"/>
    <w:pPr>
      <w:spacing w:after="0" w:line="240" w:lineRule="auto"/>
    </w:pPr>
    <w:rPr>
      <w:rFonts w:ascii="Consolas" w:hAnsi="Consolas" w:cs="Consolas"/>
      <w:sz w:val="21"/>
      <w:szCs w:val="21"/>
    </w:rPr>
  </w:style>
  <w:style w:type="character" w:customStyle="1" w:styleId="TextebrutCar">
    <w:name w:val="Texte brut Car"/>
    <w:basedOn w:val="Policepardfaut"/>
    <w:link w:val="Textebrut"/>
    <w:rsid w:val="005D34DA"/>
    <w:rPr>
      <w:rFonts w:ascii="Consolas" w:eastAsiaTheme="minorEastAsia" w:hAnsi="Consolas" w:cs="Consolas"/>
      <w:sz w:val="21"/>
      <w:szCs w:val="21"/>
    </w:rPr>
  </w:style>
  <w:style w:type="paragraph" w:styleId="Tabledesrfrencesjuridiques">
    <w:name w:val="table of authorities"/>
    <w:basedOn w:val="Normal"/>
    <w:next w:val="Normal"/>
    <w:rsid w:val="005D34DA"/>
    <w:pPr>
      <w:spacing w:after="0"/>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1.xml" /></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66</Words>
  <Characters>395</Characters>
  <Application>Microsoft Office Word</Application>
  <DocSecurity>0</DocSecurity>
  <Lines>197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2025-04-15T15:27:56Z</dcterms:created>
  <dcterms:modified xsi:type="dcterms:W3CDTF">2025-04-15T15:27:56Z</dcterms:modified>
</cp:coreProperties>
</file>

<file path=docProps/custom.xml><?xml version="1.0" encoding="utf-8"?>
<Properties xmlns="http://schemas.openxmlformats.org/officeDocument/2006/custom-properties" xmlns:vt="http://schemas.openxmlformats.org/officeDocument/2006/docPropsVTypes"/>
</file>