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Scaling Digital Education: Crafting the SQOOL Ecosystem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From Single Product to Modular Suite: Defining a Future-Proof Experience for UNOWHY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SQOOL is a comprehensive digital education solution, designed to provide seamless learning and management tools for students, teachers, and administrators across France. Our mandate was to evolve the initial product into a scalable, cohesive ecosystem capable of supporting millions of users and future app expansion.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Project Metadata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Challenge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Design Leadership</w:t>
            </w:r>
            <w:r w:rsidDel="00000000" w:rsidR="00000000" w:rsidRPr="00000000">
              <w:rPr>
                <w:rtl w:val="0"/>
              </w:rPr>
              <w:t xml:space="preserve"> (Strategy, UX/UI, System, Brand Identity)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2019 – 2024 (5 Years)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Evolving a pilot platform (Hi-SQOOL) into a mature, modular suite of professional and educational applications.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Establish a unified design language, build a robust Figma Design System from scratch, and formalize product design rituals to support accelerated development and a growing product portfolio.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Successful launch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SQOOL Apps Suite</w:t>
            </w:r>
            <w:r w:rsidDel="00000000" w:rsidR="00000000" w:rsidRPr="00000000">
              <w:rPr>
                <w:rtl w:val="0"/>
              </w:rPr>
              <w:t xml:space="preserve"> (Classe, Partage, MDM, Protect), full brand identity finalization, implementation of Cloud PC UX, and adoption of scalable design-ops rituals.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30-Second Summary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SQOOL faced a critical challenge: their initial platform, Hi-SQOOL, was not built for the complexity of a national digital education deployment. Over five years, we partnered with UNOWHY to lead the transformation, transitioning the product from a monolithic structure to a cohesive, modular app suite. This involved an end-to-end design effort: defining a new visual identity, leading deep UX research (e.g., the 'Connect' prototype), building the centralized Figma Design System, and instilling product design governance. The result is a robust, user-centric ecosystem (including core apps like SQOOL Classe and SQOOL Protect) that is now scalable for the next generation of digital learning.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The Case Study: Building a Cohesive Digital Campus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Discovery &amp; Defining the North Star (2019-2020)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project began with Hi-SQOOL, focused on fundamental elements like authentication and file management for high school students. We quickly identified the need for better real-time interaction flows, which became the focus of our initial research phase.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 Required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 &amp; Intent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1: Static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Product Teardown.</w:t>
            </w:r>
            <w:r w:rsidDel="00000000" w:rsidR="00000000" w:rsidRPr="00000000">
              <w:rPr>
                <w:rtl w:val="0"/>
              </w:rPr>
              <w:t xml:space="preserve"> A premium mockup (high-res tablet or laptop) showing the original Hi-SQOOL interface, highlighting friction points (e.g., poor information density, lack of visual hierarchy). Use a light, subtle grey gradient background.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initiated a design sprint focused on "Connect," a solution for real-time distribution and device management. This led us to explore foundational concepts for a new design language, establishing core color principles and early dashboard layouts for teachers.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 Required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 &amp; Intent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2: Animated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"Connect" Flow Animation.</w:t>
            </w:r>
            <w:r w:rsidDel="00000000" w:rsidR="00000000" w:rsidRPr="00000000">
              <w:rPr>
                <w:rtl w:val="0"/>
              </w:rPr>
              <w:t xml:space="preserve"> A short GIF or video showing the smooth, real-time teacher-to-student distribution flow (e.g., a teacher sending a document and the student's tablet receiving it instantly). Focus on speed and clarity of confirmation state.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Conceptualization &amp; Brand Alignment (2021)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 technical proof points validated, the focus shifted to the overall user experience and brand coherence. This required establishing a persistent, guiding interface layer.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"La Bulle"</w:t>
      </w:r>
      <w:r w:rsidDel="00000000" w:rsidR="00000000" w:rsidRPr="00000000">
        <w:rPr>
          <w:rtl w:val="0"/>
        </w:rPr>
        <w:t xml:space="preserve"> concept emerged—a persistent animated launcher designed to anchor the entire ecosystem and simplify navigation between services, moving away from a traditional desktop metaphor.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 Required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 &amp; Intent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3: Animated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"La Bulle" UI Exploration.</w:t>
            </w:r>
            <w:r w:rsidDel="00000000" w:rsidR="00000000" w:rsidRPr="00000000">
              <w:rPr>
                <w:rtl w:val="0"/>
              </w:rPr>
              <w:t xml:space="preserve"> An animation of the persistent launcher, showing its subtle idle state, activation, and the smooth transition/expansion into the main app dashboard. This should feel playful and highly polished.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Simultaneously, we drove the </w:t>
      </w:r>
      <w:r w:rsidDel="00000000" w:rsidR="00000000" w:rsidRPr="00000000">
        <w:rPr>
          <w:b w:val="1"/>
          <w:bCs w:val="1"/>
          <w:rtl w:val="0"/>
        </w:rPr>
        <w:t xml:space="preserve">Brand System Concept Phase</w:t>
      </w:r>
      <w:r w:rsidDel="00000000" w:rsidR="00000000" w:rsidRPr="00000000">
        <w:rPr>
          <w:rtl w:val="0"/>
        </w:rPr>
        <w:t xml:space="preserve">, defining logo proposals, color palettes, and grid rules. This effort ensured that the new design language was directly connected to the UNOWHY brand values before major development began.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The Shift to Modular Scalability (2022)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pivotal strategic decision was made: the monolithic product was broken down into the </w:t>
      </w:r>
      <w:r w:rsidDel="00000000" w:rsidR="00000000" w:rsidRPr="00000000">
        <w:rPr>
          <w:b w:val="1"/>
          <w:bCs w:val="1"/>
          <w:rtl w:val="0"/>
        </w:rPr>
        <w:t xml:space="preserve">SQOOL Apps Suite</w:t>
      </w:r>
      <w:r w:rsidDel="00000000" w:rsidR="00000000" w:rsidRPr="00000000">
        <w:rPr>
          <w:rtl w:val="0"/>
        </w:rPr>
        <w:t xml:space="preserve"> (Classe, Partage, MDM, Applications). This shift required immediate design scalability.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handle this complexity, we centralized all UI components, patterns, and guidelines: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Figma Design System:</w:t>
      </w:r>
      <w:r w:rsidDel="00000000" w:rsidR="00000000" w:rsidRPr="00000000">
        <w:rPr>
          <w:rtl w:val="0"/>
        </w:rPr>
        <w:t xml:space="preserve"> Created the first comprehensive design libraries (colors, typography, components) to ensure consistency across the five new applications launched.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Design-Ops Foundation:</w:t>
      </w:r>
      <w:r w:rsidDel="00000000" w:rsidR="00000000" w:rsidRPr="00000000">
        <w:rPr>
          <w:rtl w:val="0"/>
        </w:rPr>
        <w:t xml:space="preserve"> Initiated the Notion knowledge base to document usage, governance, and contribution guidelines for the design system.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 Required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 &amp; Intent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4: Static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System Showcase.</w:t>
            </w:r>
            <w:r w:rsidDel="00000000" w:rsidR="00000000" w:rsidRPr="00000000">
              <w:rPr>
                <w:rtl w:val="0"/>
              </w:rPr>
              <w:t xml:space="preserve"> A side-by-side view showing a core SQOOL app (e.g., Classe or Partage) alongside the corresponding Figma library component panel, illustrating the 1:1 relationship between design token/component and the final product UI.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Specialization, Governance, and Finalization (2023-2024)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final two years focused on specialized product delivery and cementing design quality across the organization.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New Specialized Apps:</w:t>
      </w:r>
      <w:r w:rsidDel="00000000" w:rsidR="00000000" w:rsidRPr="00000000">
        <w:rPr>
          <w:rtl w:val="0"/>
        </w:rPr>
        <w:t xml:space="preserve"> We expanded the ecosystem to cover critical areas like security and extended desktop solutions: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SQOOL Protect:</w:t>
      </w:r>
      <w:r w:rsidDel="00000000" w:rsidR="00000000" w:rsidRPr="00000000">
        <w:rPr>
          <w:rtl w:val="0"/>
        </w:rPr>
        <w:t xml:space="preserve"> Prototyped and shipped the mobile UX flows for device security and parental controls.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SQOOL Extend:</w:t>
      </w:r>
      <w:r w:rsidDel="00000000" w:rsidR="00000000" w:rsidRPr="00000000">
        <w:rPr>
          <w:rtl w:val="0"/>
        </w:rPr>
        <w:t xml:space="preserve"> Worked on the PRD and workshops for the complex Cloud PC UX flows with partners (Weytop).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 Required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 &amp; Intent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5: Static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SQOOL Protect Mobile Mockup.</w:t>
            </w:r>
            <w:r w:rsidDel="00000000" w:rsidR="00000000" w:rsidRPr="00000000">
              <w:rPr>
                <w:rtl w:val="0"/>
              </w:rPr>
              <w:t xml:space="preserve"> A beautiful, high-fidelity mockup of the SQOOL Protect interface on a premium smartphone, showcasing a key security feature (e.g., screen time limit dashboard). Use soft lighting and the grey gradient background.</w:t>
            </w:r>
          </w:p>
        </w:tc>
      </w:tr>
    </w:tbl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Design Governance:</w:t>
      </w:r>
      <w:r w:rsidDel="00000000" w:rsidR="00000000" w:rsidRPr="00000000">
        <w:rPr>
          <w:rtl w:val="0"/>
        </w:rPr>
        <w:t xml:space="preserve"> To maintain design integrity at scale, we formalized rituals: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Full brand identity system finalized (ensuring all new apps adhere to the same principles).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Product design rituals instituted: formal brief templates, weekly design syncs, and dedicated Design QA cycles, ensuring zero compromise on execution quality across 5+ applications.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Shipped the Cloud PC UX flows and continually maintained the visual and editorial system.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 Required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 &amp; Intent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6: Animated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Ecosystem Showcase / Montage.</w:t>
            </w:r>
            <w:r w:rsidDel="00000000" w:rsidR="00000000" w:rsidRPr="00000000">
              <w:rPr>
                <w:rtl w:val="0"/>
              </w:rPr>
              <w:t xml:space="preserve"> A fast-paced montage (GIF/Video) showcasing the final interface of SQOOL Classe, Partage, and Protect, demonstrating visual coherence, smooth navigation, and a consistent aesthetic across different device sizes (tablet, laptop, phone).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SQOOL ecosystem project was a long-term engagement that transcended simple interface design. It was a strategic undertaking to define the foundational architecture, brand expression, and operational rituals required for a high-growth, mission-critical product suite. By embedding design leadership and establishing a robust design system, we transformed UNOWHY's offering into a scalable, industry-leading platform that is now prepared for its continued deployment and evolution.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