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5B" w:rsidRDefault="00E56A5B">
      <w:pPr>
        <w:rPr>
          <w:position w:val="-10"/>
          <w:lang w:val="en-US"/>
        </w:rPr>
      </w:pPr>
      <w:r w:rsidRPr="00E56A5B">
        <w:rPr>
          <w:position w:val="-10"/>
          <w:lang w:val="en-US"/>
        </w:rPr>
        <w:t xml:space="preserve">The simulator assumes a normal distribution </w:t>
      </w:r>
      <w:r>
        <w:rPr>
          <w:position w:val="-10"/>
          <w:lang w:val="en-US"/>
        </w:rPr>
        <w:t>of the electric field, which for power results in a Rayleigh distribution. The Probability Density Function (PDF) of a Rayleigh distributed variable can be expressed as:</w:t>
      </w:r>
    </w:p>
    <w:p w:rsidR="00E56A5B" w:rsidRDefault="00E56A5B">
      <w:pPr>
        <w:rPr>
          <w:position w:val="-10"/>
          <w:lang w:val="en-US"/>
        </w:rPr>
      </w:pPr>
      <w:r w:rsidRPr="00E56A5B">
        <w:rPr>
          <w:position w:val="-22"/>
        </w:rPr>
        <w:object w:dxaOrig="22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pt;height:28.15pt" o:ole="">
            <v:imagedata r:id="rId5" o:title=""/>
          </v:shape>
          <o:OLEObject Type="Embed" ProgID="Equation.DSMT4" ShapeID="_x0000_i1025" DrawAspect="Content" ObjectID="_1448862884" r:id="rId6"/>
        </w:object>
      </w:r>
    </w:p>
    <w:p w:rsidR="00E56A5B" w:rsidRPr="00D457EF" w:rsidRDefault="00E56A5B">
      <w:pPr>
        <w:rPr>
          <w:lang w:val="en-US"/>
        </w:rPr>
      </w:pPr>
      <w:proofErr w:type="gramStart"/>
      <w:r>
        <w:rPr>
          <w:position w:val="-10"/>
          <w:lang w:val="en-US"/>
        </w:rPr>
        <w:t>where</w:t>
      </w:r>
      <w:proofErr w:type="gramEnd"/>
      <w:r>
        <w:rPr>
          <w:position w:val="-10"/>
          <w:lang w:val="en-US"/>
        </w:rPr>
        <w:t xml:space="preserve"> </w:t>
      </w:r>
      <w:r w:rsidRPr="006E64F3">
        <w:rPr>
          <w:position w:val="-6"/>
        </w:rPr>
        <w:object w:dxaOrig="520" w:dyaOrig="240">
          <v:shape id="_x0000_i1026" type="#_x0000_t75" style="width:26.3pt;height:11.9pt" o:ole="">
            <v:imagedata r:id="rId7" o:title=""/>
          </v:shape>
          <o:OLEObject Type="Embed" ProgID="Equation.DSMT4" ShapeID="_x0000_i1026" DrawAspect="Content" ObjectID="_1448862885" r:id="rId8"/>
        </w:object>
      </w:r>
      <w:r w:rsidRPr="00E56A5B">
        <w:rPr>
          <w:lang w:val="en-US"/>
        </w:rPr>
        <w:t xml:space="preserve"> is the scale parameter of the distribution</w:t>
      </w:r>
      <w:r w:rsidR="00685B89">
        <w:rPr>
          <w:lang w:val="en-US"/>
        </w:rPr>
        <w:t xml:space="preserve">. Small scale fading is modeled </w:t>
      </w:r>
      <w:proofErr w:type="gramStart"/>
      <w:r w:rsidR="00685B89">
        <w:rPr>
          <w:lang w:val="en-US"/>
        </w:rPr>
        <w:t xml:space="preserve">with </w:t>
      </w:r>
      <w:proofErr w:type="gramEnd"/>
      <w:r w:rsidR="00685B89" w:rsidRPr="006E64F3">
        <w:rPr>
          <w:position w:val="-6"/>
        </w:rPr>
        <w:object w:dxaOrig="220" w:dyaOrig="200">
          <v:shape id="_x0000_i1054" type="#_x0000_t75" style="width:11.25pt;height:10pt" o:ole="">
            <v:imagedata r:id="rId9" o:title=""/>
          </v:shape>
          <o:OLEObject Type="Embed" ProgID="Equation.DSMT4" ShapeID="_x0000_i1054" DrawAspect="Content" ObjectID="_1448862886" r:id="rId10"/>
        </w:object>
      </w:r>
      <w:r w:rsidRPr="00E56A5B">
        <w:rPr>
          <w:lang w:val="en-US"/>
        </w:rPr>
        <w:t xml:space="preserve">. </w:t>
      </w:r>
      <w:r>
        <w:rPr>
          <w:lang w:val="en-US"/>
        </w:rPr>
        <w:t>The PDF of a Rayleigh distribute</w:t>
      </w:r>
      <w:r w:rsidR="00856E1B">
        <w:rPr>
          <w:lang w:val="en-US"/>
        </w:rPr>
        <w:t>d</w:t>
      </w:r>
      <w:r>
        <w:rPr>
          <w:lang w:val="en-US"/>
        </w:rPr>
        <w:t xml:space="preserve"> variable with scale param</w:t>
      </w:r>
      <w:r w:rsidR="00D457EF">
        <w:rPr>
          <w:lang w:val="en-US"/>
        </w:rPr>
        <w:t>eter 1.</w:t>
      </w:r>
      <w:r w:rsidR="0011592C">
        <w:rPr>
          <w:lang w:val="en-US"/>
        </w:rPr>
        <w:t>0</w:t>
      </w:r>
      <w:r w:rsidR="00D457EF">
        <w:rPr>
          <w:lang w:val="en-US"/>
        </w:rPr>
        <w:t xml:space="preserve"> is shown in figure XX</w:t>
      </w:r>
      <w:r>
        <w:rPr>
          <w:lang w:val="en-US"/>
        </w:rPr>
        <w:t xml:space="preserve">. </w:t>
      </w:r>
      <w:r w:rsidR="00D457EF">
        <w:rPr>
          <w:lang w:val="en-US"/>
        </w:rPr>
        <w:t xml:space="preserve">Small </w:t>
      </w:r>
      <w:r w:rsidR="00D457EF" w:rsidRPr="006E64F3">
        <w:rPr>
          <w:position w:val="-6"/>
        </w:rPr>
        <w:object w:dxaOrig="220" w:dyaOrig="200">
          <v:shape id="_x0000_i1028" type="#_x0000_t75" style="width:11.25pt;height:10pt" o:ole="">
            <v:imagedata r:id="rId11" o:title=""/>
          </v:shape>
          <o:OLEObject Type="Embed" ProgID="Equation.DSMT4" ShapeID="_x0000_i1028" DrawAspect="Content" ObjectID="_1448862887" r:id="rId12"/>
        </w:object>
      </w:r>
      <w:r w:rsidR="00D457EF" w:rsidRPr="00D457EF">
        <w:rPr>
          <w:lang w:val="en-US"/>
        </w:rPr>
        <w:t xml:space="preserve">represents rural areas with few lossy objects and large </w:t>
      </w:r>
      <w:r w:rsidR="00D457EF" w:rsidRPr="006E64F3">
        <w:rPr>
          <w:position w:val="-6"/>
        </w:rPr>
        <w:object w:dxaOrig="220" w:dyaOrig="200">
          <v:shape id="_x0000_i1029" type="#_x0000_t75" style="width:11.25pt;height:10pt" o:ole="">
            <v:imagedata r:id="rId11" o:title=""/>
          </v:shape>
          <o:OLEObject Type="Embed" ProgID="Equation.DSMT4" ShapeID="_x0000_i1029" DrawAspect="Content" ObjectID="_1448862888" r:id="rId13"/>
        </w:object>
      </w:r>
      <w:r w:rsidR="00D457EF" w:rsidRPr="00D457EF">
        <w:rPr>
          <w:lang w:val="en-US"/>
        </w:rPr>
        <w:t>urban scenarios.</w:t>
      </w:r>
    </w:p>
    <w:p w:rsidR="00D457EF" w:rsidRDefault="0011592C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376800" cy="25308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5B" w:rsidRDefault="00856E1B">
      <w:pPr>
        <w:rPr>
          <w:lang w:val="en-US"/>
        </w:rPr>
      </w:pPr>
      <w:r>
        <w:rPr>
          <w:lang w:val="en-US"/>
        </w:rPr>
        <w:t>F</w:t>
      </w:r>
      <w:r w:rsidR="00E56A5B">
        <w:rPr>
          <w:lang w:val="en-US"/>
        </w:rPr>
        <w:t>igure XX.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PDF.</w:t>
      </w:r>
      <w:proofErr w:type="gramEnd"/>
    </w:p>
    <w:p w:rsidR="00856E1B" w:rsidRDefault="00856E1B">
      <w:pPr>
        <w:rPr>
          <w:lang w:val="en-US"/>
        </w:rPr>
      </w:pPr>
      <w:r>
        <w:rPr>
          <w:lang w:val="en-US"/>
        </w:rPr>
        <w:t>The CDF of a Rayleigh distributed variable can be expressed as:</w:t>
      </w:r>
    </w:p>
    <w:p w:rsidR="00856E1B" w:rsidRDefault="00856E1B">
      <w:pPr>
        <w:rPr>
          <w:lang w:val="en-US"/>
        </w:rPr>
      </w:pPr>
      <w:r w:rsidRPr="00856E1B">
        <w:rPr>
          <w:position w:val="-12"/>
        </w:rPr>
        <w:object w:dxaOrig="1500" w:dyaOrig="380">
          <v:shape id="_x0000_i1038" type="#_x0000_t75" style="width:75.15pt;height:19.4pt" o:ole="">
            <v:imagedata r:id="rId15" o:title=""/>
          </v:shape>
          <o:OLEObject Type="Embed" ProgID="Equation.DSMT4" ShapeID="_x0000_i1038" DrawAspect="Content" ObjectID="_1448862889" r:id="rId16"/>
        </w:object>
      </w:r>
    </w:p>
    <w:p w:rsidR="00856E1B" w:rsidRDefault="00856E1B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CDF  is</w:t>
      </w:r>
      <w:proofErr w:type="gramEnd"/>
      <w:r>
        <w:rPr>
          <w:lang w:val="en-US"/>
        </w:rPr>
        <w:t xml:space="preserve"> shown in figure XX with scale parameter 1.</w:t>
      </w:r>
      <w:r w:rsidR="0011592C">
        <w:rPr>
          <w:lang w:val="en-US"/>
        </w:rPr>
        <w:t>0</w:t>
      </w:r>
      <w:r>
        <w:rPr>
          <w:lang w:val="en-US"/>
        </w:rPr>
        <w:t>.</w:t>
      </w:r>
    </w:p>
    <w:p w:rsidR="00344BEB" w:rsidRDefault="00856E1B">
      <w:pPr>
        <w:rPr>
          <w:position w:val="-10"/>
          <w:lang w:val="en-US"/>
        </w:rPr>
      </w:pPr>
      <w:r w:rsidRPr="00856E1B">
        <w:rPr>
          <w:position w:val="-10"/>
          <w:lang w:val="en-US"/>
        </w:rPr>
        <w:t xml:space="preserve"> </w:t>
      </w:r>
      <w:r w:rsidR="0011592C">
        <w:rPr>
          <w:noProof/>
          <w:position w:val="-10"/>
          <w:lang w:eastAsia="sv-SE"/>
        </w:rPr>
        <w:drawing>
          <wp:inline distT="0" distB="0" distL="0" distR="0">
            <wp:extent cx="3355200" cy="25164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EB" w:rsidRDefault="00344BEB" w:rsidP="00344BEB">
      <w:pPr>
        <w:rPr>
          <w:lang w:val="en-US"/>
        </w:rPr>
      </w:pPr>
      <w:r>
        <w:rPr>
          <w:lang w:val="en-US"/>
        </w:rPr>
        <w:t xml:space="preserve">Figure XX. </w:t>
      </w:r>
      <w:proofErr w:type="gramStart"/>
      <w:r>
        <w:rPr>
          <w:lang w:val="en-US"/>
        </w:rPr>
        <w:t>CDF.</w:t>
      </w:r>
      <w:proofErr w:type="gramEnd"/>
    </w:p>
    <w:p w:rsidR="00856E1B" w:rsidRDefault="00856E1B">
      <w:pPr>
        <w:rPr>
          <w:position w:val="-10"/>
          <w:lang w:val="en-US"/>
        </w:rPr>
      </w:pPr>
    </w:p>
    <w:p w:rsidR="00FA480A" w:rsidRPr="00856E1B" w:rsidRDefault="00856E1B">
      <w:pPr>
        <w:rPr>
          <w:lang w:val="en-US"/>
        </w:rPr>
      </w:pPr>
      <w:r>
        <w:rPr>
          <w:position w:val="-10"/>
          <w:lang w:val="en-US"/>
        </w:rPr>
        <w:t>If a measurement or other study results in a certain average PER</w:t>
      </w:r>
      <w:r w:rsidR="00685B89">
        <w:rPr>
          <w:position w:val="-10"/>
          <w:lang w:val="en-US"/>
        </w:rPr>
        <w:t xml:space="preserve"> </w:t>
      </w:r>
      <w:r w:rsidR="00685B89" w:rsidRPr="002414D1">
        <w:rPr>
          <w:position w:val="-10"/>
        </w:rPr>
        <w:object w:dxaOrig="220" w:dyaOrig="279">
          <v:shape id="_x0000_i1056" type="#_x0000_t75" style="width:11.25pt;height:13.75pt" o:ole="">
            <v:imagedata r:id="rId18" o:title=""/>
          </v:shape>
          <o:OLEObject Type="Embed" ProgID="Equation.DSMT4" ShapeID="_x0000_i1056" DrawAspect="Content" ObjectID="_1448862890" r:id="rId19"/>
        </w:object>
      </w:r>
    </w:p>
    <w:p w:rsidR="002414D1" w:rsidRPr="00856E1B" w:rsidRDefault="00856E1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</w:t>
      </w:r>
      <w:r w:rsidR="002414D1" w:rsidRPr="00856E1B">
        <w:rPr>
          <w:lang w:val="en-US"/>
        </w:rPr>
        <w:t>ayeilgh</w:t>
      </w:r>
      <w:proofErr w:type="spellEnd"/>
      <w:r w:rsidR="002414D1" w:rsidRPr="00856E1B">
        <w:rPr>
          <w:lang w:val="en-US"/>
        </w:rPr>
        <w:t xml:space="preserve"> CDF</w:t>
      </w:r>
      <w:r w:rsidR="00685B89">
        <w:rPr>
          <w:lang w:val="en-US"/>
        </w:rPr>
        <w:t xml:space="preserve"> becomes</w:t>
      </w:r>
      <w:r w:rsidR="002414D1" w:rsidRPr="00856E1B">
        <w:rPr>
          <w:lang w:val="en-US"/>
        </w:rPr>
        <w:t>:</w:t>
      </w:r>
    </w:p>
    <w:p w:rsidR="002414D1" w:rsidRPr="00856E1B" w:rsidRDefault="0011592C">
      <w:pPr>
        <w:rPr>
          <w:position w:val="-10"/>
          <w:lang w:val="en-US"/>
        </w:rPr>
      </w:pPr>
      <w:r w:rsidRPr="002414D1">
        <w:rPr>
          <w:position w:val="-10"/>
        </w:rPr>
        <w:object w:dxaOrig="1200" w:dyaOrig="360">
          <v:shape id="_x0000_i1058" type="#_x0000_t75" style="width:60.1pt;height:18.15pt" o:ole="">
            <v:imagedata r:id="rId20" o:title=""/>
          </v:shape>
          <o:OLEObject Type="Embed" ProgID="Equation.DSMT4" ShapeID="_x0000_i1058" DrawAspect="Content" ObjectID="_1448862891" r:id="rId21"/>
        </w:object>
      </w:r>
    </w:p>
    <w:p w:rsidR="002414D1" w:rsidRPr="00856E1B" w:rsidRDefault="002414D1">
      <w:pPr>
        <w:rPr>
          <w:lang w:val="en-US"/>
        </w:rPr>
      </w:pPr>
      <w:r w:rsidRPr="00856E1B">
        <w:rPr>
          <w:lang w:val="en-US"/>
        </w:rPr>
        <w:t>Rewrite:</w:t>
      </w:r>
    </w:p>
    <w:p w:rsidR="002414D1" w:rsidRPr="00856E1B" w:rsidRDefault="0011592C">
      <w:pPr>
        <w:rPr>
          <w:lang w:val="en-US"/>
        </w:rPr>
      </w:pPr>
      <w:r w:rsidRPr="002414D1">
        <w:rPr>
          <w:position w:val="-68"/>
        </w:rPr>
        <w:object w:dxaOrig="1740" w:dyaOrig="1460">
          <v:shape id="_x0000_i1062" type="#_x0000_t75" style="width:87.05pt;height:73.25pt" o:ole="">
            <v:imagedata r:id="rId22" o:title=""/>
          </v:shape>
          <o:OLEObject Type="Embed" ProgID="Equation.DSMT4" ShapeID="_x0000_i1062" DrawAspect="Content" ObjectID="_1448862892" r:id="rId23"/>
        </w:object>
      </w:r>
    </w:p>
    <w:p w:rsidR="00344BEB" w:rsidRDefault="0011592C">
      <w:pPr>
        <w:rPr>
          <w:lang w:val="en-US"/>
        </w:rPr>
      </w:pPr>
      <w:r>
        <w:rPr>
          <w:lang w:val="en-US"/>
        </w:rPr>
        <w:t>This gives us a threshold value for Rayleigh distribute variable:</w:t>
      </w:r>
    </w:p>
    <w:p w:rsidR="0011592C" w:rsidRDefault="0011592C">
      <w:pPr>
        <w:rPr>
          <w:lang w:val="en-US"/>
        </w:rPr>
      </w:pPr>
      <w:r w:rsidRPr="0011592C">
        <w:rPr>
          <w:position w:val="-6"/>
        </w:rPr>
        <w:object w:dxaOrig="1160" w:dyaOrig="260">
          <v:shape id="_x0000_i1067" type="#_x0000_t75" style="width:58.25pt;height:13.15pt" o:ole="">
            <v:imagedata r:id="rId24" o:title=""/>
          </v:shape>
          <o:OLEObject Type="Embed" ProgID="Equation.DSMT4" ShapeID="_x0000_i1067" DrawAspect="Content" ObjectID="_1448862893" r:id="rId25"/>
        </w:object>
      </w:r>
    </w:p>
    <w:p w:rsidR="002414D1" w:rsidRDefault="002414D1">
      <w:pPr>
        <w:rPr>
          <w:lang w:val="en-US"/>
        </w:rPr>
      </w:pPr>
      <w:r w:rsidRPr="002414D1">
        <w:rPr>
          <w:lang w:val="en-US"/>
        </w:rPr>
        <w:t>Generate a Rayleigh distributed random variable from a uniform distributed (</w:t>
      </w:r>
      <w:r>
        <w:rPr>
          <w:lang w:val="en-US"/>
        </w:rPr>
        <w:t>0 to 1</w:t>
      </w:r>
      <w:r w:rsidRPr="002414D1">
        <w:rPr>
          <w:lang w:val="en-US"/>
        </w:rPr>
        <w:t>)</w:t>
      </w:r>
      <w:r>
        <w:rPr>
          <w:lang w:val="en-US"/>
        </w:rPr>
        <w:t xml:space="preserve"> variable:</w:t>
      </w:r>
    </w:p>
    <w:p w:rsidR="002414D1" w:rsidRDefault="000614F8">
      <w:pPr>
        <w:rPr>
          <w:position w:val="-14"/>
        </w:rPr>
      </w:pPr>
      <w:r w:rsidRPr="000614F8">
        <w:rPr>
          <w:position w:val="-14"/>
        </w:rPr>
        <w:object w:dxaOrig="1480" w:dyaOrig="400">
          <v:shape id="_x0000_i1033" type="#_x0000_t75" style="width:73.9pt;height:20.05pt" o:ole="">
            <v:imagedata r:id="rId26" o:title=""/>
          </v:shape>
          <o:OLEObject Type="Embed" ProgID="Equation.DSMT4" ShapeID="_x0000_i1033" DrawAspect="Content" ObjectID="_1448862894" r:id="rId27"/>
        </w:object>
      </w:r>
    </w:p>
    <w:p w:rsidR="00D71C30" w:rsidRPr="002414D1" w:rsidRDefault="0011592C">
      <w:pPr>
        <w:rPr>
          <w:lang w:val="en-US"/>
        </w:rPr>
      </w:pPr>
      <w:r>
        <w:rPr>
          <w:lang w:val="en-US"/>
        </w:rPr>
        <w:t xml:space="preserve">Now a packet is correctly received if: </w:t>
      </w:r>
      <w:bookmarkStart w:id="0" w:name="_GoBack"/>
      <w:bookmarkEnd w:id="0"/>
      <w:r>
        <w:rPr>
          <w:lang w:val="en-US"/>
        </w:rPr>
        <w:t xml:space="preserve"> in dB</w:t>
      </w:r>
    </w:p>
    <w:sectPr w:rsidR="00D71C30" w:rsidRPr="00241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D1"/>
    <w:rsid w:val="000614F8"/>
    <w:rsid w:val="0011592C"/>
    <w:rsid w:val="002414D1"/>
    <w:rsid w:val="00344BEB"/>
    <w:rsid w:val="00685B89"/>
    <w:rsid w:val="00856E1B"/>
    <w:rsid w:val="00D457EF"/>
    <w:rsid w:val="00D71C30"/>
    <w:rsid w:val="00E152C6"/>
    <w:rsid w:val="00E56A5B"/>
    <w:rsid w:val="00F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5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6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5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6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e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SP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Karlsson</dc:creator>
  <cp:keywords/>
  <dc:description/>
  <cp:lastModifiedBy>Kristian Karlsson</cp:lastModifiedBy>
  <cp:revision>4</cp:revision>
  <dcterms:created xsi:type="dcterms:W3CDTF">2013-10-29T07:02:00Z</dcterms:created>
  <dcterms:modified xsi:type="dcterms:W3CDTF">2013-12-18T08:08:00Z</dcterms:modified>
</cp:coreProperties>
</file>