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资金营运中心人力资源处系统建设规划调研回复初稿"/>
    <w:p>
      <w:pPr>
        <w:pStyle w:val="Heading1"/>
      </w:pPr>
      <w:r>
        <w:t xml:space="preserve">资金营运中心人力资源处系统建设规划调研回复（初稿）</w:t>
      </w:r>
    </w:p>
    <w:p>
      <w:r>
        <w:pict>
          <v:rect style="width:0;height:1.5pt" o:hralign="center" o:hrstd="t" o:hr="t"/>
        </w:pict>
      </w:r>
    </w:p>
    <w:bookmarkStart w:id="23" w:name="一业务规划内容"/>
    <w:p>
      <w:pPr>
        <w:pStyle w:val="Heading2"/>
      </w:pPr>
      <w:r>
        <w:t xml:space="preserve">一、业务规划内容</w:t>
      </w:r>
    </w:p>
    <w:bookmarkStart w:id="20" w:name="主要业务职责及业务范围"/>
    <w:p>
      <w:pPr>
        <w:pStyle w:val="Heading3"/>
      </w:pPr>
      <w:r>
        <w:t xml:space="preserve">1. 主要业务职责及业务范围</w:t>
      </w:r>
    </w:p>
    <w:p>
      <w:pPr>
        <w:pStyle w:val="FirstParagraph"/>
      </w:pPr>
      <w:r>
        <w:t xml:space="preserve">资金营运中心人力资源处主要负责本行企业年金计划受托管理，具体包括：</w:t>
      </w:r>
    </w:p>
    <w:p>
      <w:pPr>
        <w:pStyle w:val="BodyText"/>
      </w:pPr>
      <w:r>
        <w:rPr>
          <w:bCs/>
          <w:b/>
        </w:rPr>
        <w:t xml:space="preserve">（1）本行年金日常受托运营</w:t>
      </w:r>
      <w:r>
        <w:t xml:space="preserve"> </w:t>
      </w:r>
      <w:r>
        <w:t xml:space="preserve">- 员工年金账户管理（新增、变更、状态转换、转入、转出等）</w:t>
      </w:r>
      <w:r>
        <w:t xml:space="preserve"> </w:t>
      </w:r>
      <w:r>
        <w:t xml:space="preserve">- 缴费管理：年金计划下各机构月度缴费的归集、核对与处理</w:t>
      </w:r>
      <w:r>
        <w:t xml:space="preserve"> </w:t>
      </w:r>
      <w:r>
        <w:t xml:space="preserve">- 支付管理：退休、离职等情形下的年金待遇支付申请审核与资金划转</w:t>
      </w:r>
      <w:r>
        <w:t xml:space="preserve"> </w:t>
      </w:r>
      <w:r>
        <w:t xml:space="preserve">- 转移管理：跨机构、跨计划的年金权益转移处理</w:t>
      </w:r>
      <w:r>
        <w:t xml:space="preserve"> </w:t>
      </w:r>
      <w:r>
        <w:t xml:space="preserve">- 投资划款指令管理：定价日申购赎回指令的编制与执行</w:t>
      </w:r>
    </w:p>
    <w:p>
      <w:pPr>
        <w:pStyle w:val="BodyText"/>
      </w:pPr>
      <w:r>
        <w:rPr>
          <w:bCs/>
          <w:b/>
        </w:rPr>
        <w:t xml:space="preserve">（2）受托投资管理</w:t>
      </w:r>
      <w:r>
        <w:t xml:space="preserve"> </w:t>
      </w:r>
      <w:r>
        <w:t xml:space="preserve">- 年金投资组合的监督与管理</w:t>
      </w:r>
      <w:r>
        <w:t xml:space="preserve"> </w:t>
      </w:r>
      <w:r>
        <w:t xml:space="preserve">- 投资管理人、托管人的履职监督</w:t>
      </w:r>
      <w:r>
        <w:t xml:space="preserve"> </w:t>
      </w:r>
      <w:r>
        <w:t xml:space="preserve">- 年金组合费用（管理费、托管费、业绩报酬）的核算与支付</w:t>
      </w:r>
      <w:r>
        <w:t xml:space="preserve"> </w:t>
      </w:r>
      <w:r>
        <w:t xml:space="preserve">- 投资业绩计量与归因分析</w:t>
      </w:r>
      <w:r>
        <w:t xml:space="preserve"> </w:t>
      </w:r>
      <w:r>
        <w:t xml:space="preserve">- 投资风险监控与合规管理</w:t>
      </w:r>
    </w:p>
    <w:p>
      <w:pPr>
        <w:pStyle w:val="BodyText"/>
      </w:pPr>
      <w:r>
        <w:rPr>
          <w:bCs/>
          <w:b/>
        </w:rPr>
        <w:t xml:space="preserve">主要产品</w:t>
      </w:r>
      <w:r>
        <w:t xml:space="preserve">：本行企业年金计划受托管理服务</w:t>
      </w:r>
    </w:p>
    <w:bookmarkEnd w:id="20"/>
    <w:bookmarkStart w:id="21" w:name="中长期3-5年业务规划"/>
    <w:p>
      <w:pPr>
        <w:pStyle w:val="Heading3"/>
      </w:pPr>
      <w:r>
        <w:t xml:space="preserve">2. 中长期（3-5年）业务规划</w:t>
      </w:r>
    </w:p>
    <w:p>
      <w:pPr>
        <w:pStyle w:val="FirstParagraph"/>
      </w:pPr>
      <w:r>
        <w:t xml:space="preserve">围绕”电子化、自动化、智能化”三大方向，推进以下重点工作：</w:t>
      </w:r>
    </w:p>
    <w:tbl>
      <w:tblPr>
        <w:tblStyle w:val="Table"/>
        <w:tblW w:type="pct" w:w="5000"/>
        <w:tblLook w:firstRow="1" w:lastRow="0" w:firstColumn="0" w:lastColumn="0" w:noHBand="0" w:noVBand="0" w:val="0020"/>
        <w:jc w:val="start"/>
      </w:tblPr>
      <w:tblGrid>
        <w:gridCol w:w="1697"/>
        <w:gridCol w:w="3677"/>
        <w:gridCol w:w="2545"/>
      </w:tblGrid>
      <w:tr>
        <w:trPr>
          <w:tblHeader w:val="true"/>
        </w:trPr>
        <w:tc>
          <w:tcPr/>
          <w:p>
            <w:pPr>
              <w:pStyle w:val="Compact"/>
              <w:jc w:val="left"/>
            </w:pPr>
            <w:r>
              <w:t xml:space="preserve">方向</w:t>
            </w:r>
          </w:p>
        </w:tc>
        <w:tc>
          <w:tcPr/>
          <w:p>
            <w:pPr>
              <w:pStyle w:val="Compact"/>
              <w:jc w:val="left"/>
            </w:pPr>
            <w:r>
              <w:t xml:space="preserve">具体规划内容</w:t>
            </w:r>
          </w:p>
        </w:tc>
        <w:tc>
          <w:tcPr/>
          <w:p>
            <w:pPr>
              <w:pStyle w:val="Compact"/>
              <w:jc w:val="left"/>
            </w:pPr>
            <w:r>
              <w:t xml:space="preserve">目标时间</w:t>
            </w:r>
          </w:p>
        </w:tc>
      </w:tr>
      <w:tr>
        <w:tc>
          <w:tcPr/>
          <w:p>
            <w:pPr>
              <w:pStyle w:val="Compact"/>
              <w:jc w:val="left"/>
            </w:pPr>
            <w:r>
              <w:rPr>
                <w:bCs/>
                <w:b/>
              </w:rPr>
              <w:t xml:space="preserve">系统直连</w:t>
            </w:r>
          </w:p>
        </w:tc>
        <w:tc>
          <w:tcPr/>
          <w:p>
            <w:pPr>
              <w:pStyle w:val="Compact"/>
              <w:jc w:val="left"/>
            </w:pPr>
            <w:r>
              <w:t xml:space="preserve">推进企业年金受托管理系统与人力资源管理系统、外部账户管理系统的业务和数据直连传输</w:t>
            </w:r>
          </w:p>
        </w:tc>
        <w:tc>
          <w:tcPr/>
          <w:p>
            <w:pPr>
              <w:pStyle w:val="Compact"/>
              <w:jc w:val="left"/>
            </w:pPr>
            <w:r>
              <w:t xml:space="preserve">2025-2026年</w:t>
            </w:r>
          </w:p>
        </w:tc>
      </w:tr>
      <w:tr>
        <w:tc>
          <w:tcPr/>
          <w:p>
            <w:pPr>
              <w:pStyle w:val="Compact"/>
              <w:jc w:val="left"/>
            </w:pPr>
            <w:r>
              <w:rPr>
                <w:bCs/>
                <w:b/>
              </w:rPr>
              <w:t xml:space="preserve">委托人体验优化</w:t>
            </w:r>
          </w:p>
        </w:tc>
        <w:tc>
          <w:tcPr/>
          <w:p>
            <w:pPr>
              <w:pStyle w:val="Compact"/>
              <w:jc w:val="left"/>
            </w:pPr>
            <w:r>
              <w:t xml:space="preserve">开放员工年金投资组合自主选择权，提升员工福利保障服务能力</w:t>
            </w:r>
          </w:p>
        </w:tc>
        <w:tc>
          <w:tcPr/>
          <w:p>
            <w:pPr>
              <w:pStyle w:val="Compact"/>
              <w:jc w:val="left"/>
            </w:pPr>
            <w:r>
              <w:t xml:space="preserve">2026年</w:t>
            </w:r>
          </w:p>
        </w:tc>
      </w:tr>
      <w:tr>
        <w:tc>
          <w:tcPr/>
          <w:p>
            <w:pPr>
              <w:pStyle w:val="Compact"/>
              <w:jc w:val="left"/>
            </w:pPr>
            <w:r>
              <w:rPr>
                <w:bCs/>
                <w:b/>
              </w:rPr>
              <w:t xml:space="preserve">投资风险管理提升</w:t>
            </w:r>
          </w:p>
        </w:tc>
        <w:tc>
          <w:tcPr/>
          <w:p>
            <w:pPr>
              <w:pStyle w:val="Compact"/>
              <w:jc w:val="left"/>
            </w:pPr>
            <w:r>
              <w:t xml:space="preserve">引入模型加工实现组合安全垫测算和监控，完善投资经理评价体系，建立长周期考核机制</w:t>
            </w:r>
          </w:p>
        </w:tc>
        <w:tc>
          <w:tcPr/>
          <w:p>
            <w:pPr>
              <w:pStyle w:val="Compact"/>
              <w:jc w:val="left"/>
            </w:pPr>
            <w:r>
              <w:t xml:space="preserve">2025-2026年</w:t>
            </w:r>
          </w:p>
        </w:tc>
      </w:tr>
      <w:tr>
        <w:tc>
          <w:tcPr/>
          <w:p>
            <w:pPr>
              <w:pStyle w:val="Compact"/>
              <w:jc w:val="left"/>
            </w:pPr>
            <w:r>
              <w:rPr>
                <w:bCs/>
                <w:b/>
              </w:rPr>
              <w:t xml:space="preserve">数据整合</w:t>
            </w:r>
          </w:p>
        </w:tc>
        <w:tc>
          <w:tcPr/>
          <w:p>
            <w:pPr>
              <w:pStyle w:val="Compact"/>
              <w:jc w:val="left"/>
            </w:pPr>
            <w:r>
              <w:t xml:space="preserve">引入投研和信评数据、市场行情数据，优化大类资产配置决策支持</w:t>
            </w:r>
          </w:p>
        </w:tc>
        <w:tc>
          <w:tcPr/>
          <w:p>
            <w:pPr>
              <w:pStyle w:val="Compact"/>
              <w:jc w:val="left"/>
            </w:pPr>
            <w:r>
              <w:t xml:space="preserve">2025年</w:t>
            </w:r>
          </w:p>
        </w:tc>
      </w:tr>
      <w:tr>
        <w:tc>
          <w:tcPr/>
          <w:p>
            <w:pPr>
              <w:pStyle w:val="Compact"/>
              <w:jc w:val="left"/>
            </w:pPr>
            <w:r>
              <w:rPr>
                <w:bCs/>
                <w:b/>
              </w:rPr>
              <w:t xml:space="preserve">受托户核算能力建设</w:t>
            </w:r>
          </w:p>
        </w:tc>
        <w:tc>
          <w:tcPr/>
          <w:p>
            <w:pPr>
              <w:pStyle w:val="Compact"/>
              <w:jc w:val="left"/>
            </w:pPr>
            <w:r>
              <w:t xml:space="preserve">构建完整的受托户财务核算体系，实现凭证、账表、期末处理、报表出具等核心功能</w:t>
            </w:r>
          </w:p>
        </w:tc>
        <w:tc>
          <w:tcPr/>
          <w:p>
            <w:pPr>
              <w:pStyle w:val="Compact"/>
              <w:jc w:val="left"/>
            </w:pPr>
            <w:r>
              <w:t xml:space="preserve">2025-2026年</w:t>
            </w:r>
          </w:p>
        </w:tc>
      </w:tr>
    </w:tbl>
    <w:bookmarkEnd w:id="21"/>
    <w:bookmarkStart w:id="22" w:name="行内战略落实规划"/>
    <w:p>
      <w:pPr>
        <w:pStyle w:val="Heading3"/>
      </w:pPr>
      <w:r>
        <w:t xml:space="preserve">3. 行内战略落实规划</w:t>
      </w:r>
    </w:p>
    <w:p>
      <w:pPr>
        <w:pStyle w:val="FirstParagraph"/>
      </w:pPr>
      <w:r>
        <w:t xml:space="preserve">针对全行工作会议及五年发展战略规划的相关要求，处室落实规划如下：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战略要求</w:t>
            </w:r>
          </w:p>
        </w:tc>
        <w:tc>
          <w:tcPr/>
          <w:p>
            <w:pPr>
              <w:pStyle w:val="Compact"/>
              <w:jc w:val="left"/>
            </w:pPr>
            <w:r>
              <w:t xml:space="preserve">落实规划</w:t>
            </w:r>
          </w:p>
        </w:tc>
      </w:tr>
      <w:tr>
        <w:tc>
          <w:tcPr/>
          <w:p>
            <w:pPr>
              <w:pStyle w:val="Compact"/>
              <w:jc w:val="left"/>
            </w:pPr>
            <w:r>
              <w:t xml:space="preserve">FICC产品第二曲线</w:t>
            </w:r>
          </w:p>
        </w:tc>
        <w:tc>
          <w:tcPr/>
          <w:p>
            <w:pPr>
              <w:pStyle w:val="Compact"/>
              <w:jc w:val="left"/>
            </w:pPr>
            <w:r>
              <w:t xml:space="preserve">企业年金投资范围已覆盖债券、股票、基金、养老金产品等，将持续优化资产配置结构</w:t>
            </w:r>
          </w:p>
        </w:tc>
      </w:tr>
      <w:tr>
        <w:tc>
          <w:tcPr/>
          <w:p>
            <w:pPr>
              <w:pStyle w:val="Compact"/>
              <w:jc w:val="left"/>
            </w:pPr>
            <w:r>
              <w:t xml:space="preserve">三大海外中心跨时区交易</w:t>
            </w:r>
          </w:p>
        </w:tc>
        <w:tc>
          <w:tcPr/>
          <w:p>
            <w:pPr>
              <w:pStyle w:val="Compact"/>
              <w:jc w:val="left"/>
            </w:pPr>
            <w:r>
              <w:t xml:space="preserve">年金投资以境内资产为主，暂不涉及海外交易</w:t>
            </w:r>
          </w:p>
        </w:tc>
      </w:tr>
      <w:tr>
        <w:tc>
          <w:tcPr/>
          <w:p>
            <w:pPr>
              <w:pStyle w:val="Compact"/>
              <w:jc w:val="left"/>
            </w:pPr>
            <w:r>
              <w:t xml:space="preserve">更精细的客户沙盘、细分客群和重点场景</w:t>
            </w:r>
          </w:p>
        </w:tc>
        <w:tc>
          <w:tcPr/>
          <w:p>
            <w:pPr>
              <w:pStyle w:val="Compact"/>
              <w:jc w:val="left"/>
            </w:pPr>
            <w:r>
              <w:t xml:space="preserve">推进员工投资组合自主选择权开放，提升个性化服务能力</w:t>
            </w:r>
          </w:p>
        </w:tc>
      </w:tr>
      <w:tr>
        <w:tc>
          <w:tcPr/>
          <w:p>
            <w:pPr>
              <w:pStyle w:val="Compact"/>
              <w:jc w:val="left"/>
            </w:pPr>
            <w:r>
              <w:t xml:space="preserve">从债券向资金/外汇/大宗商品/衍生品领域延伸</w:t>
            </w:r>
          </w:p>
        </w:tc>
        <w:tc>
          <w:tcPr/>
          <w:p>
            <w:pPr>
              <w:pStyle w:val="Compact"/>
              <w:jc w:val="left"/>
            </w:pPr>
            <w:r>
              <w:t xml:space="preserve">在合规框架内，适时研究拓展年金投资品种</w:t>
            </w:r>
          </w:p>
        </w:tc>
      </w:tr>
      <w:tr>
        <w:tc>
          <w:tcPr/>
          <w:p>
            <w:pPr>
              <w:pStyle w:val="Compact"/>
              <w:jc w:val="left"/>
            </w:pPr>
            <w:r>
              <w:t xml:space="preserve">保持汇率报价优势</w:t>
            </w:r>
          </w:p>
        </w:tc>
        <w:tc>
          <w:tcPr/>
          <w:p>
            <w:pPr>
              <w:pStyle w:val="Compact"/>
              <w:jc w:val="left"/>
            </w:pPr>
            <w:r>
              <w:t xml:space="preserve">年金投资以人民币资产为主，汇率风险敞口有限</w:t>
            </w:r>
          </w:p>
        </w:tc>
      </w:tr>
      <w:tr>
        <w:tc>
          <w:tcPr/>
          <w:p>
            <w:pPr>
              <w:pStyle w:val="Compact"/>
              <w:jc w:val="left"/>
            </w:pPr>
            <w:r>
              <w:t xml:space="preserve">保持积存金业务优势</w:t>
            </w:r>
          </w:p>
        </w:tc>
        <w:tc>
          <w:tcPr/>
          <w:p>
            <w:pPr>
              <w:pStyle w:val="Compact"/>
              <w:jc w:val="left"/>
            </w:pPr>
            <w:r>
              <w:t xml:space="preserve">积极探索贵金属类养老金产品创新</w:t>
            </w:r>
          </w:p>
        </w:tc>
      </w:tr>
      <w:tr>
        <w:tc>
          <w:tcPr/>
          <w:p>
            <w:pPr>
              <w:pStyle w:val="Compact"/>
              <w:jc w:val="left"/>
            </w:pPr>
            <w:r>
              <w:t xml:space="preserve">丰富贵金属产品</w:t>
            </w:r>
          </w:p>
        </w:tc>
        <w:tc>
          <w:tcPr/>
          <w:p>
            <w:pPr>
              <w:pStyle w:val="Compact"/>
              <w:jc w:val="left"/>
            </w:pPr>
            <w:r>
              <w:t xml:space="preserve">研究将贵金属纳入年金投资范围的可行性</w:t>
            </w:r>
          </w:p>
        </w:tc>
      </w:tr>
      <w:tr>
        <w:tc>
          <w:tcPr/>
          <w:p>
            <w:pPr>
              <w:pStyle w:val="Compact"/>
              <w:jc w:val="left"/>
            </w:pPr>
            <w:r>
              <w:t xml:space="preserve">落实”1+7”AI业务蓝图建设人工智能标杆场景</w:t>
            </w:r>
          </w:p>
        </w:tc>
        <w:tc>
          <w:tcPr/>
          <w:p>
            <w:pPr>
              <w:pStyle w:val="Compact"/>
              <w:jc w:val="left"/>
            </w:pPr>
            <w:r>
              <w:t xml:space="preserve">在年金受托管理领域探索AI智能应用场景（详见第四部分）</w:t>
            </w:r>
          </w:p>
        </w:tc>
      </w:tr>
    </w:tbl>
    <w:p>
      <w:r>
        <w:pict>
          <v:rect style="width:0;height:1.5pt" o:hralign="center" o:hrstd="t" o:hr="t"/>
        </w:pict>
      </w:r>
    </w:p>
    <w:bookmarkEnd w:id="22"/>
    <w:bookmarkEnd w:id="23"/>
    <w:bookmarkStart w:id="34" w:name="二能力规划内容"/>
    <w:p>
      <w:pPr>
        <w:pStyle w:val="Heading2"/>
      </w:pPr>
      <w:r>
        <w:t xml:space="preserve">二、能力规划内容</w:t>
      </w:r>
    </w:p>
    <w:bookmarkStart w:id="24" w:name="产品能力"/>
    <w:p>
      <w:pPr>
        <w:pStyle w:val="Heading3"/>
      </w:pPr>
      <w:r>
        <w:t xml:space="preserve">（1）产品能力</w:t>
      </w:r>
    </w:p>
    <w:p>
      <w:pPr>
        <w:pStyle w:val="FirstParagraph"/>
      </w:pPr>
      <w:r>
        <w:rPr>
          <w:bCs/>
          <w:b/>
        </w:rPr>
        <w:t xml:space="preserve">现状不足</w:t>
      </w:r>
      <w:r>
        <w:t xml:space="preserve">：</w:t>
      </w:r>
      <w:r>
        <w:t xml:space="preserve"> </w:t>
      </w:r>
      <w:r>
        <w:t xml:space="preserve">- 目前仅提供单一的企业年金受托管理服务，产品类型相对单一</w:t>
      </w:r>
      <w:r>
        <w:t xml:space="preserve"> </w:t>
      </w:r>
      <w:r>
        <w:t xml:space="preserve">- 缺乏面向不同风险偏好员工的差异化产品选择</w:t>
      </w:r>
    </w:p>
    <w:p>
      <w:pPr>
        <w:pStyle w:val="BodyText"/>
      </w:pPr>
      <w:r>
        <w:rPr>
          <w:bCs/>
          <w:b/>
        </w:rPr>
        <w:t xml:space="preserve">改进计划</w:t>
      </w:r>
      <w:r>
        <w:t xml:space="preserve">：</w:t>
      </w:r>
      <w:r>
        <w:t xml:space="preserve"> </w:t>
      </w:r>
      <w:r>
        <w:t xml:space="preserve">- 推进员工投资组合自主选择权开放，丰富产品供给</w:t>
      </w:r>
      <w:r>
        <w:t xml:space="preserve"> </w:t>
      </w:r>
      <w:r>
        <w:t xml:space="preserve">- 研究探索贵金属类养老金产品创新</w:t>
      </w:r>
    </w:p>
    <w:bookmarkEnd w:id="24"/>
    <w:bookmarkStart w:id="25" w:name="客户服务能力"/>
    <w:p>
      <w:pPr>
        <w:pStyle w:val="Heading3"/>
      </w:pPr>
      <w:r>
        <w:t xml:space="preserve">（2）客户服务能力</w:t>
      </w:r>
    </w:p>
    <w:p>
      <w:pPr>
        <w:pStyle w:val="FirstParagraph"/>
      </w:pPr>
      <w:r>
        <w:rPr>
          <w:bCs/>
          <w:b/>
        </w:rPr>
        <w:t xml:space="preserve">现状不足</w:t>
      </w:r>
      <w:r>
        <w:t xml:space="preserve">：</w:t>
      </w:r>
      <w:r>
        <w:t xml:space="preserve"> </w:t>
      </w:r>
      <w:r>
        <w:t xml:space="preserve">- 员工个人权益查询渠道有限，主要依赖线下或邮件查询</w:t>
      </w:r>
      <w:r>
        <w:t xml:space="preserve"> </w:t>
      </w:r>
      <w:r>
        <w:t xml:space="preserve">- 移动端服务能力不足</w:t>
      </w:r>
    </w:p>
    <w:p>
      <w:pPr>
        <w:pStyle w:val="BodyText"/>
      </w:pPr>
      <w:r>
        <w:rPr>
          <w:bCs/>
          <w:b/>
        </w:rPr>
        <w:t xml:space="preserve">改进计划</w:t>
      </w:r>
      <w:r>
        <w:t xml:space="preserve">：</w:t>
      </w:r>
      <w:r>
        <w:t xml:space="preserve"> </w:t>
      </w:r>
      <w:r>
        <w:t xml:space="preserve">- 建设移动端业务申请收集和权益查询功能</w:t>
      </w:r>
      <w:r>
        <w:t xml:space="preserve"> </w:t>
      </w:r>
      <w:r>
        <w:t xml:space="preserve">- 优化委托人服务体验，提升员工福利保障服务能力</w:t>
      </w:r>
    </w:p>
    <w:bookmarkEnd w:id="25"/>
    <w:bookmarkStart w:id="26" w:name="渠道服务能力"/>
    <w:p>
      <w:pPr>
        <w:pStyle w:val="Heading3"/>
      </w:pPr>
      <w:r>
        <w:t xml:space="preserve">（3）渠道服务能力</w:t>
      </w:r>
    </w:p>
    <w:p>
      <w:pPr>
        <w:pStyle w:val="FirstParagraph"/>
      </w:pPr>
      <w:r>
        <w:rPr>
          <w:bCs/>
          <w:b/>
        </w:rPr>
        <w:t xml:space="preserve">现状不足</w:t>
      </w:r>
      <w:r>
        <w:t xml:space="preserve">：</w:t>
      </w:r>
      <w:r>
        <w:t xml:space="preserve"> </w:t>
      </w:r>
      <w:r>
        <w:t xml:space="preserve">- 业务申请主要依赖线下或PC端，移动端覆盖不足</w:t>
      </w:r>
      <w:r>
        <w:t xml:space="preserve"> </w:t>
      </w:r>
      <w:r>
        <w:t xml:space="preserve">- 多渠道协同能力有待提升</w:t>
      </w:r>
    </w:p>
    <w:p>
      <w:pPr>
        <w:pStyle w:val="BodyText"/>
      </w:pPr>
      <w:r>
        <w:rPr>
          <w:bCs/>
          <w:b/>
        </w:rPr>
        <w:t xml:space="preserve">改进计划</w:t>
      </w:r>
      <w:r>
        <w:t xml:space="preserve">：</w:t>
      </w:r>
      <w:r>
        <w:t xml:space="preserve"> </w:t>
      </w:r>
      <w:r>
        <w:t xml:space="preserve">- 推进员工作业平台待办任务优化，实现批次汇总展示</w:t>
      </w:r>
      <w:r>
        <w:t xml:space="preserve"> </w:t>
      </w:r>
      <w:r>
        <w:t xml:space="preserve">- 建设移动端业务申请收集功能</w:t>
      </w:r>
    </w:p>
    <w:bookmarkEnd w:id="26"/>
    <w:bookmarkStart w:id="27" w:name="投资交易能力"/>
    <w:p>
      <w:pPr>
        <w:pStyle w:val="Heading3"/>
      </w:pPr>
      <w:r>
        <w:t xml:space="preserve">（4）投资交易能力</w:t>
      </w:r>
    </w:p>
    <w:p>
      <w:pPr>
        <w:pStyle w:val="FirstParagraph"/>
      </w:pPr>
      <w:r>
        <w:rPr>
          <w:bCs/>
          <w:b/>
        </w:rPr>
        <w:t xml:space="preserve">现状不足</w:t>
      </w:r>
      <w:r>
        <w:t xml:space="preserve">：</w:t>
      </w:r>
      <w:r>
        <w:t xml:space="preserve"> </w:t>
      </w:r>
      <w:r>
        <w:t xml:space="preserve">- 投资划款指令处理存在一定手工操作</w:t>
      </w:r>
      <w:r>
        <w:t xml:space="preserve"> </w:t>
      </w:r>
      <w:r>
        <w:t xml:space="preserve">- 转移指令推送效率有待提升，大批量划款后反馈回盘存在堵塞</w:t>
      </w:r>
    </w:p>
    <w:p>
      <w:pPr>
        <w:pStyle w:val="BodyText"/>
      </w:pPr>
      <w:r>
        <w:rPr>
          <w:bCs/>
          <w:b/>
        </w:rPr>
        <w:t xml:space="preserve">改进计划</w:t>
      </w:r>
      <w:r>
        <w:t xml:space="preserve">：</w:t>
      </w:r>
      <w:r>
        <w:t xml:space="preserve"> </w:t>
      </w:r>
      <w:r>
        <w:t xml:space="preserve">- 优化转移指令推送效率，参照支付指令批次反馈机制</w:t>
      </w:r>
      <w:r>
        <w:t xml:space="preserve"> </w:t>
      </w:r>
      <w:r>
        <w:t xml:space="preserve">- 推进投资交易流程自动化</w:t>
      </w:r>
    </w:p>
    <w:bookmarkEnd w:id="27"/>
    <w:bookmarkStart w:id="28" w:name="投资决策能力"/>
    <w:p>
      <w:pPr>
        <w:pStyle w:val="Heading3"/>
      </w:pPr>
      <w:r>
        <w:t xml:space="preserve">（5）投资决策能力</w:t>
      </w:r>
    </w:p>
    <w:p>
      <w:pPr>
        <w:pStyle w:val="FirstParagraph"/>
      </w:pPr>
      <w:r>
        <w:rPr>
          <w:bCs/>
          <w:b/>
        </w:rPr>
        <w:t xml:space="preserve">现状不足</w:t>
      </w:r>
      <w:r>
        <w:t xml:space="preserve">：</w:t>
      </w:r>
      <w:r>
        <w:t xml:space="preserve"> </w:t>
      </w:r>
      <w:r>
        <w:t xml:space="preserve">- 投前决策支持工具相对有限</w:t>
      </w:r>
      <w:r>
        <w:t xml:space="preserve"> </w:t>
      </w:r>
      <w:r>
        <w:t xml:space="preserve">- 投后组合分析和策略执行监测能力有待加强</w:t>
      </w:r>
      <w:r>
        <w:t xml:space="preserve"> </w:t>
      </w:r>
      <w:r>
        <w:t xml:space="preserve">- 缺乏系统化的投资经理评价体系</w:t>
      </w:r>
    </w:p>
    <w:p>
      <w:pPr>
        <w:pStyle w:val="BodyText"/>
      </w:pPr>
      <w:r>
        <w:rPr>
          <w:bCs/>
          <w:b/>
        </w:rPr>
        <w:t xml:space="preserve">改进计划</w:t>
      </w:r>
      <w:r>
        <w:t xml:space="preserve">：</w:t>
      </w:r>
      <w:r>
        <w:t xml:space="preserve"> </w:t>
      </w:r>
      <w:r>
        <w:t xml:space="preserve">- 建设投资经理分析模块，实现投资经理打标、业绩曲线拟合、深度分析和市场对比评价</w:t>
      </w:r>
      <w:r>
        <w:t xml:space="preserve"> </w:t>
      </w:r>
      <w:r>
        <w:t xml:space="preserve">- 引入均值方差优化模型等先进资产配置方法</w:t>
      </w:r>
      <w:r>
        <w:t xml:space="preserve"> </w:t>
      </w:r>
      <w:r>
        <w:t xml:space="preserve">- 建设组合安全垫测算功能，强化风险监控</w:t>
      </w:r>
    </w:p>
    <w:bookmarkEnd w:id="28"/>
    <w:bookmarkStart w:id="29" w:name="风险合规能力"/>
    <w:p>
      <w:pPr>
        <w:pStyle w:val="Heading3"/>
      </w:pPr>
      <w:r>
        <w:t xml:space="preserve">（6）风险合规能力</w:t>
      </w:r>
    </w:p>
    <w:p>
      <w:pPr>
        <w:pStyle w:val="FirstParagraph"/>
      </w:pPr>
      <w:r>
        <w:rPr>
          <w:bCs/>
          <w:b/>
        </w:rPr>
        <w:t xml:space="preserve">现状不足</w:t>
      </w:r>
      <w:r>
        <w:t xml:space="preserve">：</w:t>
      </w:r>
      <w:r>
        <w:t xml:space="preserve"> </w:t>
      </w:r>
      <w:r>
        <w:t xml:space="preserve">- 组合风险监控工具相对单一，缺乏动态安全垫测算能力</w:t>
      </w:r>
      <w:r>
        <w:t xml:space="preserve"> </w:t>
      </w:r>
      <w:r>
        <w:t xml:space="preserve">- 投资合规规则引擎有待完善</w:t>
      </w:r>
    </w:p>
    <w:p>
      <w:pPr>
        <w:pStyle w:val="BodyText"/>
      </w:pPr>
      <w:r>
        <w:rPr>
          <w:bCs/>
          <w:b/>
        </w:rPr>
        <w:t xml:space="preserve">改进计划</w:t>
      </w:r>
      <w:r>
        <w:t xml:space="preserve">：</w:t>
      </w:r>
      <w:r>
        <w:t xml:space="preserve"> </w:t>
      </w:r>
      <w:r>
        <w:t xml:space="preserve">- 建设组合安全垫测算功能（静态+动态），实现组合不同口径安全垫测算和监控</w:t>
      </w:r>
      <w:r>
        <w:t xml:space="preserve"> </w:t>
      </w:r>
      <w:r>
        <w:t xml:space="preserve">- 完善投资监督功能，强化合规管理</w:t>
      </w:r>
    </w:p>
    <w:bookmarkEnd w:id="29"/>
    <w:bookmarkStart w:id="30" w:name="数据应用能力"/>
    <w:p>
      <w:pPr>
        <w:pStyle w:val="Heading3"/>
      </w:pPr>
      <w:r>
        <w:t xml:space="preserve">（7）数据应用能力</w:t>
      </w:r>
    </w:p>
    <w:p>
      <w:pPr>
        <w:pStyle w:val="FirstParagraph"/>
      </w:pPr>
      <w:r>
        <w:rPr>
          <w:bCs/>
          <w:b/>
        </w:rPr>
        <w:t xml:space="preserve">现状不足</w:t>
      </w:r>
      <w:r>
        <w:t xml:space="preserve">：</w:t>
      </w:r>
      <w:r>
        <w:t xml:space="preserve"> </w:t>
      </w:r>
      <w:r>
        <w:t xml:space="preserve">- 部分数据分析仍依赖手工Excel处理</w:t>
      </w:r>
      <w:r>
        <w:t xml:space="preserve"> </w:t>
      </w:r>
      <w:r>
        <w:t xml:space="preserve">- 数据整合能力有待提升，内外部数据融合不足</w:t>
      </w:r>
      <w:r>
        <w:t xml:space="preserve"> </w:t>
      </w:r>
      <w:r>
        <w:t xml:space="preserve">- 大表查询性能存在瓶颈（如持仓明细表3000万+记录）</w:t>
      </w:r>
    </w:p>
    <w:p>
      <w:pPr>
        <w:pStyle w:val="BodyText"/>
      </w:pPr>
      <w:r>
        <w:rPr>
          <w:bCs/>
          <w:b/>
        </w:rPr>
        <w:t xml:space="preserve">改进计划</w:t>
      </w:r>
      <w:r>
        <w:t xml:space="preserve">：</w:t>
      </w:r>
      <w:r>
        <w:t xml:space="preserve"> </w:t>
      </w:r>
      <w:r>
        <w:t xml:space="preserve">- 推进投研系统建设，实现数据分析全流程系统化</w:t>
      </w:r>
      <w:r>
        <w:t xml:space="preserve"> </w:t>
      </w:r>
      <w:r>
        <w:t xml:space="preserve">- 引入行内投研和信评数据、市场行情数据，拓宽数据来源</w:t>
      </w:r>
      <w:r>
        <w:t xml:space="preserve"> </w:t>
      </w:r>
      <w:r>
        <w:t xml:space="preserve">- 优化系统性能，解决慢SQL问题，支持跨月下载</w:t>
      </w:r>
    </w:p>
    <w:bookmarkEnd w:id="30"/>
    <w:bookmarkStart w:id="31" w:name="业务连续性能力"/>
    <w:p>
      <w:pPr>
        <w:pStyle w:val="Heading3"/>
      </w:pPr>
      <w:r>
        <w:t xml:space="preserve">（8）业务连续性能力</w:t>
      </w:r>
    </w:p>
    <w:p>
      <w:pPr>
        <w:pStyle w:val="FirstParagraph"/>
      </w:pPr>
      <w:r>
        <w:rPr>
          <w:bCs/>
          <w:b/>
        </w:rPr>
        <w:t xml:space="preserve">现状不足</w:t>
      </w:r>
      <w:r>
        <w:t xml:space="preserve">：</w:t>
      </w:r>
      <w:r>
        <w:t xml:space="preserve"> </w:t>
      </w:r>
      <w:r>
        <w:t xml:space="preserve">- 电子档案管理尚未完全线上化，业务审批单及附件缺少系统备份</w:t>
      </w:r>
    </w:p>
    <w:p>
      <w:pPr>
        <w:pStyle w:val="BodyText"/>
      </w:pPr>
      <w:r>
        <w:rPr>
          <w:bCs/>
          <w:b/>
        </w:rPr>
        <w:t xml:space="preserve">改进计划</w:t>
      </w:r>
      <w:r>
        <w:t xml:space="preserve">：</w:t>
      </w:r>
      <w:r>
        <w:t xml:space="preserve"> </w:t>
      </w:r>
      <w:r>
        <w:t xml:space="preserve">- 对接电子档案系统，实现业务审批单自动归档和在线查阅</w:t>
      </w:r>
    </w:p>
    <w:bookmarkEnd w:id="31"/>
    <w:bookmarkStart w:id="32" w:name="协同联动能力"/>
    <w:p>
      <w:pPr>
        <w:pStyle w:val="Heading3"/>
      </w:pPr>
      <w:r>
        <w:t xml:space="preserve">（9）协同联动能力</w:t>
      </w:r>
    </w:p>
    <w:p>
      <w:pPr>
        <w:pStyle w:val="FirstParagraph"/>
      </w:pPr>
      <w:r>
        <w:rPr>
          <w:bCs/>
          <w:b/>
        </w:rPr>
        <w:t xml:space="preserve">现状不足</w:t>
      </w:r>
      <w:r>
        <w:t xml:space="preserve">：</w:t>
      </w:r>
      <w:r>
        <w:t xml:space="preserve"> </w:t>
      </w:r>
      <w:r>
        <w:t xml:space="preserve">- 与人力资源系统的数据交互范围有限</w:t>
      </w:r>
      <w:r>
        <w:t xml:space="preserve"> </w:t>
      </w:r>
      <w:r>
        <w:t xml:space="preserve">- 与外部账户管理系统的直连尚未建立</w:t>
      </w:r>
    </w:p>
    <w:p>
      <w:pPr>
        <w:pStyle w:val="BodyText"/>
      </w:pPr>
      <w:r>
        <w:rPr>
          <w:bCs/>
          <w:b/>
        </w:rPr>
        <w:t xml:space="preserve">改进计划</w:t>
      </w:r>
      <w:r>
        <w:t xml:space="preserve">：</w:t>
      </w:r>
      <w:r>
        <w:t xml:space="preserve"> </w:t>
      </w:r>
      <w:r>
        <w:t xml:space="preserve">- 扩展与人力资源系统的数据对接，实现转入、转移业务自动化</w:t>
      </w:r>
      <w:r>
        <w:t xml:space="preserve"> </w:t>
      </w:r>
      <w:r>
        <w:t xml:space="preserve">- 推进与外部账户管理系统的直连对接</w:t>
      </w:r>
    </w:p>
    <w:bookmarkEnd w:id="32"/>
    <w:bookmarkStart w:id="33" w:name="其他能力"/>
    <w:p>
      <w:pPr>
        <w:pStyle w:val="Heading3"/>
      </w:pPr>
      <w:r>
        <w:t xml:space="preserve">（10）其他能力</w:t>
      </w:r>
    </w:p>
    <w:p>
      <w:pPr>
        <w:pStyle w:val="FirstParagraph"/>
      </w:pPr>
      <w:r>
        <w:rPr>
          <w:bCs/>
          <w:b/>
        </w:rPr>
        <w:t xml:space="preserve">受托户财务核算能力</w:t>
      </w:r>
      <w:r>
        <w:t xml:space="preserve">：</w:t>
      </w:r>
      <w:r>
        <w:t xml:space="preserve"> </w:t>
      </w:r>
      <w:r>
        <w:t xml:space="preserve">- 现状：受托户核算模块目前依赖外部系统，尚未建立自研改造</w:t>
      </w:r>
      <w:r>
        <w:t xml:space="preserve"> </w:t>
      </w:r>
      <w:r>
        <w:t xml:space="preserve">- 改进：建设受托户核算模块，包括业务公共、基础数据、财务会计三大子模块，实现凭证管理、账表查询、期末处理、报表出具、会计平台等核心功能</w:t>
      </w:r>
    </w:p>
    <w:p>
      <w:r>
        <w:pict>
          <v:rect style="width:0;height:1.5pt" o:hralign="center" o:hrstd="t" o:hr="t"/>
        </w:pict>
      </w:r>
    </w:p>
    <w:bookmarkEnd w:id="33"/>
    <w:bookmarkEnd w:id="34"/>
    <w:bookmarkStart w:id="38" w:name="三在用系统使用意见"/>
    <w:p>
      <w:pPr>
        <w:pStyle w:val="Heading2"/>
      </w:pPr>
      <w:r>
        <w:t xml:space="preserve">三、在用系统使用意见</w:t>
      </w:r>
    </w:p>
    <w:bookmarkStart w:id="35" w:name="在用系统清单"/>
    <w:p>
      <w:pPr>
        <w:pStyle w:val="Heading3"/>
      </w:pPr>
      <w:r>
        <w:t xml:space="preserve">在用系统清单</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序号</w:t>
            </w:r>
          </w:p>
        </w:tc>
        <w:tc>
          <w:tcPr/>
          <w:p>
            <w:pPr>
              <w:pStyle w:val="Compact"/>
              <w:jc w:val="left"/>
            </w:pPr>
            <w:r>
              <w:t xml:space="preserve">系统名称</w:t>
            </w:r>
          </w:p>
        </w:tc>
        <w:tc>
          <w:tcPr/>
          <w:p>
            <w:pPr>
              <w:pStyle w:val="Compact"/>
              <w:jc w:val="left"/>
            </w:pPr>
            <w:r>
              <w:t xml:space="preserve">主要用途</w:t>
            </w:r>
          </w:p>
        </w:tc>
      </w:tr>
      <w:tr>
        <w:tc>
          <w:tcPr/>
          <w:p>
            <w:pPr>
              <w:pStyle w:val="Compact"/>
              <w:jc w:val="left"/>
            </w:pPr>
            <w:r>
              <w:t xml:space="preserve">1</w:t>
            </w:r>
          </w:p>
        </w:tc>
        <w:tc>
          <w:tcPr/>
          <w:p>
            <w:pPr>
              <w:pStyle w:val="Compact"/>
              <w:jc w:val="left"/>
            </w:pPr>
            <w:r>
              <w:t xml:space="preserve">企业年金受托管理系统</w:t>
            </w:r>
          </w:p>
        </w:tc>
        <w:tc>
          <w:tcPr/>
          <w:p>
            <w:pPr>
              <w:pStyle w:val="Compact"/>
              <w:jc w:val="left"/>
            </w:pPr>
            <w:r>
              <w:t xml:space="preserve">年金日常受托运营（员工管理、缴费、支付、转移等）</w:t>
            </w:r>
          </w:p>
        </w:tc>
      </w:tr>
      <w:tr>
        <w:tc>
          <w:tcPr/>
          <w:p>
            <w:pPr>
              <w:pStyle w:val="Compact"/>
              <w:jc w:val="left"/>
            </w:pPr>
            <w:r>
              <w:t xml:space="preserve">2</w:t>
            </w:r>
          </w:p>
        </w:tc>
        <w:tc>
          <w:tcPr/>
          <w:p>
            <w:pPr>
              <w:pStyle w:val="Compact"/>
              <w:jc w:val="left"/>
            </w:pPr>
            <w:r>
              <w:t xml:space="preserve">投研平台-年金投资分析模块</w:t>
            </w:r>
          </w:p>
        </w:tc>
        <w:tc>
          <w:tcPr/>
          <w:p>
            <w:pPr>
              <w:pStyle w:val="Compact"/>
              <w:jc w:val="left"/>
            </w:pPr>
            <w:r>
              <w:t xml:space="preserve">年金投资组合管理、投资分析、业绩归因、资产配置测算</w:t>
            </w:r>
          </w:p>
        </w:tc>
      </w:tr>
    </w:tbl>
    <w:bookmarkEnd w:id="35"/>
    <w:bookmarkStart w:id="36" w:name="现有系统问题与不足"/>
    <w:p>
      <w:pPr>
        <w:pStyle w:val="Heading3"/>
      </w:pPr>
      <w:r>
        <w:t xml:space="preserve">现有系统问题与不足</w:t>
      </w:r>
    </w:p>
    <w:p>
      <w:pPr>
        <w:pStyle w:val="FirstParagraph"/>
      </w:pPr>
      <w:r>
        <w:rPr>
          <w:bCs/>
          <w:b/>
        </w:rPr>
        <w:t xml:space="preserve">企业年金受托管理系统</w:t>
      </w:r>
      <w:r>
        <w:t xml:space="preserve">：</w:t>
      </w:r>
      <w:r>
        <w:t xml:space="preserve"> </w:t>
      </w:r>
      <w:r>
        <w:t xml:space="preserve">1.</w:t>
      </w:r>
      <w:r>
        <w:t xml:space="preserve"> </w:t>
      </w:r>
      <w:r>
        <w:rPr>
          <w:bCs/>
          <w:b/>
        </w:rPr>
        <w:t xml:space="preserve">业务流程方面</w:t>
      </w:r>
      <w:r>
        <w:t xml:space="preserve">：分支机构业务仍采用单人经办模式，缺少复核环节；超管岗位权限过于集中</w:t>
      </w:r>
      <w:r>
        <w:t xml:space="preserve"> </w:t>
      </w:r>
      <w:r>
        <w:t xml:space="preserve">2.</w:t>
      </w:r>
      <w:r>
        <w:t xml:space="preserve"> </w:t>
      </w:r>
      <w:r>
        <w:rPr>
          <w:bCs/>
          <w:b/>
        </w:rPr>
        <w:t xml:space="preserve">系统集成方面</w:t>
      </w:r>
      <w:r>
        <w:t xml:space="preserve">：尚未与电子档案系统、Gut供数平台完全对接</w:t>
      </w:r>
      <w:r>
        <w:t xml:space="preserve"> </w:t>
      </w:r>
      <w:r>
        <w:t xml:space="preserve">3.</w:t>
      </w:r>
      <w:r>
        <w:t xml:space="preserve"> </w:t>
      </w:r>
      <w:r>
        <w:rPr>
          <w:bCs/>
          <w:b/>
        </w:rPr>
        <w:t xml:space="preserve">性能方面</w:t>
      </w:r>
      <w:r>
        <w:t xml:space="preserve">：部分大表查询存在慢SQL问题，跨月下载功能受限</w:t>
      </w:r>
      <w:r>
        <w:t xml:space="preserve"> </w:t>
      </w:r>
      <w:r>
        <w:t xml:space="preserve">4.</w:t>
      </w:r>
      <w:r>
        <w:t xml:space="preserve"> </w:t>
      </w:r>
      <w:r>
        <w:rPr>
          <w:bCs/>
          <w:b/>
        </w:rPr>
        <w:t xml:space="preserve">功能完善方面</w:t>
      </w:r>
      <w:r>
        <w:t xml:space="preserve">：缴费管理缺少预缴费核对功能，费用管理缺少试算功能</w:t>
      </w:r>
      <w:r>
        <w:t xml:space="preserve"> </w:t>
      </w:r>
      <w:r>
        <w:t xml:space="preserve">5.</w:t>
      </w:r>
      <w:r>
        <w:t xml:space="preserve"> </w:t>
      </w:r>
      <w:r>
        <w:rPr>
          <w:bCs/>
          <w:b/>
        </w:rPr>
        <w:t xml:space="preserve">财务管理方面</w:t>
      </w:r>
      <w:r>
        <w:t xml:space="preserve">：受托户核算模块依赖外部系统，自研改造尚未完成</w:t>
      </w:r>
    </w:p>
    <w:p>
      <w:pPr>
        <w:pStyle w:val="BodyText"/>
      </w:pPr>
      <w:r>
        <w:rPr>
          <w:bCs/>
          <w:b/>
        </w:rPr>
        <w:t xml:space="preserve">投研平台-年金投资分析模块</w:t>
      </w:r>
      <w:r>
        <w:t xml:space="preserve">：</w:t>
      </w:r>
      <w:r>
        <w:t xml:space="preserve"> </w:t>
      </w:r>
      <w:r>
        <w:t xml:space="preserve">1.</w:t>
      </w:r>
      <w:r>
        <w:t xml:space="preserve"> </w:t>
      </w:r>
      <w:r>
        <w:rPr>
          <w:bCs/>
          <w:b/>
        </w:rPr>
        <w:t xml:space="preserve">分析维度不足</w:t>
      </w:r>
      <w:r>
        <w:t xml:space="preserve">：主要支持组合维度分析，缺乏投资经理维度分析</w:t>
      </w:r>
      <w:r>
        <w:t xml:space="preserve"> </w:t>
      </w:r>
      <w:r>
        <w:t xml:space="preserve">2.</w:t>
      </w:r>
      <w:r>
        <w:t xml:space="preserve"> </w:t>
      </w:r>
      <w:r>
        <w:rPr>
          <w:bCs/>
          <w:b/>
        </w:rPr>
        <w:t xml:space="preserve">收益分解粒度不够</w:t>
      </w:r>
      <w:r>
        <w:t xml:space="preserve">：场外基金、ETF基金、养老金产品收益分析功能待完善</w:t>
      </w:r>
      <w:r>
        <w:t xml:space="preserve"> </w:t>
      </w:r>
      <w:r>
        <w:t xml:space="preserve">3.</w:t>
      </w:r>
      <w:r>
        <w:t xml:space="preserve"> </w:t>
      </w:r>
      <w:r>
        <w:rPr>
          <w:bCs/>
          <w:b/>
        </w:rPr>
        <w:t xml:space="preserve">资产配置模型单一</w:t>
      </w:r>
      <w:r>
        <w:t xml:space="preserve">：需要引入均值方差优化等先进模型</w:t>
      </w:r>
      <w:r>
        <w:t xml:space="preserve"> </w:t>
      </w:r>
      <w:r>
        <w:t xml:space="preserve">4.</w:t>
      </w:r>
      <w:r>
        <w:t xml:space="preserve"> </w:t>
      </w:r>
      <w:r>
        <w:rPr>
          <w:bCs/>
          <w:b/>
        </w:rPr>
        <w:t xml:space="preserve">缺乏投资经理评价体系</w:t>
      </w:r>
      <w:r>
        <w:t xml:space="preserve">：长周期考核机制落地缺乏系统支撑</w:t>
      </w:r>
      <w:r>
        <w:t xml:space="preserve"> </w:t>
      </w:r>
      <w:r>
        <w:t xml:space="preserve">5.</w:t>
      </w:r>
      <w:r>
        <w:t xml:space="preserve"> </w:t>
      </w:r>
      <w:r>
        <w:rPr>
          <w:bCs/>
          <w:b/>
        </w:rPr>
        <w:t xml:space="preserve">缺乏安全垫测算工具</w:t>
      </w:r>
      <w:r>
        <w:t xml:space="preserve">：组合风险监控能力有待加强</w:t>
      </w:r>
    </w:p>
    <w:bookmarkEnd w:id="36"/>
    <w:bookmarkStart w:id="37" w:name="意见建议"/>
    <w:p>
      <w:pPr>
        <w:pStyle w:val="Heading3"/>
      </w:pPr>
      <w:r>
        <w:t xml:space="preserve">意见建议</w:t>
      </w:r>
    </w:p>
    <w:p>
      <w:pPr>
        <w:numPr>
          <w:ilvl w:val="0"/>
          <w:numId w:val="1001"/>
        </w:numPr>
        <w:pStyle w:val="Compact"/>
      </w:pPr>
      <w:r>
        <w:t xml:space="preserve">加快企业年金受托管理系统三期建设，重点解决流程优化、系统集成、性能提升和受托户核算能力建设</w:t>
      </w:r>
    </w:p>
    <w:p>
      <w:pPr>
        <w:numPr>
          <w:ilvl w:val="0"/>
          <w:numId w:val="1001"/>
        </w:numPr>
        <w:pStyle w:val="Compact"/>
      </w:pPr>
      <w:r>
        <w:t xml:space="preserve">推进投研系统二期建设，完善投资经理评价、组合安全垫测算等核心功能</w:t>
      </w:r>
    </w:p>
    <w:p>
      <w:pPr>
        <w:numPr>
          <w:ilvl w:val="0"/>
          <w:numId w:val="1001"/>
        </w:numPr>
        <w:pStyle w:val="Compact"/>
      </w:pPr>
      <w:r>
        <w:t xml:space="preserve">加强两个系统之间的数据协同，构建统一的企业年金业务处理平台</w:t>
      </w:r>
    </w:p>
    <w:p>
      <w:r>
        <w:pict>
          <v:rect style="width:0;height:1.5pt" o:hralign="center" o:hrstd="t" o:hr="t"/>
        </w:pict>
      </w:r>
    </w:p>
    <w:bookmarkEnd w:id="37"/>
    <w:bookmarkEnd w:id="38"/>
    <w:bookmarkStart w:id="41" w:name="四ai智能应用"/>
    <w:p>
      <w:pPr>
        <w:pStyle w:val="Heading2"/>
      </w:pPr>
      <w:r>
        <w:t xml:space="preserve">四、AI智能应用</w:t>
      </w:r>
    </w:p>
    <w:bookmarkStart w:id="39" w:name="计划应用的业务场景"/>
    <w:p>
      <w:pPr>
        <w:pStyle w:val="Heading3"/>
      </w:pPr>
      <w:r>
        <w:t xml:space="preserve">计划应用的业务场景</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场景领域</w:t>
            </w:r>
          </w:p>
        </w:tc>
        <w:tc>
          <w:tcPr/>
          <w:p>
            <w:pPr>
              <w:pStyle w:val="Compact"/>
              <w:jc w:val="left"/>
            </w:pPr>
            <w:r>
              <w:t xml:space="preserve">具体应用方向</w:t>
            </w:r>
          </w:p>
        </w:tc>
      </w:tr>
      <w:tr>
        <w:tc>
          <w:tcPr/>
          <w:p>
            <w:pPr>
              <w:pStyle w:val="Compact"/>
              <w:jc w:val="left"/>
            </w:pPr>
            <w:r>
              <w:rPr>
                <w:bCs/>
                <w:b/>
              </w:rPr>
              <w:t xml:space="preserve">智能交易</w:t>
            </w:r>
          </w:p>
        </w:tc>
        <w:tc>
          <w:tcPr/>
          <w:p>
            <w:pPr>
              <w:pStyle w:val="Compact"/>
              <w:jc w:val="left"/>
            </w:pPr>
            <w:r>
              <w:t xml:space="preserve">探索基于规则引擎的智能投资划款指令生成</w:t>
            </w:r>
          </w:p>
        </w:tc>
      </w:tr>
      <w:tr>
        <w:tc>
          <w:tcPr/>
          <w:p>
            <w:pPr>
              <w:pStyle w:val="Compact"/>
              <w:jc w:val="left"/>
            </w:pPr>
            <w:r>
              <w:rPr>
                <w:bCs/>
                <w:b/>
              </w:rPr>
              <w:t xml:space="preserve">智能定价</w:t>
            </w:r>
          </w:p>
        </w:tc>
        <w:tc>
          <w:tcPr/>
          <w:p>
            <w:pPr>
              <w:pStyle w:val="Compact"/>
              <w:jc w:val="left"/>
            </w:pPr>
            <w:r>
              <w:t xml:space="preserve">利用AI模型辅助年金组合估值和费用试算</w:t>
            </w:r>
          </w:p>
        </w:tc>
      </w:tr>
      <w:tr>
        <w:tc>
          <w:tcPr/>
          <w:p>
            <w:pPr>
              <w:pStyle w:val="Compact"/>
              <w:jc w:val="left"/>
            </w:pPr>
            <w:r>
              <w:rPr>
                <w:bCs/>
                <w:b/>
              </w:rPr>
              <w:t xml:space="preserve">智能投研</w:t>
            </w:r>
          </w:p>
        </w:tc>
        <w:tc>
          <w:tcPr/>
          <w:p>
            <w:pPr>
              <w:pStyle w:val="Compact"/>
              <w:jc w:val="left"/>
            </w:pPr>
            <w:r>
              <w:t xml:space="preserve">投资经理业绩曲线拟合与智能评价、资产配置优化建议</w:t>
            </w:r>
          </w:p>
        </w:tc>
      </w:tr>
      <w:tr>
        <w:tc>
          <w:tcPr/>
          <w:p>
            <w:pPr>
              <w:pStyle w:val="Compact"/>
              <w:jc w:val="left"/>
            </w:pPr>
            <w:r>
              <w:rPr>
                <w:bCs/>
                <w:b/>
              </w:rPr>
              <w:t xml:space="preserve">智能代客</w:t>
            </w:r>
          </w:p>
        </w:tc>
        <w:tc>
          <w:tcPr/>
          <w:p>
            <w:pPr>
              <w:pStyle w:val="Compact"/>
              <w:jc w:val="left"/>
            </w:pPr>
            <w:r>
              <w:t xml:space="preserve">智能客服机器人解答员工年金权益查询常见问题</w:t>
            </w:r>
          </w:p>
        </w:tc>
      </w:tr>
      <w:tr>
        <w:tc>
          <w:tcPr/>
          <w:p>
            <w:pPr>
              <w:pStyle w:val="Compact"/>
              <w:jc w:val="left"/>
            </w:pPr>
            <w:r>
              <w:rPr>
                <w:bCs/>
                <w:b/>
              </w:rPr>
              <w:t xml:space="preserve">智能风控</w:t>
            </w:r>
          </w:p>
        </w:tc>
        <w:tc>
          <w:tcPr/>
          <w:p>
            <w:pPr>
              <w:pStyle w:val="Compact"/>
              <w:jc w:val="left"/>
            </w:pPr>
            <w:r>
              <w:t xml:space="preserve">组合安全垫动态测算与预警、投资风险智能监控</w:t>
            </w:r>
          </w:p>
        </w:tc>
      </w:tr>
    </w:tbl>
    <w:bookmarkEnd w:id="39"/>
    <w:bookmarkStart w:id="40" w:name="已计划落实的ai应用场景"/>
    <w:p>
      <w:pPr>
        <w:pStyle w:val="Heading3"/>
      </w:pPr>
      <w:r>
        <w:t xml:space="preserve">已计划落实的AI应用场景</w:t>
      </w:r>
    </w:p>
    <w:p>
      <w:pPr>
        <w:pStyle w:val="FirstParagraph"/>
      </w:pPr>
      <w:r>
        <w:t xml:space="preserve">目前处于规划研究阶段，计划在投研系统二期和受托管理系统三期建设完成后，结合”1+7”AI业务蓝图要求，逐步探索落地。</w:t>
      </w:r>
    </w:p>
    <w:p>
      <w:r>
        <w:pict>
          <v:rect style="width:0;height:1.5pt" o:hralign="center" o:hrstd="t" o:hr="t"/>
        </w:pict>
      </w:r>
    </w:p>
    <w:bookmarkEnd w:id="40"/>
    <w:bookmarkEnd w:id="41"/>
    <w:bookmarkStart w:id="45" w:name="五对标同业机构"/>
    <w:p>
      <w:pPr>
        <w:pStyle w:val="Heading2"/>
      </w:pPr>
      <w:r>
        <w:t xml:space="preserve">五、对标同业机构</w:t>
      </w:r>
    </w:p>
    <w:bookmarkStart w:id="42" w:name="对标机构清单"/>
    <w:p>
      <w:pPr>
        <w:pStyle w:val="Heading3"/>
      </w:pPr>
      <w:r>
        <w:t xml:space="preserve">1. 对标机构清单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机构类型</w:t>
            </w:r>
          </w:p>
        </w:tc>
        <w:tc>
          <w:tcPr/>
          <w:p>
            <w:pPr>
              <w:pStyle w:val="Compact"/>
              <w:jc w:val="left"/>
            </w:pPr>
            <w:r>
              <w:t xml:space="preserve">机构名称</w:t>
            </w:r>
          </w:p>
        </w:tc>
      </w:tr>
      <w:tr>
        <w:tc>
          <w:tcPr/>
          <w:p>
            <w:pPr>
              <w:pStyle w:val="Compact"/>
              <w:jc w:val="left"/>
            </w:pPr>
            <w:r>
              <w:t xml:space="preserve">国有行</w:t>
            </w:r>
          </w:p>
        </w:tc>
        <w:tc>
          <w:tcPr/>
          <w:p>
            <w:pPr>
              <w:pStyle w:val="Compact"/>
              <w:jc w:val="left"/>
            </w:pPr>
            <w:r>
              <w:t xml:space="preserve">工商银行、建设银行</w:t>
            </w:r>
          </w:p>
        </w:tc>
      </w:tr>
      <w:tr>
        <w:tc>
          <w:tcPr/>
          <w:p>
            <w:pPr>
              <w:pStyle w:val="Compact"/>
              <w:jc w:val="left"/>
            </w:pPr>
            <w:r>
              <w:t xml:space="preserve">股份行</w:t>
            </w:r>
          </w:p>
        </w:tc>
        <w:tc>
          <w:tcPr/>
          <w:p>
            <w:pPr>
              <w:pStyle w:val="Compact"/>
              <w:jc w:val="left"/>
            </w:pPr>
            <w:r>
              <w:t xml:space="preserve">招商银行</w:t>
            </w:r>
          </w:p>
        </w:tc>
      </w:tr>
      <w:tr>
        <w:tc>
          <w:tcPr/>
          <w:p>
            <w:pPr>
              <w:pStyle w:val="Compact"/>
              <w:jc w:val="left"/>
            </w:pPr>
            <w:r>
              <w:t xml:space="preserve">专业养老金公司</w:t>
            </w:r>
          </w:p>
        </w:tc>
        <w:tc>
          <w:tcPr/>
          <w:p>
            <w:pPr>
              <w:pStyle w:val="Compact"/>
              <w:jc w:val="left"/>
            </w:pPr>
            <w:r>
              <w:t xml:space="preserve">平安养老险、太平养老险</w:t>
            </w:r>
          </w:p>
        </w:tc>
      </w:tr>
    </w:tbl>
    <w:bookmarkEnd w:id="42"/>
    <w:bookmarkStart w:id="43" w:name="对标优势"/>
    <w:p>
      <w:pPr>
        <w:pStyle w:val="Heading3"/>
      </w:pPr>
      <w:r>
        <w:t xml:space="preserve">2. 对标优势</w:t>
      </w:r>
    </w:p>
    <w:p>
      <w:pPr>
        <w:pStyle w:val="FirstParagraph"/>
      </w:pPr>
      <w:r>
        <w:t xml:space="preserve">同业机构在以下方面具有领先优势：</w:t>
      </w:r>
      <w:r>
        <w:t xml:space="preserve"> </w:t>
      </w:r>
      <w:r>
        <w:t xml:space="preserve">- 投资经理评价体系完善，支持长周期考核机制</w:t>
      </w:r>
      <w:r>
        <w:t xml:space="preserve"> </w:t>
      </w:r>
      <w:r>
        <w:t xml:space="preserve">- 风险管理工具丰富，具备组合安全垫监控、风险预警等功能</w:t>
      </w:r>
      <w:r>
        <w:t xml:space="preserve"> </w:t>
      </w:r>
      <w:r>
        <w:t xml:space="preserve">- 资产配置模型先进，广泛应用均值方差优化、Black-Litterman模型等</w:t>
      </w:r>
      <w:r>
        <w:t xml:space="preserve"> </w:t>
      </w:r>
      <w:r>
        <w:t xml:space="preserve">- 数据整合能力强，能够整合内外部数据源实现多维度投研分析</w:t>
      </w:r>
    </w:p>
    <w:bookmarkEnd w:id="43"/>
    <w:bookmarkStart w:id="44" w:name="可借鉴经验"/>
    <w:p>
      <w:pPr>
        <w:pStyle w:val="Heading3"/>
      </w:pPr>
      <w:r>
        <w:t xml:space="preserve">3. 可借鉴经验</w:t>
      </w:r>
    </w:p>
    <w:p>
      <w:pPr>
        <w:pStyle w:val="FirstParagraph"/>
      </w:pPr>
      <w:r>
        <w:t xml:space="preserve">希望借鉴同业机构在投资经理评价、组合风险监控、资产配置优化等方面的功能设计和流程架构，提升本行年金投资管理的专业化水平。</w:t>
      </w:r>
    </w:p>
    <w:p>
      <w:r>
        <w:pict>
          <v:rect style="width:0;height:1.5pt" o:hralign="center" o:hrstd="t" o:hr="t"/>
        </w:pict>
      </w:r>
    </w:p>
    <w:bookmarkEnd w:id="44"/>
    <w:bookmarkEnd w:id="45"/>
    <w:bookmarkStart w:id="46" w:name="六2026年系统重要需求优先级排序"/>
    <w:p>
      <w:pPr>
        <w:pStyle w:val="Heading2"/>
      </w:pPr>
      <w:r>
        <w:t xml:space="preserve">六、2026年系统重要需求优先级排序</w:t>
      </w:r>
    </w:p>
    <w:tbl>
      <w:tblPr>
        <w:tblStyle w:val="Table"/>
        <w:tblW w:type="pct" w:w="5000"/>
        <w:tblLook w:firstRow="1" w:lastRow="0" w:firstColumn="0" w:lastColumn="0" w:noHBand="0" w:noVBand="0" w:val="0020"/>
        <w:jc w:val="start"/>
      </w:tblPr>
      <w:tblGrid>
        <w:gridCol w:w="1320"/>
        <w:gridCol w:w="1485"/>
        <w:gridCol w:w="1485"/>
        <w:gridCol w:w="1485"/>
        <w:gridCol w:w="2145"/>
      </w:tblGrid>
      <w:tr>
        <w:trPr>
          <w:tblHeader w:val="true"/>
        </w:trPr>
        <w:tc>
          <w:tcPr/>
          <w:p>
            <w:pPr>
              <w:pStyle w:val="Compact"/>
              <w:jc w:val="left"/>
            </w:pPr>
            <w:r>
              <w:t xml:space="preserve">优先级</w:t>
            </w:r>
          </w:p>
        </w:tc>
        <w:tc>
          <w:tcPr/>
          <w:p>
            <w:pPr>
              <w:pStyle w:val="Compact"/>
              <w:jc w:val="left"/>
            </w:pPr>
            <w:r>
              <w:t xml:space="preserve">需求类型</w:t>
            </w:r>
          </w:p>
        </w:tc>
        <w:tc>
          <w:tcPr/>
          <w:p>
            <w:pPr>
              <w:pStyle w:val="Compact"/>
              <w:jc w:val="left"/>
            </w:pPr>
            <w:r>
              <w:t xml:space="preserve">核心描述</w:t>
            </w:r>
          </w:p>
        </w:tc>
        <w:tc>
          <w:tcPr/>
          <w:p>
            <w:pPr>
              <w:pStyle w:val="Compact"/>
              <w:jc w:val="left"/>
            </w:pPr>
            <w:r>
              <w:t xml:space="preserve">落地系统</w:t>
            </w:r>
          </w:p>
        </w:tc>
        <w:tc>
          <w:tcPr/>
          <w:p>
            <w:pPr>
              <w:pStyle w:val="Compact"/>
              <w:jc w:val="left"/>
            </w:pPr>
            <w:r>
              <w:t xml:space="preserve">期望上线时间</w:t>
            </w:r>
          </w:p>
        </w:tc>
      </w:tr>
      <w:tr>
        <w:tc>
          <w:tcPr/>
          <w:p>
            <w:pPr>
              <w:pStyle w:val="Compact"/>
              <w:jc w:val="left"/>
            </w:pPr>
            <w:r>
              <w:t xml:space="preserve">1</w:t>
            </w:r>
          </w:p>
        </w:tc>
        <w:tc>
          <w:tcPr/>
          <w:p>
            <w:pPr>
              <w:pStyle w:val="Compact"/>
              <w:jc w:val="left"/>
            </w:pPr>
            <w:r>
              <w:t xml:space="preserve">功能增强</w:t>
            </w:r>
          </w:p>
        </w:tc>
        <w:tc>
          <w:tcPr/>
          <w:p>
            <w:pPr>
              <w:pStyle w:val="Compact"/>
              <w:jc w:val="left"/>
            </w:pPr>
            <w:r>
              <w:t xml:space="preserve">受托户核算模块建设</w:t>
            </w:r>
          </w:p>
        </w:tc>
        <w:tc>
          <w:tcPr/>
          <w:p>
            <w:pPr>
              <w:pStyle w:val="Compact"/>
              <w:jc w:val="left"/>
            </w:pPr>
            <w:r>
              <w:t xml:space="preserve">企业年金受托管理系统</w:t>
            </w:r>
          </w:p>
        </w:tc>
        <w:tc>
          <w:tcPr/>
          <w:p>
            <w:pPr>
              <w:pStyle w:val="Compact"/>
              <w:jc w:val="left"/>
            </w:pPr>
            <w:r>
              <w:t xml:space="preserve">2026年Q2</w:t>
            </w:r>
          </w:p>
        </w:tc>
      </w:tr>
      <w:tr>
        <w:tc>
          <w:tcPr/>
          <w:p>
            <w:pPr>
              <w:pStyle w:val="Compact"/>
              <w:jc w:val="left"/>
            </w:pPr>
            <w:r>
              <w:t xml:space="preserve">2</w:t>
            </w:r>
          </w:p>
        </w:tc>
        <w:tc>
          <w:tcPr/>
          <w:p>
            <w:pPr>
              <w:pStyle w:val="Compact"/>
              <w:jc w:val="left"/>
            </w:pPr>
            <w:r>
              <w:t xml:space="preserve">流程优化</w:t>
            </w:r>
          </w:p>
        </w:tc>
        <w:tc>
          <w:tcPr/>
          <w:p>
            <w:pPr>
              <w:pStyle w:val="Compact"/>
              <w:jc w:val="left"/>
            </w:pPr>
            <w:r>
              <w:t xml:space="preserve">人力接口转入/转移业务自动化</w:t>
            </w:r>
          </w:p>
        </w:tc>
        <w:tc>
          <w:tcPr/>
          <w:p>
            <w:pPr>
              <w:pStyle w:val="Compact"/>
              <w:jc w:val="left"/>
            </w:pPr>
            <w:r>
              <w:t xml:space="preserve">企业年金受托管理系统</w:t>
            </w:r>
          </w:p>
        </w:tc>
        <w:tc>
          <w:tcPr/>
          <w:p>
            <w:pPr>
              <w:pStyle w:val="Compact"/>
              <w:jc w:val="left"/>
            </w:pPr>
            <w:r>
              <w:t xml:space="preserve">2026年Q1</w:t>
            </w:r>
          </w:p>
        </w:tc>
      </w:tr>
      <w:tr>
        <w:tc>
          <w:tcPr/>
          <w:p>
            <w:pPr>
              <w:pStyle w:val="Compact"/>
              <w:jc w:val="left"/>
            </w:pPr>
            <w:r>
              <w:t xml:space="preserve">3</w:t>
            </w:r>
          </w:p>
        </w:tc>
        <w:tc>
          <w:tcPr/>
          <w:p>
            <w:pPr>
              <w:pStyle w:val="Compact"/>
              <w:jc w:val="left"/>
            </w:pPr>
            <w:r>
              <w:t xml:space="preserve">系统集成</w:t>
            </w:r>
          </w:p>
        </w:tc>
        <w:tc>
          <w:tcPr/>
          <w:p>
            <w:pPr>
              <w:pStyle w:val="Compact"/>
              <w:jc w:val="left"/>
            </w:pPr>
            <w:r>
              <w:t xml:space="preserve">电子档案系统对接</w:t>
            </w:r>
          </w:p>
        </w:tc>
        <w:tc>
          <w:tcPr/>
          <w:p>
            <w:pPr>
              <w:pStyle w:val="Compact"/>
              <w:jc w:val="left"/>
            </w:pPr>
            <w:r>
              <w:t xml:space="preserve">企业年金受托管理系统</w:t>
            </w:r>
          </w:p>
        </w:tc>
        <w:tc>
          <w:tcPr/>
          <w:p>
            <w:pPr>
              <w:pStyle w:val="Compact"/>
              <w:jc w:val="left"/>
            </w:pPr>
            <w:r>
              <w:t xml:space="preserve">2026年Q1</w:t>
            </w:r>
          </w:p>
        </w:tc>
      </w:tr>
      <w:tr>
        <w:tc>
          <w:tcPr/>
          <w:p>
            <w:pPr>
              <w:pStyle w:val="Compact"/>
              <w:jc w:val="left"/>
            </w:pPr>
            <w:r>
              <w:t xml:space="preserve">4</w:t>
            </w:r>
          </w:p>
        </w:tc>
        <w:tc>
          <w:tcPr/>
          <w:p>
            <w:pPr>
              <w:pStyle w:val="Compact"/>
              <w:jc w:val="left"/>
            </w:pPr>
            <w:r>
              <w:t xml:space="preserve">功能增强</w:t>
            </w:r>
          </w:p>
        </w:tc>
        <w:tc>
          <w:tcPr/>
          <w:p>
            <w:pPr>
              <w:pStyle w:val="Compact"/>
              <w:jc w:val="left"/>
            </w:pPr>
            <w:r>
              <w:t xml:space="preserve">投资经理评价体系</w:t>
            </w:r>
          </w:p>
        </w:tc>
        <w:tc>
          <w:tcPr/>
          <w:p>
            <w:pPr>
              <w:pStyle w:val="Compact"/>
              <w:jc w:val="left"/>
            </w:pPr>
            <w:r>
              <w:t xml:space="preserve">投研平台</w:t>
            </w:r>
          </w:p>
        </w:tc>
        <w:tc>
          <w:tcPr/>
          <w:p>
            <w:pPr>
              <w:pStyle w:val="Compact"/>
              <w:jc w:val="left"/>
            </w:pPr>
            <w:r>
              <w:t xml:space="preserve">2026年Q2</w:t>
            </w:r>
          </w:p>
        </w:tc>
      </w:tr>
      <w:tr>
        <w:tc>
          <w:tcPr/>
          <w:p>
            <w:pPr>
              <w:pStyle w:val="Compact"/>
              <w:jc w:val="left"/>
            </w:pPr>
            <w:r>
              <w:t xml:space="preserve">5</w:t>
            </w:r>
          </w:p>
        </w:tc>
        <w:tc>
          <w:tcPr/>
          <w:p>
            <w:pPr>
              <w:pStyle w:val="Compact"/>
              <w:jc w:val="left"/>
            </w:pPr>
            <w:r>
              <w:t xml:space="preserve">功能增强</w:t>
            </w:r>
          </w:p>
        </w:tc>
        <w:tc>
          <w:tcPr/>
          <w:p>
            <w:pPr>
              <w:pStyle w:val="Compact"/>
              <w:jc w:val="left"/>
            </w:pPr>
            <w:r>
              <w:t xml:space="preserve">组合安全垫测算</w:t>
            </w:r>
          </w:p>
        </w:tc>
        <w:tc>
          <w:tcPr/>
          <w:p>
            <w:pPr>
              <w:pStyle w:val="Compact"/>
              <w:jc w:val="left"/>
            </w:pPr>
            <w:r>
              <w:t xml:space="preserve">投研平台</w:t>
            </w:r>
          </w:p>
        </w:tc>
        <w:tc>
          <w:tcPr/>
          <w:p>
            <w:pPr>
              <w:pStyle w:val="Compact"/>
              <w:jc w:val="left"/>
            </w:pPr>
            <w:r>
              <w:t xml:space="preserve">2026年Q2</w:t>
            </w:r>
          </w:p>
        </w:tc>
      </w:tr>
      <w:tr>
        <w:tc>
          <w:tcPr/>
          <w:p>
            <w:pPr>
              <w:pStyle w:val="Compact"/>
              <w:jc w:val="left"/>
            </w:pPr>
            <w:r>
              <w:t xml:space="preserve">6</w:t>
            </w:r>
          </w:p>
        </w:tc>
        <w:tc>
          <w:tcPr/>
          <w:p>
            <w:pPr>
              <w:pStyle w:val="Compact"/>
              <w:jc w:val="left"/>
            </w:pPr>
            <w:r>
              <w:t xml:space="preserve">性能优化</w:t>
            </w:r>
          </w:p>
        </w:tc>
        <w:tc>
          <w:tcPr/>
          <w:p>
            <w:pPr>
              <w:pStyle w:val="Compact"/>
              <w:jc w:val="left"/>
            </w:pPr>
            <w:r>
              <w:t xml:space="preserve">大表慢SQL优化</w:t>
            </w:r>
          </w:p>
        </w:tc>
        <w:tc>
          <w:tcPr/>
          <w:p>
            <w:pPr>
              <w:pStyle w:val="Compact"/>
              <w:jc w:val="left"/>
            </w:pPr>
            <w:r>
              <w:t xml:space="preserve">企业年金受托管理系统</w:t>
            </w:r>
          </w:p>
        </w:tc>
        <w:tc>
          <w:tcPr/>
          <w:p>
            <w:pPr>
              <w:pStyle w:val="Compact"/>
              <w:jc w:val="left"/>
            </w:pPr>
            <w:r>
              <w:t xml:space="preserve">2026年Q1</w:t>
            </w:r>
          </w:p>
        </w:tc>
      </w:tr>
      <w:tr>
        <w:tc>
          <w:tcPr/>
          <w:p>
            <w:pPr>
              <w:pStyle w:val="Compact"/>
              <w:jc w:val="left"/>
            </w:pPr>
            <w:r>
              <w:t xml:space="preserve">7</w:t>
            </w:r>
          </w:p>
        </w:tc>
        <w:tc>
          <w:tcPr/>
          <w:p>
            <w:pPr>
              <w:pStyle w:val="Compact"/>
              <w:jc w:val="left"/>
            </w:pPr>
            <w:r>
              <w:t xml:space="preserve">功能增强</w:t>
            </w:r>
          </w:p>
        </w:tc>
        <w:tc>
          <w:tcPr/>
          <w:p>
            <w:pPr>
              <w:pStyle w:val="Compact"/>
              <w:jc w:val="left"/>
            </w:pPr>
            <w:r>
              <w:t xml:space="preserve">资产配置优化模型（均值方差）</w:t>
            </w:r>
          </w:p>
        </w:tc>
        <w:tc>
          <w:tcPr/>
          <w:p>
            <w:pPr>
              <w:pStyle w:val="Compact"/>
              <w:jc w:val="left"/>
            </w:pPr>
            <w:r>
              <w:t xml:space="preserve">投研平台</w:t>
            </w:r>
          </w:p>
        </w:tc>
        <w:tc>
          <w:tcPr/>
          <w:p>
            <w:pPr>
              <w:pStyle w:val="Compact"/>
              <w:jc w:val="left"/>
            </w:pPr>
            <w:r>
              <w:t xml:space="preserve">2026年Q2</w:t>
            </w:r>
          </w:p>
        </w:tc>
      </w:tr>
      <w:tr>
        <w:tc>
          <w:tcPr/>
          <w:p>
            <w:pPr>
              <w:pStyle w:val="Compact"/>
              <w:jc w:val="left"/>
            </w:pPr>
            <w:r>
              <w:t xml:space="preserve">8</w:t>
            </w:r>
          </w:p>
        </w:tc>
        <w:tc>
          <w:tcPr/>
          <w:p>
            <w:pPr>
              <w:pStyle w:val="Compact"/>
              <w:jc w:val="left"/>
            </w:pPr>
            <w:r>
              <w:t xml:space="preserve">功能增强</w:t>
            </w:r>
          </w:p>
        </w:tc>
        <w:tc>
          <w:tcPr/>
          <w:p>
            <w:pPr>
              <w:pStyle w:val="Compact"/>
              <w:jc w:val="left"/>
            </w:pPr>
            <w:r>
              <w:t xml:space="preserve">费用试算功能</w:t>
            </w:r>
          </w:p>
        </w:tc>
        <w:tc>
          <w:tcPr/>
          <w:p>
            <w:pPr>
              <w:pStyle w:val="Compact"/>
              <w:jc w:val="left"/>
            </w:pPr>
            <w:r>
              <w:t xml:space="preserve">企业年金受托管理系统</w:t>
            </w:r>
          </w:p>
        </w:tc>
        <w:tc>
          <w:tcPr/>
          <w:p>
            <w:pPr>
              <w:pStyle w:val="Compact"/>
              <w:jc w:val="left"/>
            </w:pPr>
            <w:r>
              <w:t xml:space="preserve">2026年Q2</w:t>
            </w:r>
          </w:p>
        </w:tc>
      </w:tr>
    </w:tbl>
    <w:p>
      <w:pPr>
        <w:pStyle w:val="BodyText"/>
      </w:pPr>
      <w:r>
        <w:rPr>
          <w:iCs/>
          <w:i/>
        </w:rPr>
        <w:t xml:space="preserve">注：最终优先级需结合资源情况进一步确认</w:t>
      </w:r>
    </w:p>
    <w:p>
      <w:r>
        <w:pict>
          <v:rect style="width:0;height:1.5pt" o:hralign="center" o:hrstd="t" o:hr="t"/>
        </w:pict>
      </w:r>
    </w:p>
    <w:bookmarkEnd w:id="46"/>
    <w:bookmarkStart w:id="50" w:name="七部分内容收集"/>
    <w:p>
      <w:pPr>
        <w:pStyle w:val="Heading2"/>
      </w:pPr>
      <w:r>
        <w:t xml:space="preserve">七、部分内容收集</w:t>
      </w:r>
    </w:p>
    <w:bookmarkStart w:id="47" w:name="手工台账和处理情况"/>
    <w:p>
      <w:pPr>
        <w:pStyle w:val="Heading3"/>
      </w:pPr>
      <w:r>
        <w:t xml:space="preserve">1. 手工台账和处理情况</w:t>
      </w:r>
    </w:p>
    <w:p>
      <w:pPr>
        <w:pStyle w:val="FirstParagraph"/>
      </w:pPr>
      <w:r>
        <w:rPr>
          <w:bCs/>
          <w:b/>
        </w:rPr>
        <w:t xml:space="preserve">日常运营受托业务记录台账</w:t>
      </w:r>
      <w:r>
        <w:t xml:space="preserve">：</w:t>
      </w:r>
      <w:r>
        <w:t xml:space="preserve"> </w:t>
      </w:r>
      <w:r>
        <w:t xml:space="preserve">- 支付申请、变更申请台账</w:t>
      </w:r>
      <w:r>
        <w:t xml:space="preserve"> </w:t>
      </w:r>
      <w:r>
        <w:t xml:space="preserve">- 缴费业务台账</w:t>
      </w:r>
      <w:r>
        <w:t xml:space="preserve"> </w:t>
      </w:r>
      <w:r>
        <w:t xml:space="preserve">- 转入业务台账</w:t>
      </w:r>
      <w:r>
        <w:t xml:space="preserve"> </w:t>
      </w:r>
      <w:r>
        <w:t xml:space="preserve">- 投资划款指令台账</w:t>
      </w:r>
    </w:p>
    <w:p>
      <w:pPr>
        <w:pStyle w:val="BodyText"/>
      </w:pPr>
      <w:r>
        <w:rPr>
          <w:bCs/>
          <w:b/>
        </w:rPr>
        <w:t xml:space="preserve">受托投资管理相关台账</w:t>
      </w:r>
      <w:r>
        <w:t xml:space="preserve">：</w:t>
      </w:r>
      <w:r>
        <w:t xml:space="preserve"> </w:t>
      </w:r>
      <w:r>
        <w:t xml:space="preserve">- 年金组合费用台账</w:t>
      </w:r>
      <w:r>
        <w:t xml:space="preserve"> </w:t>
      </w:r>
      <w:r>
        <w:t xml:space="preserve">- 年金组合实际收益率台账</w:t>
      </w:r>
      <w:r>
        <w:t xml:space="preserve"> </w:t>
      </w:r>
      <w:r>
        <w:t xml:space="preserve">- 非标资产台账</w:t>
      </w:r>
      <w:r>
        <w:t xml:space="preserve"> </w:t>
      </w:r>
      <w:r>
        <w:t xml:space="preserve">- 风险管理台账</w:t>
      </w:r>
      <w:r>
        <w:t xml:space="preserve"> </w:t>
      </w:r>
      <w:r>
        <w:t xml:space="preserve">- 周度/月度/季度受托投资材料数据台账</w:t>
      </w:r>
    </w:p>
    <w:p>
      <w:pPr>
        <w:pStyle w:val="BodyText"/>
      </w:pPr>
      <w:r>
        <w:rPr>
          <w:bCs/>
          <w:b/>
        </w:rPr>
        <w:t xml:space="preserve">系统改造需求</w:t>
      </w:r>
      <w:r>
        <w:t xml:space="preserve">：上述台账中，除周度/月度/季度投资材料数据台账涉及复杂数据分析外，其余台账均可在受托管理系统三期和投研系统二期建设后实现线上化。</w:t>
      </w:r>
    </w:p>
    <w:bookmarkEnd w:id="47"/>
    <w:bookmarkStart w:id="48" w:name="移动端审批需求"/>
    <w:p>
      <w:pPr>
        <w:pStyle w:val="Heading3"/>
      </w:pPr>
      <w:r>
        <w:t xml:space="preserve">2. 移动端审批需求</w:t>
      </w:r>
    </w:p>
    <w:p>
      <w:pPr>
        <w:numPr>
          <w:ilvl w:val="0"/>
          <w:numId w:val="1002"/>
        </w:numPr>
        <w:pStyle w:val="Compact"/>
      </w:pPr>
      <w:r>
        <w:t xml:space="preserve">员工个人权益查询</w:t>
      </w:r>
    </w:p>
    <w:p>
      <w:pPr>
        <w:numPr>
          <w:ilvl w:val="0"/>
          <w:numId w:val="1002"/>
        </w:numPr>
        <w:pStyle w:val="Compact"/>
      </w:pPr>
      <w:r>
        <w:t xml:space="preserve">业务申请提交（支付申请、转移申请等）</w:t>
      </w:r>
    </w:p>
    <w:p>
      <w:pPr>
        <w:numPr>
          <w:ilvl w:val="0"/>
          <w:numId w:val="1002"/>
        </w:numPr>
        <w:pStyle w:val="Compact"/>
      </w:pPr>
      <w:r>
        <w:t xml:space="preserve">审批流程待办处理</w:t>
      </w:r>
    </w:p>
    <w:bookmarkEnd w:id="48"/>
    <w:bookmarkStart w:id="49" w:name="数据需求"/>
    <w:p>
      <w:pPr>
        <w:pStyle w:val="Heading3"/>
      </w:pPr>
      <w:r>
        <w:t xml:space="preserve">3. 数据需求</w:t>
      </w:r>
    </w:p>
    <w:p>
      <w:pPr>
        <w:pStyle w:val="FirstParagraph"/>
      </w:pPr>
      <w:r>
        <w:rPr>
          <w:bCs/>
          <w:b/>
        </w:rPr>
        <w:t xml:space="preserve">现有数据满足情况</w:t>
      </w:r>
      <w:r>
        <w:t xml:space="preserve">：</w:t>
      </w:r>
      <w:r>
        <w:t xml:space="preserve"> </w:t>
      </w:r>
      <w:r>
        <w:t xml:space="preserve">- 行内人力资源数据：基本满足，需扩展转入、转移等业务的数据对接</w:t>
      </w:r>
      <w:r>
        <w:t xml:space="preserve"> </w:t>
      </w:r>
      <w:r>
        <w:t xml:space="preserve">- 投资管理数据：基本满足，需引入更多市场数据</w:t>
      </w:r>
    </w:p>
    <w:p>
      <w:pPr>
        <w:pStyle w:val="BodyText"/>
      </w:pPr>
      <w:r>
        <w:rPr>
          <w:bCs/>
          <w:b/>
        </w:rPr>
        <w:t xml:space="preserve">未满足情况</w:t>
      </w:r>
      <w:r>
        <w:t xml:space="preserve">：</w:t>
      </w:r>
      <w:r>
        <w:t xml:space="preserve"> </w:t>
      </w:r>
      <w:r>
        <w:t xml:space="preserve">- 外部市场行情数据需进一步丰富</w:t>
      </w:r>
      <w:r>
        <w:t xml:space="preserve"> </w:t>
      </w:r>
      <w:r>
        <w:t xml:space="preserve">- 投研和信评数据需加强整合</w:t>
      </w:r>
    </w:p>
    <w:p>
      <w:r>
        <w:pict>
          <v:rect style="width:0;height:1.5pt" o:hralign="center" o:hrstd="t" o:hr="t"/>
        </w:pict>
      </w:r>
    </w:p>
    <w:p>
      <w:pPr>
        <w:pStyle w:val="FirstParagraph"/>
      </w:pPr>
      <w:r>
        <w:rPr>
          <w:iCs/>
          <w:i/>
        </w:rPr>
        <w:t xml:space="preserve">以上内容为初稿，请审阅并提出修改意见。</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2026-03-04T03:12:54Z</dcterms:created>
  <dcterms:modified xsi:type="dcterms:W3CDTF">2026-03-04T03:12:54Z</dcterms:modified>
</cp:coreProperties>
</file>

<file path=docProps/custom.xml><?xml version="1.0" encoding="utf-8"?>
<Properties xmlns="http://schemas.openxmlformats.org/officeDocument/2006/custom-properties" xmlns:vt="http://schemas.openxmlformats.org/officeDocument/2006/docPropsVTypes"/>
</file>