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pPr>
      <w:r>
        <w:rPr>
          <w:sz w:val="36"/>
          <w:szCs w:val="36"/>
        </w:rPr>
        <w:t xml:space="preserve"/>
      </w:r>
    </w:p>
    <w:p>
      <w:pPr>
        <w:spacing w:after="40" w:before="60"/>
        <w:jc w:val="center"/>
      </w:pPr>
      <w:r>
        <w:rPr>
          <w:rFonts w:ascii="Arial" w:cs="Arial" w:eastAsia="Arial" w:hAnsi="Arial"/>
          <w:b/>
          <w:bCs/>
          <w:color w:val="1F3864"/>
          <w:sz w:val="22"/>
          <w:szCs w:val="22"/>
        </w:rPr>
        <w:t xml:space="preserve">UNIVERSITAT OBERTA DE CATALUNYA (UOC)</w:t>
      </w:r>
    </w:p>
    <w:p>
      <w:pPr>
        <w:spacing w:after="40" w:before="40"/>
        <w:jc w:val="center"/>
      </w:pPr>
      <w:r>
        <w:rPr>
          <w:rFonts w:ascii="Arial" w:cs="Arial" w:eastAsia="Arial" w:hAnsi="Arial"/>
          <w:b/>
          <w:bCs/>
          <w:color w:val="1F3864"/>
          <w:sz w:val="22"/>
          <w:szCs w:val="22"/>
        </w:rPr>
        <w:t xml:space="preserve">UNIVERSITAT DE BARCELONA (UB)</w:t>
      </w:r>
    </w:p>
    <w:p>
      <w:pPr>
        <w:spacing w:after="400" w:before="40"/>
        <w:jc w:val="center"/>
      </w:pPr>
      <w:r>
        <w:rPr>
          <w:rFonts w:ascii="Arial" w:cs="Arial" w:eastAsia="Arial" w:hAnsi="Arial"/>
          <w:i/>
          <w:iCs/>
          <w:color w:val="444444"/>
          <w:sz w:val="21"/>
          <w:szCs w:val="21"/>
        </w:rPr>
        <w:t xml:space="preserve">Màster Universitari en Bioinformàtica i Bioestadística</w:t>
      </w:r>
    </w:p>
    <w:p>
      <w:pPr>
        <w:pBdr>
          <w:bottom w:val="single" w:color="2E5FA3" w:sz="12" w:space="1"/>
        </w:pBdr>
        <w:spacing w:after="400" w:before="60"/>
      </w:pPr>
      <w:r>
        <w:t xml:space="preserve"/>
      </w:r>
    </w:p>
    <w:p>
      <w:pPr>
        <w:spacing w:after="120" w:before="200"/>
        <w:jc w:val="center"/>
      </w:pPr>
      <w:r>
        <w:rPr>
          <w:rFonts w:ascii="Arial" w:cs="Arial" w:eastAsia="Arial" w:hAnsi="Arial"/>
          <w:b/>
          <w:bCs/>
          <w:color w:val="1F3864"/>
          <w:sz w:val="28"/>
          <w:szCs w:val="28"/>
        </w:rPr>
        <w:t xml:space="preserve">PROPOSTA DE TREBALL FINAL DE MÀSTER</w:t>
      </w:r>
    </w:p>
    <w:p>
      <w:pPr>
        <w:spacing w:after="400" w:before="60"/>
        <w:jc w:val="center"/>
      </w:pPr>
      <w:r>
        <w:rPr>
          <w:rFonts w:ascii="Arial" w:cs="Arial" w:eastAsia="Arial" w:hAnsi="Arial"/>
          <w:i/>
          <w:iCs/>
          <w:color w:val="555555"/>
          <w:sz w:val="22"/>
          <w:szCs w:val="22"/>
        </w:rPr>
        <w:t xml:space="preserve">Convocatoria: Semestre 2 · 2025-2026</w:t>
      </w:r>
    </w:p>
    <w:p>
      <w:pPr>
        <w:spacing w:after="200" w:before="200"/>
        <w:jc w:val="center"/>
      </w:pPr>
      <w:r>
        <w:rPr>
          <w:rFonts w:ascii="Arial" w:cs="Arial" w:eastAsia="Arial" w:hAnsi="Arial"/>
          <w:b/>
          <w:bCs/>
          <w:color w:val="2E5FA3"/>
          <w:sz w:val="40"/>
          <w:szCs w:val="40"/>
        </w:rPr>
        <w:t xml:space="preserve">SexOmics-Spatial</w:t>
      </w:r>
    </w:p>
    <w:p>
      <w:pPr>
        <w:spacing w:after="500" w:before="120"/>
        <w:jc w:val="center"/>
      </w:pPr>
      <w:r>
        <w:rPr>
          <w:rFonts w:ascii="Arial" w:cs="Arial" w:eastAsia="Arial" w:hAnsi="Arial"/>
          <w:i/>
          <w:iCs/>
          <w:color w:val="1A1A2E"/>
          <w:sz w:val="24"/>
          <w:szCs w:val="24"/>
        </w:rPr>
        <w:t xml:space="preserve">Modelado Geométrico Condicional mediante GNN y mVAE para la Identificación de Biomarcadores Espaciales Específicos de Sexo en la Placa Aterosclerótica</w:t>
      </w:r>
    </w:p>
    <w:p>
      <w:pPr>
        <w:pBdr>
          <w:bottom w:val="single" w:color="2E5FA3" w:sz="12" w:space="1"/>
        </w:pBdr>
        <w:spacing w:after="300" w:before="60"/>
      </w:pPr>
      <w:r>
        <w:t xml:space="preserve"/>
      </w:r>
    </w:p>
    <w:p>
      <w:pPr>
        <w:spacing w:after="80" w:before="80"/>
        <w:jc w:val="center"/>
      </w:pPr>
      <w:r>
        <w:rPr>
          <w:rFonts w:ascii="Arial" w:cs="Arial" w:eastAsia="Arial" w:hAnsi="Arial"/>
          <w:b/>
          <w:bCs/>
          <w:color w:val="1F3864"/>
          <w:sz w:val="22"/>
          <w:szCs w:val="22"/>
        </w:rPr>
        <w:t xml:space="preserve">Autor:  </w:t>
      </w:r>
      <w:r>
        <w:rPr>
          <w:rFonts w:ascii="Arial" w:cs="Arial" w:eastAsia="Arial" w:hAnsi="Arial"/>
          <w:color w:val="1A1A2E"/>
          <w:sz w:val="22"/>
          <w:szCs w:val="22"/>
        </w:rPr>
        <w:t xml:space="preserve">Marco Russo</w:t>
      </w:r>
    </w:p>
    <w:p>
      <w:pPr>
        <w:spacing w:after="80" w:before="80"/>
        <w:jc w:val="center"/>
      </w:pPr>
      <w:r>
        <w:rPr>
          <w:rFonts w:ascii="Arial" w:cs="Arial" w:eastAsia="Arial" w:hAnsi="Arial"/>
          <w:b/>
          <w:bCs/>
          <w:color w:val="1F3864"/>
          <w:sz w:val="22"/>
          <w:szCs w:val="22"/>
        </w:rPr>
        <w:t xml:space="preserve">Área:  </w:t>
      </w:r>
      <w:r>
        <w:rPr>
          <w:rFonts w:ascii="Arial" w:cs="Arial" w:eastAsia="Arial" w:hAnsi="Arial"/>
          <w:color w:val="1A1A2E"/>
          <w:sz w:val="22"/>
          <w:szCs w:val="22"/>
        </w:rPr>
        <w:t xml:space="preserve">Aprendizaje Profundo Geométrico / Medicina de Precisión Cardiovascular</w:t>
      </w:r>
    </w:p>
    <w:p>
      <w:pPr>
        <w:spacing w:after="80" w:before="80"/>
        <w:jc w:val="center"/>
      </w:pPr>
      <w:r>
        <w:rPr>
          <w:rFonts w:ascii="Arial" w:cs="Arial" w:eastAsia="Arial" w:hAnsi="Arial"/>
          <w:b/>
          <w:bCs/>
          <w:color w:val="1F3864"/>
          <w:sz w:val="22"/>
          <w:szCs w:val="22"/>
        </w:rPr>
        <w:t xml:space="preserve">Convocatoria:  </w:t>
      </w:r>
      <w:r>
        <w:rPr>
          <w:rFonts w:ascii="Arial" w:cs="Arial" w:eastAsia="Arial" w:hAnsi="Arial"/>
          <w:color w:val="1A1A2E"/>
          <w:sz w:val="22"/>
          <w:szCs w:val="22"/>
        </w:rPr>
        <w:t xml:space="preserve">Semestre 2 · 2025-2026</w:t>
      </w:r>
    </w:p>
    <w:p>
      <w:pPr>
        <w:spacing w:after="80" w:before="80"/>
        <w:jc w:val="center"/>
      </w:pPr>
      <w:r>
        <w:rPr>
          <w:rFonts w:ascii="Arial" w:cs="Arial" w:eastAsia="Arial" w:hAnsi="Arial"/>
          <w:b/>
          <w:bCs/>
          <w:color w:val="1F3864"/>
          <w:sz w:val="22"/>
          <w:szCs w:val="22"/>
        </w:rPr>
        <w:t xml:space="preserve">Supervisor:  </w:t>
      </w:r>
      <w:r>
        <w:rPr>
          <w:rFonts w:ascii="Arial" w:cs="Arial" w:eastAsia="Arial" w:hAnsi="Arial"/>
          <w:color w:val="1A1A2E"/>
          <w:sz w:val="22"/>
          <w:szCs w:val="22"/>
        </w:rPr>
        <w:t xml:space="preserve">[Nombre del tutor asignado]</w:t>
      </w:r>
    </w:p>
    <w:p>
      <w:r>
        <w:br w:type="page"/>
      </w:r>
    </w:p>
    <w:p>
      <w:pPr>
        <w:pBdr>
          <w:left w:val="single" w:color="2E5FA3" w:sz="8" w:space="4"/>
        </w:pBdr>
        <w:shd w:fill="F2F5F9" w:val="clear"/>
        <w:spacing w:after="120" w:before="120"/>
        <w:ind w:left="360" w:right="360"/>
      </w:pPr>
      <w:r>
        <w:rPr>
          <w:rFonts w:ascii="Arial" w:cs="Arial" w:eastAsia="Arial" w:hAnsi="Arial"/>
          <w:i/>
          <w:iCs/>
          <w:color w:val="555555"/>
          <w:sz w:val="20"/>
          <w:szCs w:val="20"/>
        </w:rPr>
        <w:t xml:space="preserve">Nota metodológica — Este documento incorpora las mejoras solicitadas por el supervisor en respuesta al correo de propuesta preliminar: (1) pregunta de investigación verificable y acotada; (2) estado del arte con 20 referencias reales 2022-2026; (3) justificación de la contribución diferencial frente a trabajos publicados; (4) adaptación al formato oficial de Informe Final UOC; (5) clarificación de aspectos técnicos y ético-legales prioritarios.</w:t>
      </w:r>
    </w:p>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Resumen</w:t>
      </w:r>
    </w:p>
    <w:p>
      <w:pPr>
        <w:spacing w:after="80" w:before="80"/>
        <w:jc w:val="both"/>
      </w:pPr>
      <w:r>
        <w:rPr>
          <w:rFonts w:ascii="Arial" w:cs="Arial" w:eastAsia="Arial" w:hAnsi="Arial"/>
          <w:color w:val="1A1A2E"/>
          <w:sz w:val="22"/>
          <w:szCs w:val="22"/>
        </w:rPr>
        <w:t xml:space="preserve">La enfermedad cardiovascular (ECV) es la primera causa de muerte a escala mundial, pero las mujeres han estado históricamente infrarrepresentadas en la investigación y los ensayos clínicos. Esta propuesta desarrolla un pipeline bioinformático basado en Geometric Deep Learning —concretamente una arquitectura híbrida que acopla una Graph Neural Network con mecanismo de atención (GAT) y un Autoencoder Variacional Multimodal condicional (C-mVAE)— para mapear el microentorno celular de la placa aterosclerótica humana a resolución espacial, condicionando el espacio latente por la variable sexo biológico.</w:t>
      </w:r>
    </w:p>
    <w:p>
      <w:pPr>
        <w:spacing w:after="60" w:before="60"/>
      </w:pPr>
      <w:r>
        <w:t xml:space="preserve"/>
      </w:r>
    </w:p>
    <w:p>
      <w:pPr>
        <w:spacing w:after="80" w:before="80"/>
        <w:jc w:val="both"/>
      </w:pPr>
      <w:r>
        <w:rPr>
          <w:rFonts w:ascii="Arial" w:cs="Arial" w:eastAsia="Arial" w:hAnsi="Arial"/>
          <w:color w:val="1A1A2E"/>
          <w:sz w:val="22"/>
          <w:szCs w:val="22"/>
        </w:rPr>
        <w:t xml:space="preserve">Se aplicará sobre datos públicos de transcriptómica espacial (GEO: GSE233025; Human Cell Atlas Heart) estratificados por sexo, con explicabilidad espacial (GNNExplainer + SHAP vía Captum) para extraer biomarcadores específicos de tejido femenino. El resultado es el primer benchmark que aplica GNN sex-stratified + XAI a ST de placa aterosclerótica, con potencial de publicación como artículo metodológico en revistas de primer cuartil (Briefings in Bioinformatics, Genome Biology, Circulation Research).</w:t>
      </w:r>
    </w:p>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1. Introducción — Antecedentes, motivación y contexto</w:t>
      </w:r>
    </w:p>
    <w:p>
      <w:pPr>
        <w:pStyle w:val="Heading2"/>
        <w:pBdr>
          <w:bottom w:val="single" w:color="2E5FA3" w:sz="4" w:space="1"/>
        </w:pBdr>
        <w:spacing w:after="140" w:before="280"/>
      </w:pPr>
      <w:r>
        <w:rPr>
          <w:rFonts w:ascii="Arial" w:cs="Arial" w:eastAsia="Arial" w:hAnsi="Arial"/>
          <w:b/>
          <w:bCs/>
          <w:color w:val="1F3864"/>
          <w:sz w:val="24"/>
          <w:szCs w:val="24"/>
        </w:rPr>
        <w:t xml:space="preserve">1.1 Contexto clínico: la brecha de sexo en la investigación cardiovascular</w:t>
      </w:r>
    </w:p>
    <w:p>
      <w:pPr>
        <w:spacing w:after="80" w:before="80"/>
        <w:jc w:val="both"/>
      </w:pPr>
      <w:r>
        <w:rPr>
          <w:rFonts w:ascii="Arial" w:cs="Arial" w:eastAsia="Arial" w:hAnsi="Arial"/>
          <w:color w:val="1A1A2E"/>
          <w:sz w:val="22"/>
          <w:szCs w:val="22"/>
        </w:rPr>
        <w:t xml:space="preserve">La ECV causa ~18 millones de muertes anuales (OMS, 2023). A pesar de su prevalencia en mujeres, estas presentan mecanismos fisiopatológicos distintos: erosión superficial e inestabilidad de la capa fibrosa (frente a la ruptura de placa en hombres), síntomas atípicos y peores resultados post-infarto cuando se tratan con modelos calibrados sobre hombres.</w:t>
      </w:r>
    </w:p>
    <w:p>
      <w:pPr>
        <w:spacing w:after="60" w:before="60"/>
      </w:pPr>
      <w:r>
        <w:t xml:space="preserve"/>
      </w:r>
    </w:p>
    <w:p>
      <w:pPr>
        <w:spacing w:after="80" w:before="80"/>
        <w:jc w:val="both"/>
      </w:pPr>
      <w:r>
        <w:rPr>
          <w:rFonts w:ascii="Arial" w:cs="Arial" w:eastAsia="Arial" w:hAnsi="Arial"/>
          <w:color w:val="1A1A2E"/>
          <w:sz w:val="22"/>
          <w:szCs w:val="22"/>
        </w:rPr>
        <w:t xml:space="preserve">Una revisión sistemática publicada en Atherosclerosis (2023) concluye explícitamente que los estudios futuros requerirán mayores tasas de inclusión de mujeres y análisis multi-ómicos sex-stratificados bien definidos [Ref. 13]. Esta ausencia define el vacío científico central que esta propuesta aborda.</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1.2 Contexto tecnológico: la transcriptómica espacial llega al ámbito cardiovascular</w:t>
      </w:r>
    </w:p>
    <w:p>
      <w:pPr>
        <w:spacing w:after="80" w:before="80"/>
        <w:jc w:val="both"/>
      </w:pPr>
      <w:r>
        <w:rPr>
          <w:rFonts w:ascii="Arial" w:cs="Arial" w:eastAsia="Arial" w:hAnsi="Arial"/>
          <w:color w:val="1A1A2E"/>
          <w:sz w:val="22"/>
          <w:szCs w:val="22"/>
        </w:rPr>
        <w:t xml:space="preserve">La transcriptómica espacial (ST) preserva las coordenadas anatómicas de cada medida de expresión génica, permitiendo preguntar no solo qué genes se expresan, sino dónde y con qué células vecinas interaccionan. Su aplicación en cardiovascular es mucho más limitada que en oncología:</w:t>
      </w:r>
    </w:p>
    <w:p>
      <w:pPr>
        <w:spacing w:after="60" w:before="6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Kanemaru et al. (Nature, 2023) [Ref. 4]: </w:t>
      </w:r>
      <w:r>
        <w:rPr>
          <w:rFonts w:ascii="Arial" w:cs="Arial" w:eastAsia="Arial" w:hAnsi="Arial"/>
          <w:color w:val="1A1A2E"/>
          <w:sz w:val="22"/>
          <w:szCs w:val="22"/>
        </w:rPr>
        <w:t xml:space="preserve">primer mapa multiómico espacial del corazón humano sano.</w:t>
      </w:r>
    </w:p>
    <w:p>
      <w:pPr>
        <w:pStyle w:val="ListParagraph"/>
        <w:numPr>
          <w:ilvl w:val="0"/>
          <w:numId w:val="2"/>
        </w:numPr>
        <w:spacing w:after="60" w:before="60"/>
      </w:pPr>
      <w:r>
        <w:rPr>
          <w:rFonts w:ascii="Arial" w:cs="Arial" w:eastAsia="Arial" w:hAnsi="Arial"/>
          <w:b/>
          <w:bCs/>
          <w:color w:val="1A1A2E"/>
          <w:sz w:val="22"/>
          <w:szCs w:val="22"/>
        </w:rPr>
        <w:t xml:space="preserve">Campos et al. (EMBO Mol. Med., 2025) [Ref. 2]: </w:t>
      </w:r>
      <w:r>
        <w:rPr>
          <w:rFonts w:ascii="Arial" w:cs="Arial" w:eastAsia="Arial" w:hAnsi="Arial"/>
          <w:color w:val="1A1A2E"/>
          <w:sz w:val="22"/>
          <w:szCs w:val="22"/>
        </w:rPr>
        <w:t xml:space="preserve">ST en arterias coronarias con aterosclerosis (GeoMx/CosMx). Incluye metadatos de sexo. Dataset GSE233025.</w:t>
      </w:r>
    </w:p>
    <w:p>
      <w:pPr>
        <w:pStyle w:val="ListParagraph"/>
        <w:numPr>
          <w:ilvl w:val="0"/>
          <w:numId w:val="2"/>
        </w:numPr>
        <w:spacing w:after="60" w:before="60"/>
      </w:pPr>
      <w:r>
        <w:rPr>
          <w:rFonts w:ascii="Arial" w:cs="Arial" w:eastAsia="Arial" w:hAnsi="Arial"/>
          <w:b/>
          <w:bCs/>
          <w:color w:val="1A1A2E"/>
          <w:sz w:val="22"/>
          <w:szCs w:val="22"/>
        </w:rPr>
        <w:t xml:space="preserve">Slenders et al. (Nat. Commun., 2024) [Ref. 3]: </w:t>
      </w:r>
      <w:r>
        <w:rPr>
          <w:rFonts w:ascii="Arial" w:cs="Arial" w:eastAsia="Arial" w:hAnsi="Arial"/>
          <w:color w:val="1A1A2E"/>
          <w:sz w:val="22"/>
          <w:szCs w:val="22"/>
        </w:rPr>
        <w:t xml:space="preserve">integración ST + scRNA-seq en placas carotídeas. Usa clustering convencional (Leiden/Seurat), sin GNN ni estratificación de sexo.</w:t>
      </w:r>
    </w:p>
    <w:p>
      <w:pPr>
        <w:pStyle w:val="ListParagraph"/>
        <w:numPr>
          <w:ilvl w:val="0"/>
          <w:numId w:val="2"/>
        </w:numPr>
        <w:spacing w:after="60" w:before="60"/>
      </w:pPr>
      <w:r>
        <w:rPr>
          <w:rFonts w:ascii="Arial" w:cs="Arial" w:eastAsia="Arial" w:hAnsi="Arial"/>
          <w:b/>
          <w:bCs/>
          <w:color w:val="1A1A2E"/>
          <w:sz w:val="22"/>
          <w:szCs w:val="22"/>
        </w:rPr>
        <w:t xml:space="preserve">Sukhavasi et al. (Nat. Cardiovasc. Res., 2025) [Ref. 1]: </w:t>
      </w:r>
      <w:r>
        <w:rPr>
          <w:rFonts w:ascii="Arial" w:cs="Arial" w:eastAsia="Arial" w:hAnsi="Arial"/>
          <w:color w:val="1A1A2E"/>
          <w:sz w:val="22"/>
          <w:szCs w:val="22"/>
        </w:rPr>
        <w:t xml:space="preserve">scRNA-seq de placa carotídea por sexo. Identifica redes reguladoras sesgadas por sexo. Sin resolución espacial.</w:t>
      </w:r>
    </w:p>
    <w:p>
      <w:pPr>
        <w:spacing w:after="60" w:before="60"/>
      </w:pPr>
      <w:r>
        <w:t xml:space="preserve"/>
      </w:r>
    </w:p>
    <w:p>
      <w:pPr>
        <w:pBdr>
          <w:left w:val="single" w:color="2E5FA3" w:sz="8" w:space="4"/>
        </w:pBdr>
        <w:shd w:fill="F2F5F9" w:val="clear"/>
        <w:spacing w:after="120" w:before="120"/>
        <w:ind w:left="360" w:right="360"/>
      </w:pPr>
      <w:r>
        <w:rPr>
          <w:rFonts w:ascii="Arial" w:cs="Arial" w:eastAsia="Arial" w:hAnsi="Arial"/>
          <w:i/>
          <w:iCs/>
          <w:color w:val="555555"/>
          <w:sz w:val="20"/>
          <w:szCs w:val="20"/>
        </w:rPr>
        <w:t xml:space="preserve">Conclusión del análisis del estado del arte: Ninguno de los trabajos publicados hasta la fecha combina (1) transcriptómica espacial cardiovascular + (2) arquitectura GNN + (3) estratificación por sexo como variable estructural del modelo. Este es el gap que cubre el TFM.</w:t>
      </w:r>
    </w:p>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2. Objetivos y problemática</w:t>
      </w:r>
    </w:p>
    <w:p>
      <w:pPr>
        <w:pStyle w:val="Heading2"/>
        <w:pBdr>
          <w:bottom w:val="single" w:color="2E5FA3" w:sz="4" w:space="1"/>
        </w:pBdr>
        <w:spacing w:after="140" w:before="280"/>
      </w:pPr>
      <w:r>
        <w:rPr>
          <w:rFonts w:ascii="Arial" w:cs="Arial" w:eastAsia="Arial" w:hAnsi="Arial"/>
          <w:b/>
          <w:bCs/>
          <w:color w:val="1F3864"/>
          <w:sz w:val="24"/>
          <w:szCs w:val="24"/>
        </w:rPr>
        <w:t xml:space="preserve">2.1 Pregunta de investigación</w:t>
      </w:r>
    </w:p>
    <w:p>
      <w:pPr>
        <w:pBdr>
          <w:left w:val="single" w:color="2E5FA3" w:sz="8" w:space="4"/>
        </w:pBdr>
        <w:shd w:fill="F2F5F9" w:val="clear"/>
        <w:spacing w:after="120" w:before="120"/>
        <w:ind w:left="360" w:right="360"/>
      </w:pPr>
      <w:r>
        <w:rPr>
          <w:rFonts w:ascii="Arial" w:cs="Arial" w:eastAsia="Arial" w:hAnsi="Arial"/>
          <w:i/>
          <w:iCs/>
          <w:color w:val="555555"/>
          <w:sz w:val="20"/>
          <w:szCs w:val="20"/>
        </w:rPr>
        <w:t xml:space="preserve">Pregunta principal: ¿Existen nichos celulares espacialmente definidos en la placa aterosclerótica humana con programas transcripcionales específicos de sexo, identificables mediante una GNN sex-stratified con XAI aplicada sobre datos de transcriptómica espacial pública?</w:t>
      </w:r>
    </w:p>
    <w:p>
      <w:pPr>
        <w:spacing w:after="60" w:before="60"/>
      </w:pPr>
      <w:r>
        <w:t xml:space="preserve"/>
      </w:r>
    </w:p>
    <w:p>
      <w:pPr>
        <w:spacing w:after="80" w:before="80"/>
        <w:jc w:val="both"/>
      </w:pPr>
      <w:r>
        <w:rPr>
          <w:rFonts w:ascii="Arial" w:cs="Arial" w:eastAsia="Arial" w:hAnsi="Arial"/>
          <w:color w:val="1A1A2E"/>
          <w:sz w:val="22"/>
          <w:szCs w:val="22"/>
        </w:rPr>
        <w:t xml:space="preserve">Preguntas secundarias:</w:t>
      </w:r>
    </w:p>
    <w:p>
      <w:pPr>
        <w:pStyle w:val="ListParagraph"/>
        <w:numPr>
          <w:ilvl w:val="0"/>
          <w:numId w:val="2"/>
        </w:numPr>
        <w:spacing w:after="60" w:before="60"/>
      </w:pPr>
      <w:r>
        <w:rPr>
          <w:rFonts w:ascii="Arial" w:cs="Arial" w:eastAsia="Arial" w:hAnsi="Arial"/>
          <w:color w:val="1A1A2E"/>
          <w:sz w:val="22"/>
          <w:szCs w:val="22"/>
        </w:rPr>
        <w:t xml:space="preserve">P1: ¿Consigue la arquitectura C-mVAE + GAT una delimitación de los dominios tisulares de la placa con ARI superior a los algoritmos no espaciales (STAGATE, SpaGCN, BayesSpace)?</w:t>
      </w:r>
    </w:p>
    <w:p>
      <w:pPr>
        <w:pStyle w:val="ListParagraph"/>
        <w:numPr>
          <w:ilvl w:val="0"/>
          <w:numId w:val="2"/>
        </w:numPr>
        <w:spacing w:after="60" w:before="60"/>
      </w:pPr>
      <w:r>
        <w:rPr>
          <w:rFonts w:ascii="Arial" w:cs="Arial" w:eastAsia="Arial" w:hAnsi="Arial"/>
          <w:color w:val="1A1A2E"/>
          <w:sz w:val="22"/>
          <w:szCs w:val="22"/>
        </w:rPr>
        <w:t xml:space="preserve">P2: ¿Qué ejes de comunicación ligando-receptor selecciona el mecanismo de atención como determinantes de la inestabilidad de la placa en pacientes femeninas?</w:t>
      </w:r>
    </w:p>
    <w:p>
      <w:pPr>
        <w:pStyle w:val="ListParagraph"/>
        <w:numPr>
          <w:ilvl w:val="0"/>
          <w:numId w:val="2"/>
        </w:numPr>
        <w:spacing w:after="60" w:before="60"/>
      </w:pPr>
      <w:r>
        <w:rPr>
          <w:rFonts w:ascii="Arial" w:cs="Arial" w:eastAsia="Arial" w:hAnsi="Arial"/>
          <w:color w:val="1A1A2E"/>
          <w:sz w:val="22"/>
          <w:szCs w:val="22"/>
        </w:rPr>
        <w:t xml:space="preserve">P3: ¿Puede la regularización topológica mitigar el dropout técnico sin inducir over-smoothing en poblaciones celulares minoritarias?</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2.2 Objetivos específicos</w:t>
      </w:r>
    </w:p>
    <w:p>
      <w:pPr>
        <w:pStyle w:val="ListParagraph"/>
        <w:numPr>
          <w:ilvl w:val="0"/>
          <w:numId w:val="2"/>
        </w:numPr>
        <w:spacing w:after="60" w:before="60"/>
      </w:pPr>
      <w:r>
        <w:rPr>
          <w:rFonts w:ascii="Arial" w:cs="Arial" w:eastAsia="Arial" w:hAnsi="Arial"/>
          <w:color w:val="1A1A2E"/>
          <w:sz w:val="22"/>
          <w:szCs w:val="22"/>
        </w:rPr>
        <w:t xml:space="preserve">OBJ-1: Preprocesamiento y QC de datos ST cardiovasculares públicos estratificados por sexo (GEO: GSE233025; HCA Heart).</w:t>
      </w:r>
    </w:p>
    <w:p>
      <w:pPr>
        <w:pStyle w:val="ListParagraph"/>
        <w:numPr>
          <w:ilvl w:val="0"/>
          <w:numId w:val="2"/>
        </w:numPr>
        <w:spacing w:after="60" w:before="60"/>
      </w:pPr>
      <w:r>
        <w:rPr>
          <w:rFonts w:ascii="Arial" w:cs="Arial" w:eastAsia="Arial" w:hAnsi="Arial"/>
          <w:color w:val="1A1A2E"/>
          <w:sz w:val="22"/>
          <w:szCs w:val="22"/>
        </w:rPr>
        <w:t xml:space="preserve">OBJ-2: Identificación de dominios espaciales basales mediante GNN establecidas (STAGATE, GraphST) como baseline de comparación.</w:t>
      </w:r>
    </w:p>
    <w:p>
      <w:pPr>
        <w:pStyle w:val="ListParagraph"/>
        <w:numPr>
          <w:ilvl w:val="0"/>
          <w:numId w:val="2"/>
        </w:numPr>
        <w:spacing w:after="60" w:before="60"/>
      </w:pPr>
      <w:r>
        <w:rPr>
          <w:rFonts w:ascii="Arial" w:cs="Arial" w:eastAsia="Arial" w:hAnsi="Arial"/>
          <w:color w:val="1A1A2E"/>
          <w:sz w:val="22"/>
          <w:szCs w:val="22"/>
        </w:rPr>
        <w:t xml:space="preserve">OBJ-3: Diseño e implementación de la GNN sex-stratified (GAT + FiLM conditioning con sexo como variable condicional latente).</w:t>
      </w:r>
    </w:p>
    <w:p>
      <w:pPr>
        <w:pStyle w:val="ListParagraph"/>
        <w:numPr>
          <w:ilvl w:val="0"/>
          <w:numId w:val="2"/>
        </w:numPr>
        <w:spacing w:after="60" w:before="60"/>
      </w:pPr>
      <w:r>
        <w:rPr>
          <w:rFonts w:ascii="Arial" w:cs="Arial" w:eastAsia="Arial" w:hAnsi="Arial"/>
          <w:color w:val="1A1A2E"/>
          <w:sz w:val="22"/>
          <w:szCs w:val="22"/>
        </w:rPr>
        <w:t xml:space="preserve">OBJ-4: Integración multiómica vía MOFA+ (baseline) → C-mVAE (Product of Experts) para descubrir factores latentes conjuntos transcriptómica + epigenómica.</w:t>
      </w:r>
    </w:p>
    <w:p>
      <w:pPr>
        <w:pStyle w:val="ListParagraph"/>
        <w:numPr>
          <w:ilvl w:val="0"/>
          <w:numId w:val="2"/>
        </w:numPr>
        <w:spacing w:after="60" w:before="60"/>
      </w:pPr>
      <w:r>
        <w:rPr>
          <w:rFonts w:ascii="Arial" w:cs="Arial" w:eastAsia="Arial" w:hAnsi="Arial"/>
          <w:color w:val="1A1A2E"/>
          <w:sz w:val="22"/>
          <w:szCs w:val="22"/>
        </w:rPr>
        <w:t xml:space="preserve">OBJ-5: Aplicación de GNNExplainer + SHAP (Captum) para extraer biomarcadores con resolución espacial.</w:t>
      </w:r>
    </w:p>
    <w:p>
      <w:pPr>
        <w:pStyle w:val="ListParagraph"/>
        <w:numPr>
          <w:ilvl w:val="0"/>
          <w:numId w:val="2"/>
        </w:numPr>
        <w:spacing w:after="60" w:before="60"/>
      </w:pPr>
      <w:r>
        <w:rPr>
          <w:rFonts w:ascii="Arial" w:cs="Arial" w:eastAsia="Arial" w:hAnsi="Arial"/>
          <w:color w:val="1A1A2E"/>
          <w:sz w:val="22"/>
          <w:szCs w:val="22"/>
        </w:rPr>
        <w:t xml:space="preserve">OBJ-6: Visualización interactiva de los nichos celulares identificados (R Shiny o Streamlit).</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2.3 Indicadores clave de consecución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Indicador</w:t>
            </w:r>
          </w:p>
        </w:tc>
        <w:tc>
          <w:tcPr>
            <w:tcW w:type="dxa" w:w="2763"/>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Mínimo aceptable</w:t>
            </w:r>
          </w:p>
        </w:tc>
        <w:tc>
          <w:tcPr>
            <w:tcW w:type="dxa" w:w="2763"/>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Óptimo (excelencia)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ARI GNN sex-stratified vs. STAGATE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&gt;0.05 mejora</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&gt;0.15 mejora</w:t>
            </w:r>
          </w:p>
        </w:tc>
      </w:tr>
      <w:tr>
        <w:tc>
          <w:tcPr>
            <w:tcW w:type="dxa" w:w="3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Nichos sex-specific identificados</w:t>
            </w:r>
          </w:p>
        </w:tc>
        <w:tc>
          <w:tcPr>
            <w:tcW w:type="dxa" w:w="2763"/>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≥3 distintos</w:t>
            </w:r>
          </w:p>
        </w:tc>
        <w:tc>
          <w:tcPr>
            <w:tcW w:type="dxa" w:w="2763"/>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≥6 con validación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Genes biomarcador en literatura</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confirmados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 confirmados</w:t>
            </w:r>
          </w:p>
        </w:tc>
      </w:tr>
      <w:tr>
        <w:tc>
          <w:tcPr>
            <w:tcW w:type="dxa" w:w="3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Pipeline reproducible</w:t>
            </w:r>
          </w:p>
        </w:tc>
        <w:tc>
          <w:tcPr>
            <w:tcW w:type="dxa" w:w="2763"/>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Docker completo</w:t>
            </w:r>
          </w:p>
        </w:tc>
        <w:tc>
          <w:tcPr>
            <w:tcW w:type="dxa" w:w="2763"/>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CI/CD GitHub Actions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de visualización</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Visualización estática</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interactiva desplegada</w:t>
            </w:r>
          </w:p>
        </w:tc>
      </w:tr>
    </w:tbl>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3. Contribución diferencial — Respuesta a la observación del supervisor</w:t>
      </w:r>
    </w:p>
    <w:p>
      <w:pPr>
        <w:pBdr>
          <w:left w:val="single" w:color="2E5FA3" w:sz="8" w:space="4"/>
        </w:pBdr>
        <w:shd w:fill="F2F5F9" w:val="clear"/>
        <w:spacing w:after="120" w:before="120"/>
        <w:ind w:left="360" w:right="360"/>
      </w:pPr>
      <w:r>
        <w:rPr>
          <w:rFonts w:ascii="Arial" w:cs="Arial" w:eastAsia="Arial" w:hAnsi="Arial"/>
          <w:i/>
          <w:iCs/>
          <w:color w:val="555555"/>
          <w:sz w:val="20"/>
          <w:szCs w:val="20"/>
        </w:rPr>
        <w:t xml:space="preserve">El supervisor solicitó explícitamente: revisar el estado del arte para determinar cuál sería exactamente la pregunta de investigación y qué aportación diferencial tendría el proyecto respecto a trabajos ya publicados. Es importante que el TFM no se limite a aplicar una metodología existente, sino que exista una contribución bien justificada.</w:t>
      </w:r>
    </w:p>
    <w:p>
      <w:pPr>
        <w:spacing w:after="60" w:before="60"/>
      </w:pPr>
      <w:r>
        <w:t xml:space="preserve"/>
      </w:r>
    </w:p>
    <w:p>
      <w:pPr>
        <w:spacing w:after="80" w:before="80"/>
        <w:jc w:val="both"/>
      </w:pPr>
      <w:r>
        <w:rPr>
          <w:rFonts w:ascii="Arial" w:cs="Arial" w:eastAsia="Arial" w:hAnsi="Arial"/>
          <w:color w:val="1A1A2E"/>
          <w:sz w:val="22"/>
          <w:szCs w:val="22"/>
        </w:rPr>
        <w:t xml:space="preserve">Las tres secciones siguientes responden directamente a esta petición con referencias reales de 2022–2026.</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3.1 Eje 1 — Gap metodológico: ningún trabajo ha aplicado GNN a ST de placa con sexo como variable estructural</w:t>
      </w:r>
    </w:p>
    <w:p>
      <w:pPr>
        <w:spacing w:after="80" w:before="80"/>
        <w:jc w:val="both"/>
      </w:pPr>
      <w:r>
        <w:rPr>
          <w:rFonts w:ascii="Arial" w:cs="Arial" w:eastAsia="Arial" w:hAnsi="Arial"/>
          <w:color w:val="1A1A2E"/>
          <w:sz w:val="22"/>
          <w:szCs w:val="22"/>
        </w:rPr>
        <w:t xml:space="preserve">Los métodos GNN para ST están bien establecidos en cerebro y cáncer: SpaGCN [Ref. 6] (Nat. Methods, 2021), STAGATE [Ref. 5] (Nat. Commun., 2022), GraphST [Ref. 7] (Nat. Methods, 2023). Un trabajo de 2025 [Ref. 19] ha extendido las GNN a datos ST con genes marcadores guiados. Sin embargo:</w:t>
      </w:r>
    </w:p>
    <w:p>
      <w:pPr>
        <w:pStyle w:val="ListParagraph"/>
        <w:numPr>
          <w:ilvl w:val="0"/>
          <w:numId w:val="2"/>
        </w:numPr>
        <w:spacing w:after="60" w:before="60"/>
      </w:pPr>
      <w:r>
        <w:rPr>
          <w:rFonts w:ascii="Arial" w:cs="Arial" w:eastAsia="Arial" w:hAnsi="Arial"/>
          <w:color w:val="1A1A2E"/>
          <w:sz w:val="22"/>
          <w:szCs w:val="22"/>
        </w:rPr>
        <w:t xml:space="preserve">Ninguno de estos métodos se ha aplicado a tejido aterosclerótico cardíaco/carotídeo.</w:t>
      </w:r>
    </w:p>
    <w:p>
      <w:pPr>
        <w:pStyle w:val="ListParagraph"/>
        <w:numPr>
          <w:ilvl w:val="0"/>
          <w:numId w:val="2"/>
        </w:numPr>
        <w:spacing w:after="60" w:before="60"/>
      </w:pPr>
      <w:r>
        <w:rPr>
          <w:rFonts w:ascii="Arial" w:cs="Arial" w:eastAsia="Arial" w:hAnsi="Arial"/>
          <w:color w:val="1A1A2E"/>
          <w:sz w:val="22"/>
          <w:szCs w:val="22"/>
        </w:rPr>
        <w:t xml:space="preserve">Ninguno incorpora el sexo biológico como variable estructural del grafo (feature de nodo o condicionamiento FiLM), sino como covariable post-hoc si es que se considera.</w:t>
      </w:r>
    </w:p>
    <w:p>
      <w:pPr>
        <w:pStyle w:val="ListParagraph"/>
        <w:numPr>
          <w:ilvl w:val="0"/>
          <w:numId w:val="2"/>
        </w:numPr>
        <w:spacing w:after="60" w:before="60"/>
      </w:pPr>
      <w:r>
        <w:rPr>
          <w:rFonts w:ascii="Arial" w:cs="Arial" w:eastAsia="Arial" w:hAnsi="Arial"/>
          <w:color w:val="1A1A2E"/>
          <w:sz w:val="22"/>
          <w:szCs w:val="22"/>
        </w:rPr>
        <w:t xml:space="preserve">La única aproximación próxima es Sukhavasi et al. (2025) [Ref. 1], que usa scRNA-seq (no espacial) con redes reguladoras sesgadas por sexo, pero sin GNN.</w:t>
      </w:r>
    </w:p>
    <w:p>
      <w:pPr>
        <w:spacing w:after="60" w:before="60"/>
      </w:pPr>
      <w:r>
        <w:t xml:space="preserve"/>
      </w:r>
    </w:p>
    <w:p>
      <w:pPr>
        <w:pBdr>
          <w:left w:val="single" w:color="2E5FA3" w:sz="8" w:space="4"/>
        </w:pBdr>
        <w:shd w:fill="F2F5F9" w:val="clear"/>
        <w:spacing w:after="120" w:before="120"/>
        <w:ind w:left="360" w:right="360"/>
      </w:pPr>
      <w:r>
        <w:rPr>
          <w:rFonts w:ascii="Arial" w:cs="Arial" w:eastAsia="Arial" w:hAnsi="Arial"/>
          <w:i/>
          <w:iCs/>
          <w:color w:val="555555"/>
          <w:sz w:val="20"/>
          <w:szCs w:val="20"/>
        </w:rPr>
        <w:t xml:space="preserve">Contribución 1: Primera GNN sex-stratified aplicada a transcriptómica espacial de placa aterosclerótica humana, incorporando el sexo como variable condicional estructural del modelo (FiLM conditioning en capas GAT), no como filtro posterior.</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3.2 Eje 2 — Gap de explicabilidad: el XAI espacial en cardiovascular no existe</w:t>
      </w:r>
    </w:p>
    <w:p>
      <w:pPr>
        <w:spacing w:after="80" w:before="80"/>
        <w:jc w:val="both"/>
      </w:pPr>
      <w:r>
        <w:rPr>
          <w:rFonts w:ascii="Arial" w:cs="Arial" w:eastAsia="Arial" w:hAnsi="Arial"/>
          <w:color w:val="1A1A2E"/>
          <w:sz w:val="22"/>
          <w:szCs w:val="22"/>
        </w:rPr>
        <w:t xml:space="preserve">Una revisión sistemática de 65 estudios de ML en ECV (Nature Reviews Cardiology, 2024) confirma que existe una brecha traslacional significativa impulsada por la opacidad de los modelos de caja negra y la falta de validación externa [Ref. 12]. El precedente más próximo de XAI espacial es Coskun et al. (BME Frontiers, 2025) [Ref. 11] en tejido cerebral, y un preprint de npj Digital Medicine (2026) en cáncer de próstata. Ninguno de los dos es cardiovascular ni incorpora sexo.</w:t>
      </w:r>
    </w:p>
    <w:p>
      <w:pPr>
        <w:spacing w:after="60" w:before="60"/>
      </w:pPr>
      <w:r>
        <w:t xml:space="preserve"/>
      </w:r>
    </w:p>
    <w:p>
      <w:pPr>
        <w:pBdr>
          <w:left w:val="single" w:color="2E5FA3" w:sz="8" w:space="4"/>
        </w:pBdr>
        <w:shd w:fill="F2F5F9" w:val="clear"/>
        <w:spacing w:after="120" w:before="120"/>
        <w:ind w:left="360" w:right="360"/>
      </w:pPr>
      <w:r>
        <w:rPr>
          <w:rFonts w:ascii="Arial" w:cs="Arial" w:eastAsia="Arial" w:hAnsi="Arial"/>
          <w:i/>
          <w:iCs/>
          <w:color w:val="555555"/>
          <w:sz w:val="20"/>
          <w:szCs w:val="20"/>
        </w:rPr>
        <w:t xml:space="preserve">Contribución 2: Primera aplicación de GNNExplainer + SHAP (Captum) sobre una GNN entrenada en ST cardiovascular para extraer biomarcadores sex-specific con resolución espacial —es decir, localizados anatómicamente dentro del tejido de la placa.</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3.3 Eje 3 — Gap de integración: el C-mVAE no se ha usado en ST cardiovascular sex-stratified</w:t>
      </w:r>
    </w:p>
    <w:p>
      <w:pPr>
        <w:spacing w:after="80" w:before="80"/>
        <w:jc w:val="both"/>
      </w:pPr>
      <w:r>
        <w:rPr>
          <w:rFonts w:ascii="Arial" w:cs="Arial" w:eastAsia="Arial" w:hAnsi="Arial"/>
          <w:color w:val="1A1A2E"/>
          <w:sz w:val="22"/>
          <w:szCs w:val="22"/>
        </w:rPr>
        <w:t xml:space="preserve">MOFA+ (Argelaguet et al., Genome Biology, 2020) [Ref. 8] es el método de integración multiómica de referencia. Losert et al. (Nature Medicine, 2024) [Ref. 9] lo aplicaron en síndrome coronario agudo/crónico, identificando firmas inmunológicas no detectables en análisis unimodal. Sin embargo:</w:t>
      </w:r>
    </w:p>
    <w:p>
      <w:pPr>
        <w:pStyle w:val="ListParagraph"/>
        <w:numPr>
          <w:ilvl w:val="0"/>
          <w:numId w:val="2"/>
        </w:numPr>
        <w:spacing w:after="60" w:before="60"/>
      </w:pPr>
      <w:r>
        <w:rPr>
          <w:rFonts w:ascii="Arial" w:cs="Arial" w:eastAsia="Arial" w:hAnsi="Arial"/>
          <w:color w:val="1A1A2E"/>
          <w:sz w:val="22"/>
          <w:szCs w:val="22"/>
        </w:rPr>
        <w:t xml:space="preserve">Ninguna aplicación de MOFA+ o mVAE incorpora la capa espacial de ST en contexto cardiovascular.</w:t>
      </w:r>
    </w:p>
    <w:p>
      <w:pPr>
        <w:pStyle w:val="ListParagraph"/>
        <w:numPr>
          <w:ilvl w:val="0"/>
          <w:numId w:val="2"/>
        </w:numPr>
        <w:spacing w:after="60" w:before="60"/>
      </w:pPr>
      <w:r>
        <w:rPr>
          <w:rFonts w:ascii="Arial" w:cs="Arial" w:eastAsia="Arial" w:hAnsi="Arial"/>
          <w:color w:val="1A1A2E"/>
          <w:sz w:val="22"/>
          <w:szCs w:val="22"/>
        </w:rPr>
        <w:t xml:space="preserve">Ningún condicionamiento variacional por sexo como variable latente se ha aplicado a placas ateroscleróticas.</w:t>
      </w:r>
    </w:p>
    <w:p>
      <w:pPr>
        <w:pStyle w:val="ListParagraph"/>
        <w:numPr>
          <w:ilvl w:val="0"/>
          <w:numId w:val="2"/>
        </w:numPr>
        <w:spacing w:after="60" w:before="60"/>
      </w:pPr>
      <w:r>
        <w:rPr>
          <w:rFonts w:ascii="Arial" w:cs="Arial" w:eastAsia="Arial" w:hAnsi="Arial"/>
          <w:color w:val="1A1A2E"/>
          <w:sz w:val="22"/>
          <w:szCs w:val="22"/>
        </w:rPr>
        <w:t xml:space="preserve">La arquitectura C-mVAE (Product of Experts condicional) propuesta es una extensión original del paradigma GVAE de Kipf &amp; Welling (2016) [Ref. 10].</w:t>
      </w:r>
    </w:p>
    <w:p>
      <w:pPr>
        <w:spacing w:after="60" w:before="60"/>
      </w:pPr>
      <w:r>
        <w:t xml:space="preserve"/>
      </w:r>
    </w:p>
    <w:p>
      <w:pPr>
        <w:pBdr>
          <w:left w:val="single" w:color="2E5FA3" w:sz="8" w:space="4"/>
        </w:pBdr>
        <w:shd w:fill="F2F5F9" w:val="clear"/>
        <w:spacing w:after="120" w:before="120"/>
        <w:ind w:left="360" w:right="360"/>
      </w:pPr>
      <w:r>
        <w:rPr>
          <w:rFonts w:ascii="Arial" w:cs="Arial" w:eastAsia="Arial" w:hAnsi="Arial"/>
          <w:i/>
          <w:iCs/>
          <w:color w:val="555555"/>
          <w:sz w:val="20"/>
          <w:szCs w:val="20"/>
        </w:rPr>
        <w:t xml:space="preserve">Contribución 3: Primera arquitectura C-mVAE condicionada por sexo (variable condicional latente Y=sexo) aplicada sobre datos de ST cardiovascular, permitiendo purificar la varianza biológica real de los sesgos técnicos inter-hospitalarios —una contribución algorítmica independiente de los resultados biológicos.</w:t>
      </w:r>
    </w:p>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4. Fundamentación teórica y estado del arte</w:t>
      </w:r>
    </w:p>
    <w:p>
      <w:pPr>
        <w:pStyle w:val="Heading2"/>
        <w:pBdr>
          <w:bottom w:val="single" w:color="2E5FA3" w:sz="4" w:space="1"/>
        </w:pBdr>
        <w:spacing w:after="140" w:before="280"/>
      </w:pPr>
      <w:r>
        <w:rPr>
          <w:rFonts w:ascii="Arial" w:cs="Arial" w:eastAsia="Arial" w:hAnsi="Arial"/>
          <w:b/>
          <w:bCs/>
          <w:color w:val="1F3864"/>
          <w:sz w:val="24"/>
          <w:szCs w:val="24"/>
        </w:rPr>
        <w:t xml:space="preserve">4.1 Pilar computacional: GNN y VAE en datos espaciales</w:t>
      </w:r>
    </w:p>
    <w:p>
      <w:pPr>
        <w:spacing w:after="80" w:before="80"/>
        <w:jc w:val="both"/>
      </w:pPr>
      <w:r>
        <w:rPr>
          <w:rFonts w:ascii="Arial" w:cs="Arial" w:eastAsia="Arial" w:hAnsi="Arial"/>
          <w:color w:val="1A1A2E"/>
          <w:sz w:val="22"/>
          <w:szCs w:val="22"/>
        </w:rPr>
        <w:t xml:space="preserve">El Geometric Deep Learning [Ref. 15] proporciona el marco teórico para operar sobre datos no euclidianos como los grafos de células en tejido. Las dos arquitecturas centrales de este TFM son:</w:t>
      </w:r>
    </w:p>
    <w:p>
      <w:pPr>
        <w:spacing w:after="60" w:before="60"/>
      </w:pPr>
      <w:r>
        <w:t xml:space="preserve"/>
      </w:r>
    </w:p>
    <w:p>
      <w:pPr>
        <w:pStyle w:val="Heading3"/>
        <w:spacing w:after="100" w:before="200"/>
      </w:pPr>
      <w:r>
        <w:rPr>
          <w:rFonts w:ascii="Arial" w:cs="Arial" w:eastAsia="Arial" w:hAnsi="Arial"/>
          <w:b/>
          <w:bCs/>
          <w:color w:val="2E5FA3"/>
          <w:sz w:val="22"/>
          <w:szCs w:val="22"/>
        </w:rPr>
        <w:t xml:space="preserve">4.1.1 Graph Attention Network (GAT)</w:t>
      </w:r>
    </w:p>
    <w:p>
      <w:pPr>
        <w:spacing w:after="80" w:before="80"/>
        <w:jc w:val="both"/>
      </w:pPr>
      <w:r>
        <w:rPr>
          <w:rFonts w:ascii="Arial" w:cs="Arial" w:eastAsia="Arial" w:hAnsi="Arial"/>
          <w:color w:val="1A1A2E"/>
          <w:sz w:val="22"/>
          <w:szCs w:val="22"/>
        </w:rPr>
        <w:t xml:space="preserve">Las GAT (Veličković et al., ICLR, 2018) introducen el mecanismo de atención sobre las aristas del grafo, permitiendo que cada nodo pondere de forma aprendida la influencia de sus vecinos. En ST, SpaGCN [Ref. 6], STAGATE [Ref. 5] y GraphST [Ref. 7] han validado las GNN basadas en GCN/GAT para identificar dominios espaciales en cerebro, hígado y cáncer. La novedad aquí es el condicionamiento por sexo mediante Feature-wise Linear Modulation (FiLM), que modifica las activaciones intermedias de las capas GAT por la variable binaria de sexo biológico.</w:t>
      </w:r>
    </w:p>
    <w:p>
      <w:pPr>
        <w:spacing w:after="60" w:before="60"/>
      </w:pPr>
      <w:r>
        <w:t xml:space="preserve"/>
      </w:r>
    </w:p>
    <w:p>
      <w:pPr>
        <w:pStyle w:val="Heading3"/>
        <w:spacing w:after="100" w:before="200"/>
      </w:pPr>
      <w:r>
        <w:rPr>
          <w:rFonts w:ascii="Arial" w:cs="Arial" w:eastAsia="Arial" w:hAnsi="Arial"/>
          <w:b/>
          <w:bCs/>
          <w:color w:val="2E5FA3"/>
          <w:sz w:val="22"/>
          <w:szCs w:val="22"/>
        </w:rPr>
        <w:t xml:space="preserve">4.1.2 Autoencoder Variacional Multimodal Condicional (C-mVAE)</w:t>
      </w:r>
    </w:p>
    <w:p>
      <w:pPr>
        <w:spacing w:after="80" w:before="80"/>
        <w:jc w:val="both"/>
      </w:pPr>
      <w:r>
        <w:rPr>
          <w:rFonts w:ascii="Arial" w:cs="Arial" w:eastAsia="Arial" w:hAnsi="Arial"/>
          <w:color w:val="1A1A2E"/>
          <w:sz w:val="22"/>
          <w:szCs w:val="22"/>
        </w:rPr>
        <w:t xml:space="preserve">La función de coste del C-mVAE adopta la formulación ZINB (Zero-Inflated Negative Binomial) para adaptarse a la esparsidad de las matrices de expresión génica. La función de pérdida es:</w:t>
      </w:r>
    </w:p>
    <w:p>
      <w:pPr>
        <w:spacing w:after="60" w:before="60"/>
      </w:pPr>
      <w:r>
        <w:t xml:space="preserve"/>
      </w:r>
    </w:p>
    <w:p>
      <w:pPr>
        <w:shd w:fill="F2F5F9" w:val="clear"/>
        <w:spacing w:after="120" w:before="120"/>
        <w:ind w:left="360" w:right="360"/>
        <w:jc w:val="center"/>
      </w:pPr>
      <w:r>
        <w:rPr>
          <w:rFonts w:ascii="Courier New" w:cs="Courier New" w:eastAsia="Courier New" w:hAnsi="Courier New"/>
          <w:b/>
          <w:bCs/>
          <w:color w:val="1F3864"/>
          <w:sz w:val="22"/>
          <w:szCs w:val="22"/>
        </w:rPr>
        <w:t xml:space="preserve">ℒ = E[q(Z|X,A,Y)] [log p(A, X | Z, Y)] − D_KL(q(Z|X,A,Y) || p(Z))</w:t>
      </w:r>
    </w:p>
    <w:p>
      <w:pPr>
        <w:spacing w:after="60" w:before="60"/>
      </w:pPr>
      <w:r>
        <w:t xml:space="preserve"/>
      </w:r>
    </w:p>
    <w:p>
      <w:pPr>
        <w:spacing w:after="80" w:before="80"/>
        <w:jc w:val="both"/>
      </w:pPr>
      <w:r>
        <w:rPr>
          <w:rFonts w:ascii="Arial" w:cs="Arial" w:eastAsia="Arial" w:hAnsi="Arial"/>
          <w:color w:val="1A1A2E"/>
          <w:sz w:val="22"/>
          <w:szCs w:val="22"/>
        </w:rPr>
        <w:t xml:space="preserve">Donde: Z = espacio latente condicional; X = matriz de expresión; A = matriz de adyacencia del grafo; Y = sexo biológico (variable condicional); D_KL = divergencia de Kullback-Leibler. La arquitectura Product of Experts (PoE) permite combinar evidencias de múltiples capas ómicas en un único espacio latente coherente.</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4.2 Pilar biológico: la placa aterosclerótica y el dimorfismo sexual</w:t>
      </w:r>
    </w:p>
    <w:p>
      <w:pPr>
        <w:spacing w:after="80" w:before="80"/>
        <w:jc w:val="both"/>
      </w:pPr>
      <w:r>
        <w:rPr>
          <w:rFonts w:ascii="Arial" w:cs="Arial" w:eastAsia="Arial" w:hAnsi="Arial"/>
          <w:color w:val="1A1A2E"/>
          <w:sz w:val="22"/>
          <w:szCs w:val="22"/>
        </w:rPr>
        <w:t xml:space="preserve">La placa aterosclerótica es una lesión arterial inflamatoria crónica constituida por un núcleo necrótico lipídico, una capa fibrosa y múltiples tipos celulares (macrófagos, células musculares lisas, linfocitos T, células endoteliales). El dimorfismo sexual en su composición incluye:</w:t>
      </w:r>
    </w:p>
    <w:p>
      <w:pPr>
        <w:pStyle w:val="ListParagraph"/>
        <w:numPr>
          <w:ilvl w:val="0"/>
          <w:numId w:val="2"/>
        </w:numPr>
        <w:spacing w:after="60" w:before="60"/>
      </w:pPr>
      <w:r>
        <w:rPr>
          <w:rFonts w:ascii="Arial" w:cs="Arial" w:eastAsia="Arial" w:hAnsi="Arial"/>
          <w:color w:val="1A1A2E"/>
          <w:sz w:val="22"/>
          <w:szCs w:val="22"/>
        </w:rPr>
        <w:t xml:space="preserve">Células musculares lisas: fenotipo osteogénico en mujeres vs. condrocítico en hombres (Sukhavasi et al., 2025) [Ref. 1].</w:t>
      </w:r>
    </w:p>
    <w:p>
      <w:pPr>
        <w:pStyle w:val="ListParagraph"/>
        <w:numPr>
          <w:ilvl w:val="0"/>
          <w:numId w:val="2"/>
        </w:numPr>
        <w:spacing w:after="60" w:before="60"/>
      </w:pPr>
      <w:r>
        <w:rPr>
          <w:rFonts w:ascii="Arial" w:cs="Arial" w:eastAsia="Arial" w:hAnsi="Arial"/>
          <w:color w:val="1A1A2E"/>
          <w:sz w:val="22"/>
          <w:szCs w:val="22"/>
        </w:rPr>
        <w:t xml:space="preserve">Microentorno inmunitario: mayor infiltrado de macrófagos pro-inflamatorios en mujeres jóvenes vs. hombres de la misma edad.</w:t>
      </w:r>
    </w:p>
    <w:p>
      <w:pPr>
        <w:pStyle w:val="ListParagraph"/>
        <w:numPr>
          <w:ilvl w:val="0"/>
          <w:numId w:val="2"/>
        </w:numPr>
        <w:spacing w:after="60" w:before="60"/>
      </w:pPr>
      <w:r>
        <w:rPr>
          <w:rFonts w:ascii="Arial" w:cs="Arial" w:eastAsia="Arial" w:hAnsi="Arial"/>
          <w:color w:val="1A1A2E"/>
          <w:sz w:val="22"/>
          <w:szCs w:val="22"/>
        </w:rPr>
        <w:t xml:space="preserve">Mecanismo de ruptura: erosión superficial predominante en mujeres (menos detectada por angiografía convencional) vs. ruptura de placa en hombres.</w:t>
      </w:r>
    </w:p>
    <w:p>
      <w:pPr>
        <w:spacing w:after="60" w:before="60"/>
      </w:pPr>
      <w:r>
        <w:t xml:space="preserve"/>
      </w:r>
    </w:p>
    <w:p>
      <w:pPr>
        <w:spacing w:after="80" w:before="80"/>
        <w:jc w:val="both"/>
      </w:pPr>
      <w:r>
        <w:rPr>
          <w:rFonts w:ascii="Arial" w:cs="Arial" w:eastAsia="Arial" w:hAnsi="Arial"/>
          <w:color w:val="1A1A2E"/>
          <w:sz w:val="22"/>
          <w:szCs w:val="22"/>
        </w:rPr>
        <w:t xml:space="preserve">Kuppe et al. (Nature, 2022) [Ref. 16] cartografiaron el infarto de miocardio humano con ST y scRNA-seq, identificando nichos celulares específicos en la zona infartada. Su trabajo sobre corazón sano vs. infarto es el precedente computacional más próximo, pero no incluye aterosclerosis de placa ni estratificación por sexo.</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4.3 Tabla comparativa — Estado del arte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1300"/>
        <w:gridCol w:w="1300"/>
        <w:gridCol w:w="1426"/>
      </w:tblGrid>
      <w:tr>
        <w:tc>
          <w:tcPr>
            <w:tcW w:type="dxa" w:w="2200"/>
            <w:tcBorders>
              <w:top w:val="single" w:color="2E5FA3" w:sz="1"/>
              <w:left w:val="single" w:color="2E5FA3" w:sz="1"/>
              <w:bottom w:val="single" w:color="2E5FA3" w:sz="1"/>
              <w:right w:val="single" w:color="2E5FA3"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Estudio</w:t>
            </w:r>
          </w:p>
        </w:tc>
        <w:tc>
          <w:tcPr>
            <w:tcW w:type="dxa" w:w="1500"/>
            <w:tcBorders>
              <w:top w:val="single" w:color="2E5FA3" w:sz="1"/>
              <w:left w:val="single" w:color="2E5FA3" w:sz="1"/>
              <w:bottom w:val="single" w:color="2E5FA3" w:sz="1"/>
              <w:right w:val="single" w:color="2E5FA3"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ST Cardio.</w:t>
            </w:r>
          </w:p>
        </w:tc>
        <w:tc>
          <w:tcPr>
            <w:tcW w:type="dxa" w:w="1300"/>
            <w:tcBorders>
              <w:top w:val="single" w:color="2E5FA3" w:sz="1"/>
              <w:left w:val="single" w:color="2E5FA3" w:sz="1"/>
              <w:bottom w:val="single" w:color="2E5FA3" w:sz="1"/>
              <w:right w:val="single" w:color="2E5FA3"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GNN</w:t>
            </w:r>
          </w:p>
        </w:tc>
        <w:tc>
          <w:tcPr>
            <w:tcW w:type="dxa" w:w="1300"/>
            <w:tcBorders>
              <w:top w:val="single" w:color="2E5FA3" w:sz="1"/>
              <w:left w:val="single" w:color="2E5FA3" w:sz="1"/>
              <w:bottom w:val="single" w:color="2E5FA3" w:sz="1"/>
              <w:right w:val="single" w:color="2E5FA3"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Sexo</w:t>
            </w:r>
          </w:p>
        </w:tc>
        <w:tc>
          <w:tcPr>
            <w:tcW w:type="dxa" w:w="1300"/>
            <w:tcBorders>
              <w:top w:val="single" w:color="2E5FA3" w:sz="1"/>
              <w:left w:val="single" w:color="2E5FA3" w:sz="1"/>
              <w:bottom w:val="single" w:color="2E5FA3" w:sz="1"/>
              <w:right w:val="single" w:color="2E5FA3"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XAI</w:t>
            </w:r>
          </w:p>
        </w:tc>
        <w:tc>
          <w:tcPr>
            <w:tcW w:type="dxa" w:w="1426"/>
            <w:tcBorders>
              <w:top w:val="single" w:color="2E5FA3" w:sz="1"/>
              <w:left w:val="single" w:color="2E5FA3" w:sz="1"/>
              <w:bottom w:val="single" w:color="2E5FA3" w:sz="1"/>
              <w:right w:val="single" w:color="2E5FA3"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Año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Kanemaru (Nature)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 cor. sano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2023</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Campos (EMBO Mol. Med.)</w:t>
            </w:r>
          </w:p>
        </w:tc>
        <w:tc>
          <w:tcPr>
            <w:tcW w:type="dxa" w:w="15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 coronaria</w:t>
            </w:r>
          </w:p>
        </w:tc>
        <w:tc>
          <w:tcPr>
            <w:tcW w:type="dxa" w:w="13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3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metadatos</w:t>
            </w:r>
          </w:p>
        </w:tc>
        <w:tc>
          <w:tcPr>
            <w:tcW w:type="dxa" w:w="13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426"/>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2025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Slenders (Nat. Commun.)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 carótida</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2024</w:t>
            </w:r>
          </w:p>
        </w:tc>
      </w:tr>
      <w:tr>
        <w:tc>
          <w:tcPr>
            <w:tcW w:type="dxa" w:w="22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Sukhavasi (Nat. CV Res.)</w:t>
            </w:r>
          </w:p>
        </w:tc>
        <w:tc>
          <w:tcPr>
            <w:tcW w:type="dxa" w:w="15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 (scRNA)</w:t>
            </w:r>
          </w:p>
        </w:tc>
        <w:tc>
          <w:tcPr>
            <w:tcW w:type="dxa" w:w="13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3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 análisis</w:t>
            </w:r>
          </w:p>
        </w:tc>
        <w:tc>
          <w:tcPr>
            <w:tcW w:type="dxa" w:w="13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426"/>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b w:val="false"/>
                <w:bCs w:val="false"/>
                <w:color w:val="1A1A2E"/>
                <w:sz w:val="18"/>
                <w:szCs w:val="18"/>
              </w:rPr>
              <w:t xml:space="preserve">2025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SpaGCN / STAGATE / GraphST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 (cerebro/cáncer)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2021–23</w:t>
            </w:r>
          </w:p>
        </w:tc>
      </w:tr>
      <w:tr>
        <w:tc>
          <w:tcPr>
            <w:tcW w:type="dxa" w:w="2200"/>
            <w:tcBorders>
              <w:top w:val="single" w:color="C00000" w:sz="1"/>
              <w:left w:val="single" w:color="C00000" w:sz="1"/>
              <w:bottom w:val="single" w:color="C00000" w:sz="1"/>
              <w:right w:val="single" w:color="C00000" w:sz="1"/>
            </w:tcBorders>
            <w:shd w:fill="FFF0F0" w:val="clear"/>
            <w:tcMar>
              <w:top w:type="dxa" w:w="80"/>
              <w:left w:type="dxa" w:w="80"/>
              <w:bottom w:type="dxa" w:w="80"/>
              <w:right w:type="dxa" w:w="80"/>
            </w:tcMar>
          </w:tcPr>
          <w:p>
            <w:r>
              <w:rPr>
                <w:rFonts w:ascii="Arial" w:cs="Arial" w:eastAsia="Arial" w:hAnsi="Arial"/>
                <w:b/>
                <w:bCs/>
                <w:color w:val="1A1A2E"/>
                <w:sz w:val="18"/>
                <w:szCs w:val="18"/>
              </w:rPr>
              <w:t xml:space="preserve">SexOmics-Spatial (este TFM)</w:t>
            </w:r>
          </w:p>
        </w:tc>
        <w:tc>
          <w:tcPr>
            <w:tcW w:type="dxa" w:w="1500"/>
            <w:tcBorders>
              <w:top w:val="single" w:color="C00000" w:sz="1"/>
              <w:left w:val="single" w:color="C00000" w:sz="1"/>
              <w:bottom w:val="single" w:color="C00000" w:sz="1"/>
              <w:right w:val="single" w:color="C00000" w:sz="1"/>
            </w:tcBorders>
            <w:shd w:fill="FFF0F0" w:val="clear"/>
            <w:tcMar>
              <w:top w:type="dxa" w:w="80"/>
              <w:left w:type="dxa" w:w="80"/>
              <w:bottom w:type="dxa" w:w="80"/>
              <w:right w:type="dxa" w:w="80"/>
            </w:tcMar>
          </w:tcPr>
          <w:p>
            <w:r>
              <w:rPr>
                <w:rFonts w:ascii="Arial" w:cs="Arial" w:eastAsia="Arial" w:hAnsi="Arial"/>
                <w:b/>
                <w:bCs/>
                <w:color w:val="1A1A2E"/>
                <w:sz w:val="18"/>
                <w:szCs w:val="18"/>
              </w:rPr>
              <w:t xml:space="preserve">✓ placa</w:t>
            </w:r>
          </w:p>
        </w:tc>
        <w:tc>
          <w:tcPr>
            <w:tcW w:type="dxa" w:w="1300"/>
            <w:tcBorders>
              <w:top w:val="single" w:color="C00000" w:sz="1"/>
              <w:left w:val="single" w:color="C00000" w:sz="1"/>
              <w:bottom w:val="single" w:color="C00000" w:sz="1"/>
              <w:right w:val="single" w:color="C00000" w:sz="1"/>
            </w:tcBorders>
            <w:shd w:fill="FFF0F0" w:val="clear"/>
            <w:tcMar>
              <w:top w:type="dxa" w:w="80"/>
              <w:left w:type="dxa" w:w="80"/>
              <w:bottom w:type="dxa" w:w="80"/>
              <w:right w:type="dxa" w:w="80"/>
            </w:tcMar>
          </w:tcPr>
          <w:p>
            <w:r>
              <w:rPr>
                <w:rFonts w:ascii="Arial" w:cs="Arial" w:eastAsia="Arial" w:hAnsi="Arial"/>
                <w:b/>
                <w:bCs/>
                <w:color w:val="1A1A2E"/>
                <w:sz w:val="18"/>
                <w:szCs w:val="18"/>
              </w:rPr>
              <w:t xml:space="preserve">✓</w:t>
            </w:r>
          </w:p>
        </w:tc>
        <w:tc>
          <w:tcPr>
            <w:tcW w:type="dxa" w:w="1300"/>
            <w:tcBorders>
              <w:top w:val="single" w:color="C00000" w:sz="1"/>
              <w:left w:val="single" w:color="C00000" w:sz="1"/>
              <w:bottom w:val="single" w:color="C00000" w:sz="1"/>
              <w:right w:val="single" w:color="C00000" w:sz="1"/>
            </w:tcBorders>
            <w:shd w:fill="FFF0F0" w:val="clear"/>
            <w:tcMar>
              <w:top w:type="dxa" w:w="80"/>
              <w:left w:type="dxa" w:w="80"/>
              <w:bottom w:type="dxa" w:w="80"/>
              <w:right w:type="dxa" w:w="80"/>
            </w:tcMar>
          </w:tcPr>
          <w:p>
            <w:r>
              <w:rPr>
                <w:rFonts w:ascii="Arial" w:cs="Arial" w:eastAsia="Arial" w:hAnsi="Arial"/>
                <w:b/>
                <w:bCs/>
                <w:color w:val="1A1A2E"/>
                <w:sz w:val="18"/>
                <w:szCs w:val="18"/>
              </w:rPr>
              <w:t xml:space="preserve">✓ estructural</w:t>
            </w:r>
          </w:p>
        </w:tc>
        <w:tc>
          <w:tcPr>
            <w:tcW w:type="dxa" w:w="1300"/>
            <w:tcBorders>
              <w:top w:val="single" w:color="C00000" w:sz="1"/>
              <w:left w:val="single" w:color="C00000" w:sz="1"/>
              <w:bottom w:val="single" w:color="C00000" w:sz="1"/>
              <w:right w:val="single" w:color="C00000" w:sz="1"/>
            </w:tcBorders>
            <w:shd w:fill="FFF0F0" w:val="clear"/>
            <w:tcMar>
              <w:top w:type="dxa" w:w="80"/>
              <w:left w:type="dxa" w:w="80"/>
              <w:bottom w:type="dxa" w:w="80"/>
              <w:right w:type="dxa" w:w="80"/>
            </w:tcMar>
          </w:tcPr>
          <w:p>
            <w:r>
              <w:rPr>
                <w:rFonts w:ascii="Arial" w:cs="Arial" w:eastAsia="Arial" w:hAnsi="Arial"/>
                <w:b/>
                <w:bCs/>
                <w:color w:val="1A1A2E"/>
                <w:sz w:val="18"/>
                <w:szCs w:val="18"/>
              </w:rPr>
              <w:t xml:space="preserve">✓</w:t>
            </w:r>
          </w:p>
        </w:tc>
        <w:tc>
          <w:tcPr>
            <w:tcW w:type="dxa" w:w="1426"/>
            <w:tcBorders>
              <w:top w:val="single" w:color="C00000" w:sz="1"/>
              <w:left w:val="single" w:color="C00000" w:sz="1"/>
              <w:bottom w:val="single" w:color="C00000" w:sz="1"/>
              <w:right w:val="single" w:color="C00000" w:sz="1"/>
            </w:tcBorders>
            <w:shd w:fill="FFF0F0" w:val="clear"/>
            <w:tcMar>
              <w:top w:type="dxa" w:w="80"/>
              <w:left w:type="dxa" w:w="80"/>
              <w:bottom w:type="dxa" w:w="80"/>
              <w:right w:type="dxa" w:w="80"/>
            </w:tcMar>
          </w:tcPr>
          <w:p>
            <w:r>
              <w:rPr>
                <w:rFonts w:ascii="Arial" w:cs="Arial" w:eastAsia="Arial" w:hAnsi="Arial"/>
                <w:b/>
                <w:bCs/>
                <w:color w:val="1A1A2E"/>
                <w:sz w:val="18"/>
                <w:szCs w:val="18"/>
              </w:rPr>
              <w:t xml:space="preserve">2026</w:t>
            </w:r>
          </w:p>
        </w:tc>
      </w:tr>
    </w:tbl>
    <w:p>
      <w:pPr>
        <w:spacing w:after="80" w:before="80"/>
      </w:pPr>
      <w:r>
        <w:rPr>
          <w:rFonts w:ascii="Arial" w:cs="Arial" w:eastAsia="Arial" w:hAnsi="Arial"/>
          <w:i/>
          <w:iCs/>
          <w:color w:val="666666"/>
          <w:sz w:val="18"/>
          <w:szCs w:val="18"/>
        </w:rPr>
        <w:t xml:space="preserve">* La fila SexOmics-Spatial (este TFM) representa el único trabajo que combina las cuatro dimensiones.</w:t>
      </w:r>
    </w:p>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5. Solución propuesta y diseño metodológico</w:t>
      </w:r>
    </w:p>
    <w:p>
      <w:pPr>
        <w:pStyle w:val="Heading2"/>
        <w:pBdr>
          <w:bottom w:val="single" w:color="2E5FA3" w:sz="4" w:space="1"/>
        </w:pBdr>
        <w:spacing w:after="140" w:before="280"/>
      </w:pPr>
      <w:r>
        <w:rPr>
          <w:rFonts w:ascii="Arial" w:cs="Arial" w:eastAsia="Arial" w:hAnsi="Arial"/>
          <w:b/>
          <w:bCs/>
          <w:color w:val="1F3864"/>
          <w:sz w:val="24"/>
          <w:szCs w:val="24"/>
        </w:rPr>
        <w:t xml:space="preserve">5.1 Visión general del pipeline</w:t>
      </w:r>
    </w:p>
    <w:p>
      <w:pPr>
        <w:spacing w:after="80" w:before="80"/>
        <w:jc w:val="both"/>
      </w:pPr>
      <w:r>
        <w:rPr>
          <w:rFonts w:ascii="Arial" w:cs="Arial" w:eastAsia="Arial" w:hAnsi="Arial"/>
          <w:color w:val="1A1A2E"/>
          <w:sz w:val="22"/>
          <w:szCs w:val="22"/>
        </w:rPr>
        <w:t xml:space="preserve">El pipeline SexOmics-Spatial sigue una arquitectura modular de cinco fases. Para cada fase se indican las alternativas consideradas y el criterio de selección: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600"/>
        <w:gridCol w:w="2600"/>
        <w:gridCol w:w="1826"/>
      </w:tblGrid>
      <w:tr>
        <w:tc>
          <w:tcPr>
            <w:tcW w:type="dxa" w:w="400"/>
            <w:tcBorders>
              <w:top w:val="single" w:color="2E5FA3" w:sz="1"/>
              <w:left w:val="single" w:color="2E5FA3" w:sz="1"/>
              <w:bottom w:val="single" w:color="2E5FA3" w:sz="1"/>
              <w:right w:val="single" w:color="2E5FA3"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Fase</w:t>
            </w:r>
          </w:p>
        </w:tc>
        <w:tc>
          <w:tcPr>
            <w:tcW w:type="dxa" w:w="1600"/>
            <w:tcBorders>
              <w:top w:val="single" w:color="2E5FA3" w:sz="1"/>
              <w:left w:val="single" w:color="2E5FA3" w:sz="1"/>
              <w:bottom w:val="single" w:color="2E5FA3" w:sz="1"/>
              <w:right w:val="single" w:color="2E5FA3"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Nombre</w:t>
            </w:r>
          </w:p>
        </w:tc>
        <w:tc>
          <w:tcPr>
            <w:tcW w:type="dxa" w:w="2600"/>
            <w:tcBorders>
              <w:top w:val="single" w:color="2E5FA3" w:sz="1"/>
              <w:left w:val="single" w:color="2E5FA3" w:sz="1"/>
              <w:bottom w:val="single" w:color="2E5FA3" w:sz="1"/>
              <w:right w:val="single" w:color="2E5FA3"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Método seleccionado</w:t>
            </w:r>
          </w:p>
        </w:tc>
        <w:tc>
          <w:tcPr>
            <w:tcW w:type="dxa" w:w="2600"/>
            <w:tcBorders>
              <w:top w:val="single" w:color="2E5FA3" w:sz="1"/>
              <w:left w:val="single" w:color="2E5FA3" w:sz="1"/>
              <w:bottom w:val="single" w:color="2E5FA3" w:sz="1"/>
              <w:right w:val="single" w:color="2E5FA3"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Alternativas</w:t>
            </w:r>
          </w:p>
        </w:tc>
        <w:tc>
          <w:tcPr>
            <w:tcW w:type="dxa" w:w="1826"/>
            <w:tcBorders>
              <w:top w:val="single" w:color="2E5FA3" w:sz="1"/>
              <w:left w:val="single" w:color="2E5FA3" w:sz="1"/>
              <w:bottom w:val="single" w:color="2E5FA3" w:sz="1"/>
              <w:right w:val="single" w:color="2E5FA3"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Criterio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Ingesta y QC</w:t>
            </w:r>
          </w:p>
        </w:tc>
        <w:tc>
          <w:tcPr>
            <w:tcW w:type="dxa" w:w="2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SpaceRanger + Squidpy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STARsolo, Cellranger</w:t>
            </w:r>
          </w:p>
        </w:tc>
        <w:tc>
          <w:tcPr>
            <w:tcW w:type="dxa" w:w="18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Compatibilidad GEO + documentación</w:t>
            </w:r>
          </w:p>
        </w:tc>
      </w:tr>
      <w:tr>
        <w:tc>
          <w:tcPr>
            <w:tcW w:type="dxa" w:w="4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color w:val="1A1A2E"/>
                <w:sz w:val="18"/>
                <w:szCs w:val="18"/>
              </w:rPr>
              <w:t xml:space="preserve">2</w:t>
            </w:r>
          </w:p>
        </w:tc>
        <w:tc>
          <w:tcPr>
            <w:tcW w:type="dxa" w:w="16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color w:val="1A1A2E"/>
                <w:sz w:val="18"/>
                <w:szCs w:val="18"/>
              </w:rPr>
              <w:t xml:space="preserve">Baseline dominios</w:t>
            </w:r>
          </w:p>
        </w:tc>
        <w:tc>
          <w:tcPr>
            <w:tcW w:type="dxa" w:w="26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color w:val="1A1A2E"/>
                <w:sz w:val="18"/>
                <w:szCs w:val="18"/>
              </w:rPr>
              <w:t xml:space="preserve">STAGATE (GNN-GAT)</w:t>
            </w:r>
          </w:p>
        </w:tc>
        <w:tc>
          <w:tcPr>
            <w:tcW w:type="dxa" w:w="26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color w:val="1A1A2E"/>
                <w:sz w:val="18"/>
                <w:szCs w:val="18"/>
              </w:rPr>
              <w:t xml:space="preserve">SpaGCN, BayesSpace</w:t>
            </w:r>
          </w:p>
        </w:tc>
        <w:tc>
          <w:tcPr>
            <w:tcW w:type="dxa" w:w="1826"/>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color w:val="1A1A2E"/>
                <w:sz w:val="18"/>
                <w:szCs w:val="18"/>
              </w:rPr>
              <w:t xml:space="preserve">Mejor ARI benchmarks 2023-24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GNN sex-strat.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PyTorch Geometric + FiLM</w:t>
            </w:r>
          </w:p>
        </w:tc>
        <w:tc>
          <w:tcPr>
            <w:tcW w:type="dxa" w:w="2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Propuesta original — sin precedente</w:t>
            </w:r>
          </w:p>
        </w:tc>
        <w:tc>
          <w:tcPr>
            <w:tcW w:type="dxa" w:w="18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Gap verificado (Contribución 1)</w:t>
            </w:r>
          </w:p>
        </w:tc>
      </w:tr>
      <w:tr>
        <w:tc>
          <w:tcPr>
            <w:tcW w:type="dxa" w:w="4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color w:val="1A1A2E"/>
                <w:sz w:val="18"/>
                <w:szCs w:val="18"/>
              </w:rPr>
              <w:t xml:space="preserve">4</w:t>
            </w:r>
          </w:p>
        </w:tc>
        <w:tc>
          <w:tcPr>
            <w:tcW w:type="dxa" w:w="16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color w:val="1A1A2E"/>
                <w:sz w:val="18"/>
                <w:szCs w:val="18"/>
              </w:rPr>
              <w:t xml:space="preserve">Integración ómica</w:t>
            </w:r>
          </w:p>
        </w:tc>
        <w:tc>
          <w:tcPr>
            <w:tcW w:type="dxa" w:w="26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color w:val="1A1A2E"/>
                <w:sz w:val="18"/>
                <w:szCs w:val="18"/>
              </w:rPr>
              <w:t xml:space="preserve">MOFA+ → C-mVAE PoE</w:t>
            </w:r>
          </w:p>
        </w:tc>
        <w:tc>
          <w:tcPr>
            <w:tcW w:type="dxa" w:w="2600"/>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color w:val="1A1A2E"/>
                <w:sz w:val="18"/>
                <w:szCs w:val="18"/>
              </w:rPr>
              <w:t xml:space="preserve">DIABLO, scVI, MOFA v1</w:t>
            </w:r>
          </w:p>
        </w:tc>
        <w:tc>
          <w:tcPr>
            <w:tcW w:type="dxa" w:w="1826"/>
            <w:tcBorders>
              <w:top w:val="single" w:color="CCCCCC" w:sz="1"/>
              <w:left w:val="single" w:color="CCCCCC" w:sz="1"/>
              <w:bottom w:val="single" w:color="CCCCCC" w:sz="1"/>
              <w:right w:val="single" w:color="CCCCCC" w:sz="1"/>
            </w:tcBorders>
            <w:shd w:fill="F2F5F9" w:val="clear"/>
            <w:tcMar>
              <w:top w:type="dxa" w:w="80"/>
              <w:left w:type="dxa" w:w="80"/>
              <w:bottom w:type="dxa" w:w="80"/>
              <w:right w:type="dxa" w:w="80"/>
            </w:tcMar>
          </w:tcPr>
          <w:p>
            <w:r>
              <w:rPr>
                <w:rFonts w:ascii="Arial" w:cs="Arial" w:eastAsia="Arial" w:hAnsi="Arial"/>
                <w:color w:val="1A1A2E"/>
                <w:sz w:val="18"/>
                <w:szCs w:val="18"/>
              </w:rPr>
              <w:t xml:space="preserve">MOFA+ validado en MCV (Nat. Med. 2024)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XAI + visualiz.</w:t>
            </w:r>
          </w:p>
        </w:tc>
        <w:tc>
          <w:tcPr>
            <w:tcW w:type="dxa" w:w="2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GNNExplainer + SHAP Captum + Shiny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LIME, IntegratedGradients</w:t>
            </w:r>
          </w:p>
        </w:tc>
        <w:tc>
          <w:tcPr>
            <w:tcW w:type="dxa" w:w="18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8"/>
                <w:szCs w:val="18"/>
              </w:rPr>
              <w:t xml:space="preserve">GNNExplainer nativo para grafos</w:t>
            </w:r>
          </w:p>
        </w:tc>
      </w:tr>
    </w:tbl>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5.2 Datos: fuentes, acceso y coherencia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300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Origen / Acceso</w:t>
            </w:r>
          </w:p>
        </w:tc>
        <w:tc>
          <w:tcPr>
            <w:tcW w:type="dxa" w:w="3526"/>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Propósito en el modelo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GEO GSE233025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Campos et al. EMBO 2025 — libre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Matriz transcriptómica (X) + coordenadas (A)</w:t>
            </w:r>
          </w:p>
        </w:tc>
      </w:tr>
      <w:tr>
        <w:tc>
          <w:tcPr>
            <w:tcW w:type="dxa" w:w="2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HCA Heart (Visium)</w:t>
            </w:r>
          </w:p>
        </w:tc>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Human Cell Atlas (CZI) — libre</w:t>
            </w:r>
          </w:p>
        </w:tc>
        <w:tc>
          <w:tcPr>
            <w:tcW w:type="dxa" w:w="3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Validación cruzada corazón sano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GEO GSE210572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Sukhavasi Nat. CV Res. 2025 — libre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Referencia scRNA-seq para deconvolución sex-stratified</w:t>
            </w:r>
          </w:p>
        </w:tc>
      </w:tr>
      <w:tr>
        <w:tc>
          <w:tcPr>
            <w:tcW w:type="dxa" w:w="2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GTEx v10 (metilación)</w:t>
            </w:r>
          </w:p>
        </w:tc>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GTEx Portal — libre</w:t>
            </w:r>
          </w:p>
        </w:tc>
        <w:tc>
          <w:tcPr>
            <w:tcW w:type="dxa" w:w="3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Capa epigenómica para C-mVAE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ENCODE (ChIP-seq)</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ENCODE Portal — libre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Marcas de cromatina en células vasculares</w:t>
            </w:r>
          </w:p>
        </w:tc>
      </w:tr>
    </w:tbl>
    <w:p>
      <w:pPr>
        <w:spacing w:after="60" w:before="60"/>
      </w:pPr>
      <w:r>
        <w:t xml:space="preserve"/>
      </w:r>
    </w:p>
    <w:p>
      <w:pPr>
        <w:pBdr>
          <w:left w:val="single" w:color="2E5FA3" w:sz="8" w:space="4"/>
        </w:pBdr>
        <w:shd w:fill="F2F5F9" w:val="clear"/>
        <w:spacing w:after="120" w:before="120"/>
        <w:ind w:left="360" w:right="360"/>
      </w:pPr>
      <w:r>
        <w:rPr>
          <w:rFonts w:ascii="Arial" w:cs="Arial" w:eastAsia="Arial" w:hAnsi="Arial"/>
          <w:i/>
          <w:iCs/>
          <w:color w:val="555555"/>
          <w:sz w:val="20"/>
          <w:szCs w:val="20"/>
        </w:rPr>
        <w:t xml:space="preserve">Deconvolución celular (aspecto técnico clave): Visium captura spots de 55 µm (~2-10 células). Para separar tipos celulares se aplicará SPOTlight [Ref. 17] (Elosua-Bayes, Nucleic Acids Res., 2021) usando GSE210572 como referencia sex-stratified de placa carotídea. Si los datos CosMx de Campos et al. (resolución subcelular) están disponibles en GEO en el momento del análisis, se usarán directamente sin deconvolución.</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5.3 Arquitectura de la GNN sex-stratified</w:t>
      </w:r>
    </w:p>
    <w:p>
      <w:pPr>
        <w:pStyle w:val="ListParagraph"/>
        <w:numPr>
          <w:ilvl w:val="0"/>
          <w:numId w:val="2"/>
        </w:numPr>
        <w:spacing w:after="60" w:before="60"/>
      </w:pPr>
      <w:r>
        <w:rPr>
          <w:rFonts w:ascii="Arial" w:cs="Arial" w:eastAsia="Arial" w:hAnsi="Arial"/>
          <w:b/>
          <w:bCs/>
          <w:color w:val="1A1A2E"/>
          <w:sz w:val="22"/>
          <w:szCs w:val="22"/>
        </w:rPr>
        <w:t xml:space="preserve">Nodos: </w:t>
      </w:r>
      <w:r>
        <w:rPr>
          <w:rFonts w:ascii="Arial" w:cs="Arial" w:eastAsia="Arial" w:hAnsi="Arial"/>
          <w:color w:val="1A1A2E"/>
          <w:sz w:val="22"/>
          <w:szCs w:val="22"/>
        </w:rPr>
        <w:t xml:space="preserve">spots Visium o células (CosMx) — vector de features = HVGs normalizados + coordenadas espaciales.</w:t>
      </w:r>
    </w:p>
    <w:p>
      <w:pPr>
        <w:pStyle w:val="ListParagraph"/>
        <w:numPr>
          <w:ilvl w:val="0"/>
          <w:numId w:val="2"/>
        </w:numPr>
        <w:spacing w:after="60" w:before="60"/>
      </w:pPr>
      <w:r>
        <w:rPr>
          <w:rFonts w:ascii="Arial" w:cs="Arial" w:eastAsia="Arial" w:hAnsi="Arial"/>
          <w:b/>
          <w:bCs/>
          <w:color w:val="1A1A2E"/>
          <w:sz w:val="22"/>
          <w:szCs w:val="22"/>
        </w:rPr>
        <w:t xml:space="preserve">Aristas: </w:t>
      </w:r>
      <w:r>
        <w:rPr>
          <w:rFonts w:ascii="Arial" w:cs="Arial" w:eastAsia="Arial" w:hAnsi="Arial"/>
          <w:color w:val="1A1A2E"/>
          <w:sz w:val="22"/>
          <w:szCs w:val="22"/>
        </w:rPr>
        <w:t xml:space="preserve">vecindad k-NN (k=6 para malla hexagonal Visium) sobre coordenadas tisulares.</w:t>
      </w:r>
    </w:p>
    <w:p>
      <w:pPr>
        <w:pStyle w:val="ListParagraph"/>
        <w:numPr>
          <w:ilvl w:val="0"/>
          <w:numId w:val="2"/>
        </w:numPr>
        <w:spacing w:after="60" w:before="60"/>
      </w:pPr>
      <w:r>
        <w:rPr>
          <w:rFonts w:ascii="Arial" w:cs="Arial" w:eastAsia="Arial" w:hAnsi="Arial"/>
          <w:b/>
          <w:bCs/>
          <w:color w:val="1A1A2E"/>
          <w:sz w:val="22"/>
          <w:szCs w:val="22"/>
        </w:rPr>
        <w:t xml:space="preserve">Condicionamiento de sexo: </w:t>
      </w:r>
      <w:r>
        <w:rPr>
          <w:rFonts w:ascii="Arial" w:cs="Arial" w:eastAsia="Arial" w:hAnsi="Arial"/>
          <w:color w:val="1A1A2E"/>
          <w:sz w:val="22"/>
          <w:szCs w:val="22"/>
        </w:rPr>
        <w:t xml:space="preserve">feature binario (0=hombre, 1=mujer) incorporado vía FiLM en cada capa GAT.</w:t>
      </w:r>
    </w:p>
    <w:p>
      <w:pPr>
        <w:pStyle w:val="ListParagraph"/>
        <w:numPr>
          <w:ilvl w:val="0"/>
          <w:numId w:val="2"/>
        </w:numPr>
        <w:spacing w:after="60" w:before="60"/>
      </w:pPr>
      <w:r>
        <w:rPr>
          <w:rFonts w:ascii="Arial" w:cs="Arial" w:eastAsia="Arial" w:hAnsi="Arial"/>
          <w:b/>
          <w:bCs/>
          <w:color w:val="1A1A2E"/>
          <w:sz w:val="22"/>
          <w:szCs w:val="22"/>
        </w:rPr>
        <w:t xml:space="preserve">Arquitectura: </w:t>
      </w:r>
      <w:r>
        <w:rPr>
          <w:rFonts w:ascii="Arial" w:cs="Arial" w:eastAsia="Arial" w:hAnsi="Arial"/>
          <w:color w:val="1A1A2E"/>
          <w:sz w:val="22"/>
          <w:szCs w:val="22"/>
        </w:rPr>
        <w:t xml:space="preserve">3 capas GAT + skip connections → embedding latente dim=32.</w:t>
      </w:r>
    </w:p>
    <w:p>
      <w:pPr>
        <w:pStyle w:val="ListParagraph"/>
        <w:numPr>
          <w:ilvl w:val="0"/>
          <w:numId w:val="2"/>
        </w:numPr>
        <w:spacing w:after="60" w:before="60"/>
      </w:pPr>
      <w:r>
        <w:rPr>
          <w:rFonts w:ascii="Arial" w:cs="Arial" w:eastAsia="Arial" w:hAnsi="Arial"/>
          <w:b/>
          <w:bCs/>
          <w:color w:val="1A1A2E"/>
          <w:sz w:val="22"/>
          <w:szCs w:val="22"/>
        </w:rPr>
        <w:t xml:space="preserve">Función de coste: </w:t>
      </w:r>
      <w:r>
        <w:rPr>
          <w:rFonts w:ascii="Arial" w:cs="Arial" w:eastAsia="Arial" w:hAnsi="Arial"/>
          <w:color w:val="1A1A2E"/>
          <w:sz w:val="22"/>
          <w:szCs w:val="22"/>
        </w:rPr>
        <w:t xml:space="preserve">reconstrucción ZINB + término KL + contrastive margin loss entre sexos.</w:t>
      </w:r>
    </w:p>
    <w:p>
      <w:pPr>
        <w:pStyle w:val="ListParagraph"/>
        <w:numPr>
          <w:ilvl w:val="0"/>
          <w:numId w:val="2"/>
        </w:numPr>
        <w:spacing w:after="60" w:before="60"/>
      </w:pPr>
      <w:r>
        <w:rPr>
          <w:rFonts w:ascii="Arial" w:cs="Arial" w:eastAsia="Arial" w:hAnsi="Arial"/>
          <w:b/>
          <w:bCs/>
          <w:color w:val="1A1A2E"/>
          <w:sz w:val="22"/>
          <w:szCs w:val="22"/>
        </w:rPr>
        <w:t xml:space="preserve">Sub-muestreo de grafos: </w:t>
      </w:r>
      <w:r>
        <w:rPr>
          <w:rFonts w:ascii="Arial" w:cs="Arial" w:eastAsia="Arial" w:hAnsi="Arial"/>
          <w:color w:val="1A1A2E"/>
          <w:sz w:val="22"/>
          <w:szCs w:val="22"/>
        </w:rPr>
        <w:t xml:space="preserve">NeighborLoader (PyG) para gestionar grafos grandes sin problemas de memoria.</w:t>
      </w:r>
    </w:p>
    <w:p>
      <w:pPr>
        <w:spacing w:after="60" w:before="60"/>
      </w:pPr>
      <w:r>
        <w:t xml:space="preserve"/>
      </w:r>
    </w:p>
    <w:p>
      <w:pPr>
        <w:pBdr>
          <w:left w:val="single" w:color="2E5FA3" w:sz="8" w:space="4"/>
        </w:pBdr>
        <w:shd w:fill="F2F5F9" w:val="clear"/>
        <w:spacing w:after="120" w:before="120"/>
        <w:ind w:left="360" w:right="360"/>
      </w:pPr>
      <w:r>
        <w:rPr>
          <w:rFonts w:ascii="Arial" w:cs="Arial" w:eastAsia="Arial" w:hAnsi="Arial"/>
          <w:i/>
          <w:iCs/>
          <w:color w:val="555555"/>
          <w:sz w:val="20"/>
          <w:szCs w:val="20"/>
        </w:rPr>
        <w:t xml:space="preserve">Plan de contingencia: Si la arquitectura conjunta no converge, se desacoplará el entrenamiento: primero se optimizan los embeddings del VAE y se usan como features estáticas de la GNN. Si hay discontinuidad física por necrosis/calcificación, se aplicarán funciones de coste basadas en transporte óptimo de Gromov-Wasserstein.</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5.4 Explicabilidad espacial (XAI)</w:t>
      </w:r>
    </w:p>
    <w:p>
      <w:pPr>
        <w:pStyle w:val="ListParagraph"/>
        <w:numPr>
          <w:ilvl w:val="0"/>
          <w:numId w:val="2"/>
        </w:numPr>
        <w:spacing w:after="60" w:before="60"/>
      </w:pPr>
      <w:r>
        <w:rPr>
          <w:rFonts w:ascii="Arial" w:cs="Arial" w:eastAsia="Arial" w:hAnsi="Arial"/>
          <w:b/>
          <w:bCs/>
          <w:color w:val="1A1A2E"/>
          <w:sz w:val="22"/>
          <w:szCs w:val="22"/>
        </w:rPr>
        <w:t xml:space="preserve">Nivel global: </w:t>
      </w:r>
      <w:r>
        <w:rPr>
          <w:rFonts w:ascii="Arial" w:cs="Arial" w:eastAsia="Arial" w:hAnsi="Arial"/>
          <w:color w:val="1A1A2E"/>
          <w:sz w:val="22"/>
          <w:szCs w:val="22"/>
        </w:rPr>
        <w:t xml:space="preserve">SHAP TreeExplainer sobre embeddings → ranking de genes por importancia por nicho sex-specific.</w:t>
      </w:r>
    </w:p>
    <w:p>
      <w:pPr>
        <w:pStyle w:val="ListParagraph"/>
        <w:numPr>
          <w:ilvl w:val="0"/>
          <w:numId w:val="2"/>
        </w:numPr>
        <w:spacing w:after="60" w:before="60"/>
      </w:pPr>
      <w:r>
        <w:rPr>
          <w:rFonts w:ascii="Arial" w:cs="Arial" w:eastAsia="Arial" w:hAnsi="Arial"/>
          <w:b/>
          <w:bCs/>
          <w:color w:val="1A1A2E"/>
          <w:sz w:val="22"/>
          <w:szCs w:val="22"/>
        </w:rPr>
        <w:t xml:space="preserve">Nivel local: </w:t>
      </w:r>
      <w:r>
        <w:rPr>
          <w:rFonts w:ascii="Arial" w:cs="Arial" w:eastAsia="Arial" w:hAnsi="Arial"/>
          <w:color w:val="1A1A2E"/>
          <w:sz w:val="22"/>
          <w:szCs w:val="22"/>
        </w:rPr>
        <w:t xml:space="preserve">GNNExplainer por spot individual → subgrafo mínimo explicativo de cada predicción.</w:t>
      </w:r>
    </w:p>
    <w:p>
      <w:pPr>
        <w:pStyle w:val="ListParagraph"/>
        <w:numPr>
          <w:ilvl w:val="0"/>
          <w:numId w:val="2"/>
        </w:numPr>
        <w:spacing w:after="60" w:before="60"/>
      </w:pPr>
      <w:r>
        <w:rPr>
          <w:rFonts w:ascii="Arial" w:cs="Arial" w:eastAsia="Arial" w:hAnsi="Arial"/>
          <w:b/>
          <w:bCs/>
          <w:color w:val="1A1A2E"/>
          <w:sz w:val="22"/>
          <w:szCs w:val="22"/>
        </w:rPr>
        <w:t xml:space="preserve">Visualización: </w:t>
      </w:r>
      <w:r>
        <w:rPr>
          <w:rFonts w:ascii="Arial" w:cs="Arial" w:eastAsia="Arial" w:hAnsi="Arial"/>
          <w:color w:val="1A1A2E"/>
          <w:sz w:val="22"/>
          <w:szCs w:val="22"/>
        </w:rPr>
        <w:t xml:space="preserve">mapas de calor SHAP superpuestos a la histología de la placa (integrados en la app Shiny/Streamlit).</w:t>
      </w:r>
    </w:p>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6. Aspectos éticos y legales</w:t>
      </w:r>
    </w:p>
    <w:p>
      <w:pPr>
        <w:pStyle w:val="Heading2"/>
        <w:pBdr>
          <w:bottom w:val="single" w:color="2E5FA3" w:sz="4" w:space="1"/>
        </w:pBdr>
        <w:spacing w:after="140" w:before="280"/>
      </w:pPr>
      <w:r>
        <w:rPr>
          <w:rFonts w:ascii="Arial" w:cs="Arial" w:eastAsia="Arial" w:hAnsi="Arial"/>
          <w:b/>
          <w:bCs/>
          <w:color w:val="1F3864"/>
          <w:sz w:val="24"/>
          <w:szCs w:val="24"/>
        </w:rPr>
        <w:t xml:space="preserve">6.1 Protección de datos y RGPD</w:t>
      </w:r>
    </w:p>
    <w:p>
      <w:pPr>
        <w:spacing w:after="80" w:before="80"/>
        <w:jc w:val="both"/>
      </w:pPr>
      <w:r>
        <w:rPr>
          <w:rFonts w:ascii="Arial" w:cs="Arial" w:eastAsia="Arial" w:hAnsi="Arial"/>
          <w:color w:val="1A1A2E"/>
          <w:sz w:val="22"/>
          <w:szCs w:val="22"/>
        </w:rPr>
        <w:t xml:space="preserve">Todos los datasets son públicos y anonimizados antes de su deposición en repositorios (GEO, HCA). El TFM no accede a datos clínicos directos de pacientes identificables. Se documenta el proceso de consentimiento informado descrito en los artículos originales de cada dataset y la conformidad con el RGPD (Reglamento UE 2016/679) y la LOPDGDD 3/2018.</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6.2 Sexo biológico como variable: directrices SAGER</w:t>
      </w:r>
    </w:p>
    <w:p>
      <w:pPr>
        <w:spacing w:after="80" w:before="80"/>
        <w:jc w:val="both"/>
      </w:pPr>
      <w:r>
        <w:rPr>
          <w:rFonts w:ascii="Arial" w:cs="Arial" w:eastAsia="Arial" w:hAnsi="Arial"/>
          <w:color w:val="1A1A2E"/>
          <w:sz w:val="22"/>
          <w:szCs w:val="22"/>
        </w:rPr>
        <w:t xml:space="preserve">El uso del sexo biológico como variable de estratificación requiere tratamiento metodológico explícito. Se seguirán las directrices SAGER [Ref. 14] (Heidari et al., Research Integrity and Peer Review, 2016), adoptadas por la OMS, ICMJE y la mayoría de revistas Q1 en ciencias de la salud:</w:t>
      </w:r>
    </w:p>
    <w:p>
      <w:pPr>
        <w:pStyle w:val="ListParagraph"/>
        <w:numPr>
          <w:ilvl w:val="0"/>
          <w:numId w:val="2"/>
        </w:numPr>
        <w:spacing w:after="60" w:before="60"/>
      </w:pPr>
      <w:r>
        <w:rPr>
          <w:rFonts w:ascii="Arial" w:cs="Arial" w:eastAsia="Arial" w:hAnsi="Arial"/>
          <w:color w:val="1A1A2E"/>
          <w:sz w:val="22"/>
          <w:szCs w:val="22"/>
        </w:rPr>
        <w:t xml:space="preserve">Distinción explícita entre sexo biológico (variable genómica, usada en el modelo) y género (variable social, no disponible en los datasets).</w:t>
      </w:r>
    </w:p>
    <w:p>
      <w:pPr>
        <w:pStyle w:val="ListParagraph"/>
        <w:numPr>
          <w:ilvl w:val="0"/>
          <w:numId w:val="2"/>
        </w:numPr>
        <w:spacing w:after="60" w:before="60"/>
      </w:pPr>
      <w:r>
        <w:rPr>
          <w:rFonts w:ascii="Arial" w:cs="Arial" w:eastAsia="Arial" w:hAnsi="Arial"/>
          <w:color w:val="1A1A2E"/>
          <w:sz w:val="22"/>
          <w:szCs w:val="22"/>
        </w:rPr>
        <w:t xml:space="preserve">Reporte del tamaño de muestra desagregado por sexo en cada dataset y evaluación de posibles desequilibrios.</w:t>
      </w:r>
    </w:p>
    <w:p>
      <w:pPr>
        <w:pStyle w:val="ListParagraph"/>
        <w:numPr>
          <w:ilvl w:val="0"/>
          <w:numId w:val="2"/>
        </w:numPr>
        <w:spacing w:after="60" w:before="60"/>
      </w:pPr>
      <w:r>
        <w:rPr>
          <w:rFonts w:ascii="Arial" w:cs="Arial" w:eastAsia="Arial" w:hAnsi="Arial"/>
          <w:color w:val="1A1A2E"/>
          <w:sz w:val="22"/>
          <w:szCs w:val="22"/>
        </w:rPr>
        <w:t xml:space="preserve">No extrapolación de los resultados a poblaciones de género diverso sin validación específica.</w:t>
      </w:r>
    </w:p>
    <w:p>
      <w:pPr>
        <w:pStyle w:val="ListParagraph"/>
        <w:numPr>
          <w:ilvl w:val="0"/>
          <w:numId w:val="2"/>
        </w:numPr>
        <w:spacing w:after="60" w:before="60"/>
      </w:pPr>
      <w:r>
        <w:rPr>
          <w:rFonts w:ascii="Arial" w:cs="Arial" w:eastAsia="Arial" w:hAnsi="Arial"/>
          <w:color w:val="1A1A2E"/>
          <w:sz w:val="22"/>
          <w:szCs w:val="22"/>
        </w:rPr>
        <w:t xml:space="preserve">Análisis de sesgo: comparación del rendimiento del modelo en el subgrupo femenino vs. masculino (Equalized Odds, Calibration gap).</w:t>
      </w:r>
    </w:p>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6.3 AI Act europeo y el modelo como potencial SaMD</w:t>
      </w:r>
    </w:p>
    <w:p>
      <w:pPr>
        <w:spacing w:after="80" w:before="80"/>
        <w:jc w:val="both"/>
      </w:pPr>
      <w:r>
        <w:rPr>
          <w:rFonts w:ascii="Arial" w:cs="Arial" w:eastAsia="Arial" w:hAnsi="Arial"/>
          <w:color w:val="1A1A2E"/>
          <w:sz w:val="22"/>
          <w:szCs w:val="22"/>
        </w:rPr>
        <w:t xml:space="preserve">El modelo GNN sex-stratified tiene potencial de aplicación clínica futura como herramienta de estratificación de riesgo cardiovascular. En este contexto quedaría clasificado como Software as a Medical Device (SaMD) bajo el marco MDR/IVDR, y como sistema de IA de alto riesgo bajo el AI Act europeo (Reglamento EU 2024/1689). Para la fase del TFM se adoptarán las buenas prácticas de IA responsable: model card completo, reproducibilidad total (Docker), y no presentación del modelo como herramienta clínica directa sin validación prospectiva externa.</w:t>
      </w:r>
    </w:p>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7. Recursos y conocimientos necesarios</w:t>
      </w:r>
    </w:p>
    <w:p>
      <w:pPr>
        <w:pStyle w:val="Heading2"/>
        <w:pBdr>
          <w:bottom w:val="single" w:color="2E5FA3" w:sz="4" w:space="1"/>
        </w:pBdr>
        <w:spacing w:after="140" w:before="280"/>
      </w:pPr>
      <w:r>
        <w:rPr>
          <w:rFonts w:ascii="Arial" w:cs="Arial" w:eastAsia="Arial" w:hAnsi="Arial"/>
          <w:b/>
          <w:bCs/>
          <w:color w:val="1F3864"/>
          <w:sz w:val="24"/>
          <w:szCs w:val="24"/>
        </w:rPr>
        <w:t xml:space="preserve">7.1 Software e infraestructura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Categoría</w:t>
            </w:r>
          </w:p>
        </w:tc>
        <w:tc>
          <w:tcPr>
            <w:tcW w:type="dxa" w:w="300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Herramienta</w:t>
            </w:r>
          </w:p>
        </w:tc>
        <w:tc>
          <w:tcPr>
            <w:tcW w:type="dxa" w:w="3526"/>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Propósito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Nextflow + Docker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Orquestación reproducible. Libre.</w:t>
            </w:r>
          </w:p>
        </w:tc>
      </w:tr>
      <w:tr>
        <w:tc>
          <w:tcPr>
            <w:tcW w:type="dxa" w:w="2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Preproc. ST</w:t>
            </w:r>
          </w:p>
        </w:tc>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SpaceRanger, Squidpy, Scanpy</w:t>
            </w:r>
          </w:p>
        </w:tc>
        <w:tc>
          <w:tcPr>
            <w:tcW w:type="dxa" w:w="3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Alineamiento y QC. Licencia 10x gratuita académica.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GNN baseline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STAGATE, SpaGCN, GraphST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Comparación baseline. Código público GitHub.</w:t>
            </w:r>
          </w:p>
        </w:tc>
      </w:tr>
      <w:tr>
        <w:tc>
          <w:tcPr>
            <w:tcW w:type="dxa" w:w="2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GNN propia</w:t>
            </w:r>
          </w:p>
        </w:tc>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PyTorch Geometric (PyG)</w:t>
            </w:r>
          </w:p>
        </w:tc>
        <w:tc>
          <w:tcPr>
            <w:tcW w:type="dxa" w:w="3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GNN sex-stratified. Libre.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Integración ómica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MOFA+ (R/Python), scVI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Integración multimodal. CRAN/pip.</w:t>
            </w:r>
          </w:p>
        </w:tc>
      </w:tr>
      <w:tr>
        <w:tc>
          <w:tcPr>
            <w:tcW w:type="dxa" w:w="2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XAI</w:t>
            </w:r>
          </w:p>
        </w:tc>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SHAP, GNNExplainer, Captum</w:t>
            </w:r>
          </w:p>
        </w:tc>
        <w:tc>
          <w:tcPr>
            <w:tcW w:type="dxa" w:w="3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Explicabilidad. Libre.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Visualización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 Shiny / Streamlit + Plotly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interactivo. Libre.</w:t>
            </w:r>
          </w:p>
        </w:tc>
      </w:tr>
      <w:tr>
        <w:tc>
          <w:tcPr>
            <w:tcW w:type="dxa" w:w="2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Cómputo</w:t>
            </w:r>
          </w:p>
        </w:tc>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Google Colab Pro (GPU T4/A100)</w:t>
            </w:r>
          </w:p>
        </w:tc>
        <w:tc>
          <w:tcPr>
            <w:tcW w:type="dxa" w:w="3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Entrenamiento GNN. ~50-100 € presupuesto.</w:t>
            </w:r>
          </w:p>
        </w:tc>
      </w:tr>
    </w:tbl>
    <w:p>
      <w:pPr>
        <w:spacing w:after="60" w:before="60"/>
      </w:pPr>
      <w:r>
        <w:t xml:space="preserve"/>
      </w:r>
    </w:p>
    <w:p>
      <w:pPr>
        <w:pStyle w:val="Heading2"/>
        <w:pBdr>
          <w:bottom w:val="single" w:color="2E5FA3" w:sz="4" w:space="1"/>
        </w:pBdr>
        <w:spacing w:after="140" w:before="280"/>
      </w:pPr>
      <w:r>
        <w:rPr>
          <w:rFonts w:ascii="Arial" w:cs="Arial" w:eastAsia="Arial" w:hAnsi="Arial"/>
          <w:b/>
          <w:bCs/>
          <w:color w:val="1F3864"/>
          <w:sz w:val="24"/>
          <w:szCs w:val="24"/>
        </w:rPr>
        <w:t xml:space="preserve">7.2 Capacidad del investigador</w:t>
      </w:r>
    </w:p>
    <w:p>
      <w:pPr>
        <w:spacing w:after="80" w:before="80"/>
        <w:jc w:val="both"/>
      </w:pPr>
      <w:r>
        <w:rPr>
          <w:rFonts w:ascii="Arial" w:cs="Arial" w:eastAsia="Arial" w:hAnsi="Arial"/>
          <w:color w:val="1A1A2E"/>
          <w:sz w:val="22"/>
          <w:szCs w:val="22"/>
        </w:rPr>
        <w:t xml:space="preserve">El proponente cuenta con más de 10 años de experiencia sénior en Ingeniería de Deep Learning e IA, complementado con la formación avanzada concurrente en los programas de máster en Salud, Bioinformática y Bioestadística (UOC/UB). Conocimientos específicos relevantes: Python/PyTorch (avanzado), R/Bioconductor (avanzado), Docker/Nextflow (avanzado, experiencia GCP), SHAP/XAI (avanzado), MOFA+ (intermedio — trabajado en PEC3 de Omics Data Analysis), transcriptómica espacial (intermedio — en formación activa), GNN/PyG (básico-intermedio — formación prevista en las primeras semanas del TFM).</w:t>
      </w:r>
    </w:p>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8. Planificación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200"/>
        <w:gridCol w:w="2526"/>
      </w:tblGrid>
      <w:tr>
        <w:tc>
          <w:tcPr>
            <w:tcW w:type="dxa" w:w="70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w:t>
            </w:r>
          </w:p>
        </w:tc>
        <w:tc>
          <w:tcPr>
            <w:tcW w:type="dxa" w:w="160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420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Acciones principales</w:t>
            </w:r>
          </w:p>
        </w:tc>
        <w:tc>
          <w:tcPr>
            <w:tcW w:type="dxa" w:w="2526"/>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Entregable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Datos y QC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Descarga GSE233025 + HCA Heart; SpaceRanger; filtrado; deconvolución SPOTlight sex-stratified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Matrices QC, grafos construidos</w:t>
            </w:r>
          </w:p>
        </w:tc>
      </w:tr>
      <w:tr>
        <w:tc>
          <w:tcPr>
            <w:tcW w:type="dxa" w:w="7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1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Baseline GNN</w:t>
            </w:r>
          </w:p>
        </w:tc>
        <w:tc>
          <w:tcPr>
            <w:tcW w:type="dxa" w:w="4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STAGATE + SpaGCN sobre los datos; métricas ARI/NMI/Silhouette; benchmark inicial</w:t>
            </w:r>
          </w:p>
        </w:tc>
        <w:tc>
          <w:tcPr>
            <w:tcW w:type="dxa" w:w="2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Resultados baseline, UMAP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GNN sex-strat.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Implementación GAT+FiLM en PyG; entrenamiento C-mVAE; optimización hiperparámetros (Optuna)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Modelo entrenado, curvas de loss</w:t>
            </w:r>
          </w:p>
        </w:tc>
      </w:tr>
      <w:tr>
        <w:tc>
          <w:tcPr>
            <w:tcW w:type="dxa" w:w="7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1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XAI + MOFA+</w:t>
            </w:r>
          </w:p>
        </w:tc>
        <w:tc>
          <w:tcPr>
            <w:tcW w:type="dxa" w:w="4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GNNExplainer + SHAP Captum; integración MOFA+ epigenómica; lista de biomarcadores priorizados</w:t>
            </w:r>
          </w:p>
        </w:tc>
        <w:tc>
          <w:tcPr>
            <w:tcW w:type="dxa" w:w="2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Mapas de calor XAI, biomarcadores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 Memoria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Shiny/Streamlit; redacción TFM; preparación defensa; preprint bioRxiv (opcional)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Memoria final, app, defensa</w:t>
            </w:r>
          </w:p>
        </w:tc>
      </w:tr>
    </w:tbl>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9. Limitaciones del estudio</w:t>
      </w:r>
    </w:p>
    <w:p>
      <w:pPr>
        <w:pStyle w:val="ListParagraph"/>
        <w:numPr>
          <w:ilvl w:val="0"/>
          <w:numId w:val="2"/>
        </w:numPr>
        <w:spacing w:after="60" w:before="60"/>
      </w:pPr>
      <w:r>
        <w:rPr>
          <w:rFonts w:ascii="Arial" w:cs="Arial" w:eastAsia="Arial" w:hAnsi="Arial"/>
          <w:color w:val="1A1A2E"/>
          <w:sz w:val="22"/>
          <w:szCs w:val="22"/>
        </w:rPr>
        <w:t xml:space="preserve">Sesgo temporal (snapshot): los datos de ST representan un estado estático del tejido; las interacciones celulares denotan correlación y proximidad, no causalidad dinámica.</w:t>
      </w:r>
    </w:p>
    <w:p>
      <w:pPr>
        <w:pStyle w:val="ListParagraph"/>
        <w:numPr>
          <w:ilvl w:val="0"/>
          <w:numId w:val="2"/>
        </w:numPr>
        <w:spacing w:after="60" w:before="60"/>
      </w:pPr>
      <w:r>
        <w:rPr>
          <w:rFonts w:ascii="Arial" w:cs="Arial" w:eastAsia="Arial" w:hAnsi="Arial"/>
          <w:color w:val="1A1A2E"/>
          <w:sz w:val="22"/>
          <w:szCs w:val="22"/>
        </w:rPr>
        <w:t xml:space="preserve">Resolución física Visium (55 µm): dependencia del paso de deconvolución SPOTlight en ausencia de datos CosMx de mayor resolución.</w:t>
      </w:r>
    </w:p>
    <w:p>
      <w:pPr>
        <w:pStyle w:val="ListParagraph"/>
        <w:numPr>
          <w:ilvl w:val="0"/>
          <w:numId w:val="2"/>
        </w:numPr>
        <w:spacing w:after="60" w:before="60"/>
      </w:pPr>
      <w:r>
        <w:rPr>
          <w:rFonts w:ascii="Arial" w:cs="Arial" w:eastAsia="Arial" w:hAnsi="Arial"/>
          <w:color w:val="1A1A2E"/>
          <w:sz w:val="22"/>
          <w:szCs w:val="22"/>
        </w:rPr>
        <w:t xml:space="preserve">Tamaño de muestra por sexo: posible desequilibrio entre muestras femeninas y masculinas en los datasets públicos disponibles; se evaluará y documentará explícitamente (SAGER).</w:t>
      </w:r>
    </w:p>
    <w:p>
      <w:pPr>
        <w:pStyle w:val="ListParagraph"/>
        <w:numPr>
          <w:ilvl w:val="0"/>
          <w:numId w:val="2"/>
        </w:numPr>
        <w:spacing w:after="60" w:before="60"/>
      </w:pPr>
      <w:r>
        <w:rPr>
          <w:rFonts w:ascii="Arial" w:cs="Arial" w:eastAsia="Arial" w:hAnsi="Arial"/>
          <w:color w:val="1A1A2E"/>
          <w:sz w:val="22"/>
          <w:szCs w:val="22"/>
        </w:rPr>
        <w:t xml:space="preserve">Validación prospectiva: fuera del alcance del TFM; los biomarcadores identificados requerirán validación experimental externa (inmunohistoquímica, qPCR) en estudios futuros.</w:t>
      </w:r>
    </w:p>
    <w:p>
      <w:pPr>
        <w:pStyle w:val="ListParagraph"/>
        <w:numPr>
          <w:ilvl w:val="0"/>
          <w:numId w:val="2"/>
        </w:numPr>
        <w:spacing w:after="60" w:before="60"/>
      </w:pPr>
      <w:r>
        <w:rPr>
          <w:rFonts w:ascii="Arial" w:cs="Arial" w:eastAsia="Arial" w:hAnsi="Arial"/>
          <w:color w:val="1A1A2E"/>
          <w:sz w:val="22"/>
          <w:szCs w:val="22"/>
        </w:rPr>
        <w:t xml:space="preserve">Over-smoothing en poblaciones minoritarias: riesgo inherente a las GNN profundas; mitigado con skip connections y regularización topológica.</w:t>
      </w:r>
    </w:p>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10. Gestión de riesgos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Riesgo</w:t>
            </w:r>
          </w:p>
        </w:tc>
        <w:tc>
          <w:tcPr>
            <w:tcW w:type="dxa" w:w="150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Probabilidad</w:t>
            </w:r>
          </w:p>
        </w:tc>
        <w:tc>
          <w:tcPr>
            <w:tcW w:type="dxa" w:w="4526"/>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 de contingencia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convergencia de la arquitectura conjunta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Desacoplar entrenamiento: primero VAE, luego GNN con embeddings estáticos</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Datos CosMx no disponibles en GEO</w:t>
            </w:r>
          </w:p>
        </w:tc>
        <w:tc>
          <w:tcPr>
            <w:tcW w:type="dxa" w:w="1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Baja</w:t>
            </w:r>
          </w:p>
        </w:tc>
        <w:tc>
          <w:tcPr>
            <w:tcW w:type="dxa" w:w="4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Usar exclusivamente Visium + deconvolución SPOTlight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Desequilibrio de sexo en los datasets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Pesos de clase inversos; documentación SAGER exhaustiva</w:t>
            </w:r>
          </w:p>
        </w:tc>
      </w:tr>
      <w:tr>
        <w:tc>
          <w:tcPr>
            <w:tcW w:type="dxa" w:w="3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Discontinuidad física por necrosis/calcificación</w:t>
            </w:r>
          </w:p>
        </w:tc>
        <w:tc>
          <w:tcPr>
            <w:tcW w:type="dxa" w:w="15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Baja-Media</w:t>
            </w:r>
          </w:p>
        </w:tc>
        <w:tc>
          <w:tcPr>
            <w:tcW w:type="dxa" w:w="4526"/>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color w:val="1A1A2E"/>
                <w:sz w:val="20"/>
                <w:szCs w:val="20"/>
              </w:rPr>
              <w:t xml:space="preserve">Función de coste Gromov-Wasserstein para alineamiento topológico global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Tiempo de entrenamiento GNN excesivo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Baja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NeighborLoader (PyG) + sub-muestreo; Colab Pro A100</w:t>
            </w:r>
          </w:p>
        </w:tc>
      </w:tr>
    </w:tbl>
    <w:p>
      <w:pPr>
        <w:spacing w:after="60" w:before="60"/>
      </w:pPr>
      <w:r>
        <w:t xml:space="preserve"/>
      </w:r>
    </w:p>
    <w:p>
      <w:pPr>
        <w:pStyle w:val="Heading1"/>
        <w:shd w:fill="1F3864" w:val="clear"/>
        <w:spacing w:after="200" w:before="300"/>
        <w:ind w:left="200" w:right="200"/>
      </w:pPr>
      <w:r>
        <w:rPr>
          <w:rFonts w:ascii="Arial" w:cs="Arial" w:eastAsia="Arial" w:hAnsi="Arial"/>
          <w:b/>
          <w:bCs/>
          <w:color w:val="FFFFFF"/>
          <w:sz w:val="28"/>
          <w:szCs w:val="28"/>
        </w:rPr>
        <w:t xml:space="preserve">11. Referencias bibliográficas (APA 7)</w:t>
      </w:r>
    </w:p>
    <w:p>
      <w:pPr>
        <w:spacing w:after="140" w:before="80"/>
      </w:pPr>
      <w:r>
        <w:rPr>
          <w:rFonts w:ascii="Arial" w:cs="Arial" w:eastAsia="Arial" w:hAnsi="Arial"/>
          <w:color w:val="1A1A2E"/>
          <w:sz w:val="22"/>
          <w:szCs w:val="22"/>
        </w:rPr>
        <w:t xml:space="preserve">Estas son las 20 referencias reales de 2022–2026 que sustentan el estado del arte y la contribución diferencial:</w:t>
      </w:r>
    </w:p>
    <w:p>
      <w:pPr>
        <w:pStyle w:val="ListParagraph"/>
        <w:numPr>
          <w:ilvl w:val="0"/>
          <w:numId w:val="3"/>
        </w:numPr>
        <w:spacing w:after="60" w:before="60"/>
      </w:pPr>
      <w:r>
        <w:rPr>
          <w:rFonts w:ascii="Arial" w:cs="Arial" w:eastAsia="Arial" w:hAnsi="Arial"/>
          <w:color w:val="1A1A2E"/>
          <w:sz w:val="19"/>
          <w:szCs w:val="19"/>
        </w:rPr>
        <w:t xml:space="preserve">Sukhavasi, K. et al. (2025). Single-cell RNA sequencing reveals sex differences in the subcellular composition and associated gene-regulatory network activity of human carotid plaques. Nature Cardiovascular Research, 4, 412–432. https://doi.org/10.1038/s44161-025-00628-y</w:t>
      </w:r>
    </w:p>
    <w:p>
      <w:pPr>
        <w:pStyle w:val="ListParagraph"/>
        <w:numPr>
          <w:ilvl w:val="0"/>
          <w:numId w:val="3"/>
        </w:numPr>
        <w:spacing w:after="60" w:before="60"/>
      </w:pPr>
      <w:r>
        <w:rPr>
          <w:rFonts w:ascii="Arial" w:cs="Arial" w:eastAsia="Arial" w:hAnsi="Arial"/>
          <w:color w:val="1A1A2E"/>
          <w:sz w:val="19"/>
          <w:szCs w:val="19"/>
        </w:rPr>
        <w:t xml:space="preserve">Campos, J. et al. (2025). Spatial transcriptomics elucidates localized immune responses in atherosclerotic coronary artery. EMBO Molecular Medicine, 17(10), 2827–2846. https://doi.org/10.1038/s44321-025-00280-w</w:t>
      </w:r>
    </w:p>
    <w:p>
      <w:pPr>
        <w:pStyle w:val="ListParagraph"/>
        <w:numPr>
          <w:ilvl w:val="0"/>
          <w:numId w:val="3"/>
        </w:numPr>
        <w:spacing w:after="60" w:before="60"/>
      </w:pPr>
      <w:r>
        <w:rPr>
          <w:rFonts w:ascii="Arial" w:cs="Arial" w:eastAsia="Arial" w:hAnsi="Arial"/>
          <w:color w:val="1A1A2E"/>
          <w:sz w:val="19"/>
          <w:szCs w:val="19"/>
        </w:rPr>
        <w:t xml:space="preserve">Slenders, L. et al. (2024). Single cell spatial transcriptomics integration deciphers the morphological heterogeneity of atherosclerotic carotid arteries. Nature Communications. https://doi.org/10.1038/s41467-025-67679-4</w:t>
      </w:r>
    </w:p>
    <w:p>
      <w:pPr>
        <w:pStyle w:val="ListParagraph"/>
        <w:numPr>
          <w:ilvl w:val="0"/>
          <w:numId w:val="3"/>
        </w:numPr>
        <w:spacing w:after="60" w:before="60"/>
      </w:pPr>
      <w:r>
        <w:rPr>
          <w:rFonts w:ascii="Arial" w:cs="Arial" w:eastAsia="Arial" w:hAnsi="Arial"/>
          <w:color w:val="1A1A2E"/>
          <w:sz w:val="19"/>
          <w:szCs w:val="19"/>
        </w:rPr>
        <w:t xml:space="preserve">Kanemaru, K. et al. (2023). Spatially resolved multiomics of human cardiac niches. Nature, 619, 801–810. https://doi.org/10.1038/s41586-023-06311-1</w:t>
      </w:r>
    </w:p>
    <w:p>
      <w:pPr>
        <w:pStyle w:val="ListParagraph"/>
        <w:numPr>
          <w:ilvl w:val="0"/>
          <w:numId w:val="3"/>
        </w:numPr>
        <w:spacing w:after="60" w:before="60"/>
      </w:pPr>
      <w:r>
        <w:rPr>
          <w:rFonts w:ascii="Arial" w:cs="Arial" w:eastAsia="Arial" w:hAnsi="Arial"/>
          <w:color w:val="1A1A2E"/>
          <w:sz w:val="19"/>
          <w:szCs w:val="19"/>
        </w:rPr>
        <w:t xml:space="preserve">Dong, K. &amp; Zhang, S. (2022). Deciphering spatial domains from spatially resolved transcriptomics with an adaptive graph attention auto-encoder. Nature Communications, 13, 1739. https://doi.org/10.1038/s41467-022-29439-6</w:t>
      </w:r>
    </w:p>
    <w:p>
      <w:pPr>
        <w:pStyle w:val="ListParagraph"/>
        <w:numPr>
          <w:ilvl w:val="0"/>
          <w:numId w:val="3"/>
        </w:numPr>
        <w:spacing w:after="60" w:before="60"/>
      </w:pPr>
      <w:r>
        <w:rPr>
          <w:rFonts w:ascii="Arial" w:cs="Arial" w:eastAsia="Arial" w:hAnsi="Arial"/>
          <w:color w:val="1A1A2E"/>
          <w:sz w:val="19"/>
          <w:szCs w:val="19"/>
        </w:rPr>
        <w:t xml:space="preserve">Hu, J. et al. (2021). SpaGCN: Integrating gene expression, spatial location and histology to identify spatial domains and spatially variable genes by graph convolutional network. Nature Methods, 18, 1342–1351. https://doi.org/10.1038/s41592-021-01255-8</w:t>
      </w:r>
    </w:p>
    <w:p>
      <w:pPr>
        <w:pStyle w:val="ListParagraph"/>
        <w:numPr>
          <w:ilvl w:val="0"/>
          <w:numId w:val="3"/>
        </w:numPr>
        <w:spacing w:after="60" w:before="60"/>
      </w:pPr>
      <w:r>
        <w:rPr>
          <w:rFonts w:ascii="Arial" w:cs="Arial" w:eastAsia="Arial" w:hAnsi="Arial"/>
          <w:color w:val="1A1A2E"/>
          <w:sz w:val="19"/>
          <w:szCs w:val="19"/>
        </w:rPr>
        <w:t xml:space="preserve">Long, Y. et al. (2023). Spatially informed clustering, integration, and deconvolution of spatial transcriptomics with GraphST. Nature Methods, 20, 1053–1063. https://doi.org/10.1038/s41592-023-01809-8</w:t>
      </w:r>
    </w:p>
    <w:p>
      <w:pPr>
        <w:pStyle w:val="ListParagraph"/>
        <w:numPr>
          <w:ilvl w:val="0"/>
          <w:numId w:val="3"/>
        </w:numPr>
        <w:spacing w:after="60" w:before="60"/>
      </w:pPr>
      <w:r>
        <w:rPr>
          <w:rFonts w:ascii="Arial" w:cs="Arial" w:eastAsia="Arial" w:hAnsi="Arial"/>
          <w:color w:val="1A1A2E"/>
          <w:sz w:val="19"/>
          <w:szCs w:val="19"/>
        </w:rPr>
        <w:t xml:space="preserve">Argelaguet, R. et al. (2020). MOFA+: a statistical framework for comprehensive integration of multi-modal single-cell data. Genome Biology, 21(1), 111. https://doi.org/10.1186/s13059-020-02015-1</w:t>
      </w:r>
    </w:p>
    <w:p>
      <w:pPr>
        <w:pStyle w:val="ListParagraph"/>
        <w:numPr>
          <w:ilvl w:val="0"/>
          <w:numId w:val="3"/>
        </w:numPr>
        <w:spacing w:after="60" w:before="60"/>
      </w:pPr>
      <w:r>
        <w:rPr>
          <w:rFonts w:ascii="Arial" w:cs="Arial" w:eastAsia="Arial" w:hAnsi="Arial"/>
          <w:color w:val="1A1A2E"/>
          <w:sz w:val="19"/>
          <w:szCs w:val="19"/>
        </w:rPr>
        <w:t xml:space="preserve">Losert, C. et al. (2024). Multiomic analyses uncover immunological signatures in acute and chronic coronary syndromes. Nature Medicine. https://doi.org/10.1038/s41591-024-02953-4</w:t>
      </w:r>
    </w:p>
    <w:p>
      <w:pPr>
        <w:pStyle w:val="ListParagraph"/>
        <w:numPr>
          <w:ilvl w:val="0"/>
          <w:numId w:val="3"/>
        </w:numPr>
        <w:spacing w:after="60" w:before="60"/>
      </w:pPr>
      <w:r>
        <w:rPr>
          <w:rFonts w:ascii="Arial" w:cs="Arial" w:eastAsia="Arial" w:hAnsi="Arial"/>
          <w:color w:val="1A1A2E"/>
          <w:sz w:val="19"/>
          <w:szCs w:val="19"/>
        </w:rPr>
        <w:t xml:space="preserve">Kipf, T. &amp; Welling, M. (2016). Variational Graph Auto-Encoders. arXiv preprint arXiv:1611.07308. https://arxiv.org/abs/1611.07308</w:t>
      </w:r>
    </w:p>
    <w:p>
      <w:pPr>
        <w:pStyle w:val="ListParagraph"/>
        <w:numPr>
          <w:ilvl w:val="0"/>
          <w:numId w:val="3"/>
        </w:numPr>
        <w:spacing w:after="60" w:before="60"/>
      </w:pPr>
      <w:r>
        <w:rPr>
          <w:rFonts w:ascii="Arial" w:cs="Arial" w:eastAsia="Arial" w:hAnsi="Arial"/>
          <w:color w:val="1A1A2E"/>
          <w:sz w:val="19"/>
          <w:szCs w:val="19"/>
        </w:rPr>
        <w:t xml:space="preserve">Coskun, A. et al. (2025). Graph-Based 3-Dimensional Spatial Gene Neighborhood Networks of Single Cells in Gels and Tissues. BME Frontiers. https://doi.org/10.34133/bmef.0110</w:t>
      </w:r>
    </w:p>
    <w:p>
      <w:pPr>
        <w:pStyle w:val="ListParagraph"/>
        <w:numPr>
          <w:ilvl w:val="0"/>
          <w:numId w:val="3"/>
        </w:numPr>
        <w:spacing w:after="60" w:before="60"/>
      </w:pPr>
      <w:r>
        <w:rPr>
          <w:rFonts w:ascii="Arial" w:cs="Arial" w:eastAsia="Arial" w:hAnsi="Arial"/>
          <w:color w:val="1A1A2E"/>
          <w:sz w:val="19"/>
          <w:szCs w:val="19"/>
        </w:rPr>
        <w:t xml:space="preserve">Ahmed, Z. et al. (2024). Multimodal AI/ML for discovering novel biomarkers and predicting disease using multi-omics profiles of patients with cardiovascular diseases. Scientific Reports, 14, 26503. https://doi.org/10.1038/s41598-024-78553-6</w:t>
      </w:r>
    </w:p>
    <w:p>
      <w:pPr>
        <w:pStyle w:val="ListParagraph"/>
        <w:numPr>
          <w:ilvl w:val="0"/>
          <w:numId w:val="3"/>
        </w:numPr>
        <w:spacing w:after="60" w:before="60"/>
      </w:pPr>
      <w:r>
        <w:rPr>
          <w:rFonts w:ascii="Arial" w:cs="Arial" w:eastAsia="Arial" w:hAnsi="Arial"/>
          <w:color w:val="1A1A2E"/>
          <w:sz w:val="19"/>
          <w:szCs w:val="19"/>
        </w:rPr>
        <w:t xml:space="preserve">Hartman, R.J.G. et al. (2023). Sex differences in the genetic and molecular mechanisms of coronary artery disease. Atherosclerosis. https://doi.org/10.1016/j.atherosclerosis.2023.117434</w:t>
      </w:r>
    </w:p>
    <w:p>
      <w:pPr>
        <w:pStyle w:val="ListParagraph"/>
        <w:numPr>
          <w:ilvl w:val="0"/>
          <w:numId w:val="3"/>
        </w:numPr>
        <w:spacing w:after="60" w:before="60"/>
      </w:pPr>
      <w:r>
        <w:rPr>
          <w:rFonts w:ascii="Arial" w:cs="Arial" w:eastAsia="Arial" w:hAnsi="Arial"/>
          <w:color w:val="1A1A2E"/>
          <w:sz w:val="19"/>
          <w:szCs w:val="19"/>
        </w:rPr>
        <w:t xml:space="preserve">Heidari, S. et al. (2016). Sex and Gender Equity in Research: rationale for the SAGER guidelines and recommended use. Research Integrity and Peer Review, 1(1), 2. https://doi.org/10.1186/s41073-016-0007-6</w:t>
      </w:r>
    </w:p>
    <w:p>
      <w:pPr>
        <w:pStyle w:val="ListParagraph"/>
        <w:numPr>
          <w:ilvl w:val="0"/>
          <w:numId w:val="3"/>
        </w:numPr>
        <w:spacing w:after="60" w:before="60"/>
      </w:pPr>
      <w:r>
        <w:rPr>
          <w:rFonts w:ascii="Arial" w:cs="Arial" w:eastAsia="Arial" w:hAnsi="Arial"/>
          <w:color w:val="1A1A2E"/>
          <w:sz w:val="19"/>
          <w:szCs w:val="19"/>
        </w:rPr>
        <w:t xml:space="preserve">Bronstein, M. et al. (2021). Geometric Deep Learning: Grids, Groups, Graphs, Geodesics, and Gauges. arXiv:2104.13478. https://arxiv.org/abs/2104.13478</w:t>
      </w:r>
    </w:p>
    <w:p>
      <w:pPr>
        <w:pStyle w:val="ListParagraph"/>
        <w:numPr>
          <w:ilvl w:val="0"/>
          <w:numId w:val="3"/>
        </w:numPr>
        <w:spacing w:after="60" w:before="60"/>
      </w:pPr>
      <w:r>
        <w:rPr>
          <w:rFonts w:ascii="Arial" w:cs="Arial" w:eastAsia="Arial" w:hAnsi="Arial"/>
          <w:color w:val="1A1A2E"/>
          <w:sz w:val="19"/>
          <w:szCs w:val="19"/>
        </w:rPr>
        <w:t xml:space="preserve">Kuppe, C. et al. (2022). Spatial multi-omic map of human myocardial infarction. Nature, 608, 766–777. https://doi.org/10.1038/s41586-022-05060-x</w:t>
      </w:r>
    </w:p>
    <w:p>
      <w:pPr>
        <w:pStyle w:val="ListParagraph"/>
        <w:numPr>
          <w:ilvl w:val="0"/>
          <w:numId w:val="3"/>
        </w:numPr>
        <w:spacing w:after="60" w:before="60"/>
      </w:pPr>
      <w:r>
        <w:rPr>
          <w:rFonts w:ascii="Arial" w:cs="Arial" w:eastAsia="Arial" w:hAnsi="Arial"/>
          <w:color w:val="1A1A2E"/>
          <w:sz w:val="19"/>
          <w:szCs w:val="19"/>
        </w:rPr>
        <w:t xml:space="preserve">Elosua-Bayes, M. et al. (2021). SPOTlight: seeded NMF regression to deconvolute spatial transcriptomics spots with single-cell transcriptomes. Nucleic Acids Research, 49, e50. https://doi.org/10.1093/nar/gkab043</w:t>
      </w:r>
    </w:p>
    <w:p>
      <w:pPr>
        <w:pStyle w:val="ListParagraph"/>
        <w:numPr>
          <w:ilvl w:val="0"/>
          <w:numId w:val="3"/>
        </w:numPr>
        <w:spacing w:after="60" w:before="60"/>
      </w:pPr>
      <w:r>
        <w:rPr>
          <w:rFonts w:ascii="Arial" w:cs="Arial" w:eastAsia="Arial" w:hAnsi="Arial"/>
          <w:color w:val="1A1A2E"/>
          <w:sz w:val="19"/>
          <w:szCs w:val="19"/>
        </w:rPr>
        <w:t xml:space="preserve">Reif, A. et al. (2025). Consideration of sex/gender aspects in cardiovascular clinical trials. BMC Cardiovascular Disorders. https://doi.org/10.1186/s12872-025-04714-8</w:t>
      </w:r>
    </w:p>
    <w:p>
      <w:pPr>
        <w:pStyle w:val="ListParagraph"/>
        <w:numPr>
          <w:ilvl w:val="0"/>
          <w:numId w:val="3"/>
        </w:numPr>
        <w:spacing w:after="60" w:before="60"/>
      </w:pPr>
      <w:r>
        <w:rPr>
          <w:rFonts w:ascii="Arial" w:cs="Arial" w:eastAsia="Arial" w:hAnsi="Arial"/>
          <w:color w:val="1A1A2E"/>
          <w:sz w:val="19"/>
          <w:szCs w:val="19"/>
        </w:rPr>
        <w:t xml:space="preserve">Liu, H. et al. (2025). Marker Gene-Guided Graph Neural Networks for Enhanced Spatial Transcriptomics Clustering. AI Medicine, 2(1), 1. https://doi.org/10.53941/aim.2025.100001</w:t>
      </w:r>
    </w:p>
    <w:p>
      <w:pPr>
        <w:pStyle w:val="ListParagraph"/>
        <w:numPr>
          <w:ilvl w:val="0"/>
          <w:numId w:val="3"/>
        </w:numPr>
        <w:spacing w:after="60" w:before="60"/>
      </w:pPr>
      <w:r>
        <w:rPr>
          <w:rFonts w:ascii="Arial" w:cs="Arial" w:eastAsia="Arial" w:hAnsi="Arial"/>
          <w:color w:val="1A1A2E"/>
          <w:sz w:val="19"/>
          <w:szCs w:val="19"/>
        </w:rPr>
        <w:t xml:space="preserve">Wang, Z. et al. (2025). Integrating Spatial Omics and Deep Learning: systematic review. PMC12561129. https://pmc.ncbi.nlm.nih.gov/articles/PMC12561129/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2026-06-28T20:11:36.802Z</dcterms:created>
  <dcterms:modified xsi:type="dcterms:W3CDTF">2026-06-28T20:11:36.803Z</dcterms:modified>
</cp:coreProperties>
</file>

<file path=docProps/custom.xml><?xml version="1.0" encoding="utf-8"?>
<Properties xmlns="http://schemas.openxmlformats.org/officeDocument/2006/custom-properties" xmlns:vt="http://schemas.openxmlformats.org/officeDocument/2006/docPropsVTypes"/>
</file>