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CD0" w:rsidRPr="00FB5A50" w:rsidRDefault="00A00CD0" w:rsidP="00A00CD0">
      <w:pPr>
        <w:pStyle w:val="berschrift1"/>
        <w:rPr>
          <w:lang w:val="en-US"/>
        </w:rPr>
      </w:pPr>
      <w:bookmarkStart w:id="0" w:name="_Ref100486376"/>
      <w:bookmarkStart w:id="1" w:name="_Toc122076039"/>
      <w:bookmarkStart w:id="2" w:name="_GoBack"/>
      <w:bookmarkEnd w:id="2"/>
      <w:r>
        <w:rPr>
          <w:lang w:val="en-US"/>
        </w:rPr>
        <w:t>Adjustments related to the content of considered Harmonized System Codes</w:t>
      </w:r>
      <w:bookmarkEnd w:id="0"/>
      <w:bookmarkEnd w:id="1"/>
      <w:r>
        <w:rPr>
          <w:lang w:val="en-US"/>
        </w:rPr>
        <w:t xml:space="preserve"> </w:t>
      </w:r>
    </w:p>
    <w:p w:rsidR="00A00CD0" w:rsidRDefault="00A00CD0" w:rsidP="00A00CD0">
      <w:pPr>
        <w:spacing w:line="480" w:lineRule="auto"/>
        <w:jc w:val="both"/>
        <w:rPr>
          <w:lang w:val="en-US"/>
        </w:rPr>
      </w:pPr>
    </w:p>
    <w:p w:rsidR="00A00CD0" w:rsidRDefault="00A00CD0" w:rsidP="00A00CD0">
      <w:pPr>
        <w:spacing w:line="480" w:lineRule="auto"/>
        <w:jc w:val="both"/>
        <w:rPr>
          <w:lang w:val="en-US"/>
        </w:rPr>
      </w:pPr>
      <w:r>
        <w:rPr>
          <w:lang w:val="en-US"/>
        </w:rPr>
        <w:t>Some of the considered 6-digit HS codes cover materials/products that are not only part of supply chains of EVs but also part of supply chains of other final products. Information provided by the World Customs Organization</w:t>
      </w:r>
      <w:r w:rsidRPr="00BB04B5">
        <w:rPr>
          <w:lang w:val="en-US" w:eastAsia="de-DE"/>
        </w:rPr>
        <w:fldChar w:fldCharType="begin"/>
      </w:r>
      <w:r>
        <w:rPr>
          <w:lang w:val="en-US" w:eastAsia="de-DE"/>
        </w:rPr>
        <w:instrText xml:space="preserve"> ADDIN EN.CITE &lt;EndNote&gt;&lt;Cite&gt;&lt;Author&gt;World Customs Organization&lt;/Author&gt;&lt;Year&gt;2021&lt;/Year&gt;&lt;RecNum&gt;820&lt;/RecNum&gt;&lt;DisplayText&gt;&lt;style face="superscript"&gt;30&lt;/style&gt;&lt;/DisplayText&gt;&lt;record&gt;&lt;rec-number&gt;820&lt;/rec-number&gt;&lt;foreign-keys&gt;&lt;key app="EN" db-id="tf290pefax0av3epa2f5stfrt00zvzxs25f2" timestamp="1630593454"&gt;820&lt;/key&gt;&lt;/foreign-keys&gt;&lt;ref-type name="Web Page"&gt;12&lt;/ref-type&gt;&lt;contributors&gt;&lt;authors&gt;&lt;author&gt;World Customs Organization,&lt;/author&gt;&lt;/authors&gt;&lt;/contributors&gt;&lt;titles&gt;&lt;title&gt;Harmonized System&lt;/title&gt;&lt;/titles&gt;&lt;number&gt;02/09/2021&lt;/number&gt;&lt;dates&gt;&lt;year&gt;2021&lt;/year&gt;&lt;/dates&gt;&lt;urls&gt;&lt;related-urls&gt;&lt;url&gt;https://www.wcotradetools.org/en/harmonized-system/2017/en/&lt;/url&gt;&lt;/related-urls&gt;&lt;/urls&gt;&lt;/record&gt;&lt;/Cite&gt;&lt;/EndNote&gt;</w:instrText>
      </w:r>
      <w:r w:rsidRPr="00BB04B5">
        <w:rPr>
          <w:lang w:val="en-US" w:eastAsia="de-DE"/>
        </w:rPr>
        <w:fldChar w:fldCharType="separate"/>
      </w:r>
      <w:r w:rsidRPr="00C2005C">
        <w:rPr>
          <w:noProof/>
          <w:vertAlign w:val="superscript"/>
          <w:lang w:val="en-US" w:eastAsia="de-DE"/>
        </w:rPr>
        <w:t>30</w:t>
      </w:r>
      <w:r w:rsidRPr="00BB04B5">
        <w:rPr>
          <w:lang w:val="en-US" w:eastAsia="de-DE"/>
        </w:rPr>
        <w:fldChar w:fldCharType="end"/>
      </w:r>
      <w:r>
        <w:rPr>
          <w:lang w:val="en-US" w:eastAsia="de-DE"/>
        </w:rPr>
        <w:t xml:space="preserve"> has thus been used to identify the type of materials and products that is covered within the respective HS codes. If materials/products that are not part of Co or Al supply chains of EVs are covered by a certain HS code, the content of this HS code has been adjusted. These adjustments have been done based on global average market shares and global average </w:t>
      </w:r>
      <w:r>
        <w:rPr>
          <w:lang w:val="en-US"/>
        </w:rPr>
        <w:t>cost-to-mass ratios. To simplify the procedure of adjusting the HS codes content, considered market shares are generally applied to both the trade amounts and the trade costs of materials/products. It is thus assumed that materials/products covered within the same HS code have equal cost-to-mass ratios. The adjustments of HS code contents done in the frame of the presented case study are described in the following paragraphs.</w:t>
      </w:r>
    </w:p>
    <w:p w:rsidR="00A00CD0" w:rsidRPr="00287366" w:rsidRDefault="00A00CD0" w:rsidP="00A00CD0">
      <w:pPr>
        <w:spacing w:line="480" w:lineRule="auto"/>
        <w:jc w:val="both"/>
        <w:rPr>
          <w:b/>
          <w:lang w:val="en-US"/>
        </w:rPr>
      </w:pPr>
      <w:r>
        <w:rPr>
          <w:b/>
          <w:lang w:val="en-US"/>
        </w:rPr>
        <w:t>Battery electric vehicles (</w:t>
      </w:r>
      <w:r w:rsidRPr="00287366">
        <w:rPr>
          <w:b/>
          <w:lang w:val="en-US"/>
        </w:rPr>
        <w:t>BEVs</w:t>
      </w:r>
      <w:r>
        <w:rPr>
          <w:b/>
          <w:lang w:val="en-US"/>
        </w:rPr>
        <w:t>)</w:t>
      </w:r>
      <w:r w:rsidRPr="00287366">
        <w:rPr>
          <w:b/>
          <w:lang w:val="en-US"/>
        </w:rPr>
        <w:t xml:space="preserve"> covered by the HS code 870380 and </w:t>
      </w:r>
      <w:r>
        <w:rPr>
          <w:b/>
          <w:lang w:val="en-US"/>
        </w:rPr>
        <w:t>plug-in hybrid electric vehicles (</w:t>
      </w:r>
      <w:r w:rsidRPr="00287366">
        <w:rPr>
          <w:b/>
          <w:lang w:val="en-US"/>
        </w:rPr>
        <w:t>PHEVs</w:t>
      </w:r>
      <w:r>
        <w:rPr>
          <w:b/>
          <w:lang w:val="en-US"/>
        </w:rPr>
        <w:t>)</w:t>
      </w:r>
      <w:r w:rsidRPr="00287366">
        <w:rPr>
          <w:b/>
          <w:lang w:val="en-US"/>
        </w:rPr>
        <w:t xml:space="preserve"> covered by the HS codes 870370 &amp; 870360:</w:t>
      </w:r>
    </w:p>
    <w:p w:rsidR="00A00CD0" w:rsidRDefault="00A00CD0" w:rsidP="00A00CD0">
      <w:pPr>
        <w:spacing w:line="480" w:lineRule="auto"/>
        <w:jc w:val="both"/>
        <w:rPr>
          <w:lang w:val="en-US"/>
        </w:rPr>
      </w:pPr>
      <w:r>
        <w:rPr>
          <w:lang w:val="en-US"/>
        </w:rPr>
        <w:t>The considered HS codes cover only products that are relevant for the supply chain of EVs.</w:t>
      </w:r>
    </w:p>
    <w:p w:rsidR="00A00CD0" w:rsidRPr="00AE54C6" w:rsidRDefault="00A00CD0" w:rsidP="00A00CD0">
      <w:pPr>
        <w:spacing w:line="480" w:lineRule="auto"/>
        <w:jc w:val="both"/>
        <w:rPr>
          <w:b/>
          <w:lang w:val="en-US"/>
        </w:rPr>
      </w:pPr>
      <w:r>
        <w:rPr>
          <w:b/>
          <w:lang w:val="en-US"/>
        </w:rPr>
        <w:t>Lithium-ion batteries (</w:t>
      </w:r>
      <w:r w:rsidRPr="00AE54C6">
        <w:rPr>
          <w:b/>
          <w:lang w:val="en-US"/>
        </w:rPr>
        <w:t>LIBs</w:t>
      </w:r>
      <w:r>
        <w:rPr>
          <w:b/>
          <w:lang w:val="en-US"/>
        </w:rPr>
        <w:t>)</w:t>
      </w:r>
      <w:r w:rsidRPr="00AE54C6">
        <w:rPr>
          <w:b/>
          <w:lang w:val="en-US"/>
        </w:rPr>
        <w:t xml:space="preserve"> covered by the HS code 850760</w:t>
      </w:r>
      <w:r>
        <w:rPr>
          <w:b/>
          <w:lang w:val="en-US"/>
        </w:rPr>
        <w:t>:</w:t>
      </w:r>
    </w:p>
    <w:p w:rsidR="00A00CD0" w:rsidRDefault="00A00CD0" w:rsidP="00A00CD0">
      <w:pPr>
        <w:spacing w:line="480" w:lineRule="auto"/>
        <w:jc w:val="both"/>
        <w:rPr>
          <w:lang w:val="en-US"/>
        </w:rPr>
      </w:pPr>
      <w:r>
        <w:rPr>
          <w:lang w:val="en-US"/>
        </w:rPr>
        <w:t xml:space="preserve">The considered HS code covers besides LIBs that are used in EVs also LIBs that are used in the stationary and the electronics sector. </w:t>
      </w:r>
      <w:r>
        <w:rPr>
          <w:noProof/>
          <w:lang w:val="en-US"/>
        </w:rPr>
        <w:t>U.S. Department of Energy</w:t>
      </w:r>
      <w:r w:rsidRPr="005B712F">
        <w:rPr>
          <w:lang w:val="en-US"/>
        </w:rPr>
        <w:fldChar w:fldCharType="begin"/>
      </w:r>
      <w:r>
        <w:rPr>
          <w:lang w:val="en-US"/>
        </w:rPr>
        <w:instrText xml:space="preserve"> ADDIN EN.CITE &lt;EndNote&gt;&lt;Cite&gt;&lt;Author&gt;U.S. Department of Energy&lt;/Author&gt;&lt;Year&gt;2020&lt;/Year&gt;&lt;RecNum&gt;799&lt;/RecNum&gt;&lt;DisplayText&gt;&lt;style face="superscript"&gt;38&lt;/style&gt;&lt;/DisplayText&gt;&lt;record&gt;&lt;rec-number&gt;799&lt;/rec-number&gt;&lt;foreign-keys&gt;&lt;key app="EN" db-id="tf290pefax0av3epa2f5stfrt00zvzxs25f2" timestamp="1629895883"&gt;799&lt;/key&gt;&lt;/foreign-keys&gt;&lt;ref-type name="Report"&gt;27&lt;/ref-type&gt;&lt;contributors&gt;&lt;authors&gt;&lt;author&gt;U.S. Department of Energy,&lt;/author&gt;&lt;/authors&gt;&lt;/contributors&gt;&lt;titles&gt;&lt;title&gt;Energy Storage Grand Challenge: Energy Storage Market Report&lt;/title&gt;&lt;/titles&gt;&lt;dates&gt;&lt;year&gt;2020&lt;/year&gt;&lt;/dates&gt;&lt;urls&gt;&lt;/urls&gt;&lt;/record&gt;&lt;/Cite&gt;&lt;/EndNote&gt;</w:instrText>
      </w:r>
      <w:r w:rsidRPr="005B712F">
        <w:rPr>
          <w:lang w:val="en-US"/>
        </w:rPr>
        <w:fldChar w:fldCharType="separate"/>
      </w:r>
      <w:r w:rsidRPr="00C2005C">
        <w:rPr>
          <w:noProof/>
          <w:vertAlign w:val="superscript"/>
          <w:lang w:val="en-US"/>
        </w:rPr>
        <w:t>38</w:t>
      </w:r>
      <w:r w:rsidRPr="005B712F">
        <w:rPr>
          <w:lang w:val="en-US"/>
        </w:rPr>
        <w:fldChar w:fldCharType="end"/>
      </w:r>
      <w:r w:rsidRPr="005B712F">
        <w:rPr>
          <w:lang w:val="en-US"/>
        </w:rPr>
        <w:t xml:space="preserve"> and </w:t>
      </w:r>
      <w:r>
        <w:rPr>
          <w:noProof/>
          <w:lang w:val="en-US"/>
        </w:rPr>
        <w:t>Tsiropoulos</w:t>
      </w:r>
      <w:r w:rsidRPr="005B712F">
        <w:rPr>
          <w:lang w:val="en-US"/>
        </w:rPr>
        <w:t xml:space="preserve"> </w:t>
      </w:r>
      <w:r>
        <w:rPr>
          <w:lang w:val="en-US"/>
        </w:rPr>
        <w:t>et al.</w:t>
      </w:r>
      <w:r w:rsidRPr="005B712F">
        <w:rPr>
          <w:lang w:val="en-US"/>
        </w:rPr>
        <w:fldChar w:fldCharType="begin"/>
      </w:r>
      <w:r>
        <w:rPr>
          <w:lang w:val="en-US"/>
        </w:rPr>
        <w:instrText xml:space="preserve"> ADDIN EN.CITE &lt;EndNote&gt;&lt;Cite&gt;&lt;Author&gt;Tsiropoulos&lt;/Author&gt;&lt;Year&gt;2018&lt;/Year&gt;&lt;RecNum&gt;657&lt;/RecNum&gt;&lt;DisplayText&gt;&lt;style face="superscript"&gt;39&lt;/style&gt;&lt;/DisplayText&gt;&lt;record&gt;&lt;rec-number&gt;657&lt;/rec-number&gt;&lt;foreign-keys&gt;&lt;key app="EN" db-id="tf290pefax0av3epa2f5stfrt00zvzxs25f2" timestamp="1602363095"&gt;657&lt;/key&gt;&lt;/foreign-keys&gt;&lt;ref-type name="Report"&gt;27&lt;/ref-type&gt;&lt;contributors&gt;&lt;authors&gt;&lt;author&gt;Tsiropoulos, I.&lt;/author&gt;&lt;author&gt;Tarvydas, D. &lt;/author&gt;&lt;author&gt;Lebedeva, N.&lt;/author&gt;&lt;/authors&gt;&lt;secondary-authors&gt;&lt;author&gt;Joint Research Centre&lt;/author&gt;&lt;/secondary-authors&gt;&lt;/contributors&gt;&lt;titles&gt;&lt;title&gt;Li-ion batteries for mobility and stationary storage applications - Scenarios for costs and market growth&lt;/title&gt;&lt;/titles&gt;&lt;dates&gt;&lt;year&gt;2018&lt;/year&gt;&lt;/dates&gt;&lt;urls&gt;&lt;/urls&gt;&lt;/record&gt;&lt;/Cite&gt;&lt;/EndNote&gt;</w:instrText>
      </w:r>
      <w:r w:rsidRPr="005B712F">
        <w:rPr>
          <w:lang w:val="en-US"/>
        </w:rPr>
        <w:fldChar w:fldCharType="separate"/>
      </w:r>
      <w:r w:rsidRPr="00C2005C">
        <w:rPr>
          <w:noProof/>
          <w:vertAlign w:val="superscript"/>
          <w:lang w:val="en-US"/>
        </w:rPr>
        <w:t>39</w:t>
      </w:r>
      <w:r w:rsidRPr="005B712F">
        <w:rPr>
          <w:lang w:val="en-US"/>
        </w:rPr>
        <w:fldChar w:fldCharType="end"/>
      </w:r>
      <w:r>
        <w:rPr>
          <w:lang w:val="en-US"/>
        </w:rPr>
        <w:t xml:space="preserve"> state average market shares of LIBs used in different end-use sectors. Considering these shares, 60% of the amount and the costs of LIBs covered by the HS code is assumed to be used for the manufacturing of EVs. </w:t>
      </w:r>
    </w:p>
    <w:p w:rsidR="00A00CD0" w:rsidRPr="00C1677F" w:rsidRDefault="00A00CD0" w:rsidP="00A00CD0">
      <w:pPr>
        <w:spacing w:line="480" w:lineRule="auto"/>
        <w:jc w:val="both"/>
        <w:rPr>
          <w:b/>
          <w:lang w:val="en-US"/>
        </w:rPr>
      </w:pPr>
      <w:r w:rsidRPr="00C1677F">
        <w:rPr>
          <w:b/>
          <w:lang w:val="en-US"/>
        </w:rPr>
        <w:t>LIB cells covered by the HS code 850790</w:t>
      </w:r>
      <w:r>
        <w:rPr>
          <w:b/>
          <w:lang w:val="en-US"/>
        </w:rPr>
        <w:t>:</w:t>
      </w:r>
    </w:p>
    <w:p w:rsidR="00A00CD0" w:rsidRDefault="00A00CD0" w:rsidP="00A00CD0">
      <w:pPr>
        <w:spacing w:line="480" w:lineRule="auto"/>
        <w:jc w:val="both"/>
        <w:rPr>
          <w:lang w:val="en-US"/>
        </w:rPr>
      </w:pPr>
      <w:r>
        <w:rPr>
          <w:lang w:val="en-US"/>
        </w:rPr>
        <w:t>The considered HS code covers</w:t>
      </w:r>
      <w:r w:rsidRPr="0064195A">
        <w:rPr>
          <w:lang w:val="en-US"/>
        </w:rPr>
        <w:t xml:space="preserve"> </w:t>
      </w:r>
      <w:r>
        <w:rPr>
          <w:lang w:val="en-US"/>
        </w:rPr>
        <w:t xml:space="preserve">battery modules as well as battery cells that are used in different types of batteries, including cells of LIBs, </w:t>
      </w:r>
      <w:r w:rsidRPr="00C27857">
        <w:rPr>
          <w:lang w:val="en-US"/>
        </w:rPr>
        <w:t>lead acid</w:t>
      </w:r>
      <w:r>
        <w:rPr>
          <w:lang w:val="en-US"/>
        </w:rPr>
        <w:t xml:space="preserve"> batteries (PbAcBs)</w:t>
      </w:r>
      <w:r w:rsidRPr="00C27857">
        <w:rPr>
          <w:lang w:val="en-US"/>
        </w:rPr>
        <w:t xml:space="preserve">, nickel-metal hydride </w:t>
      </w:r>
      <w:r>
        <w:rPr>
          <w:lang w:val="en-US"/>
        </w:rPr>
        <w:t xml:space="preserve">batteries (NMHBs) </w:t>
      </w:r>
      <w:r w:rsidRPr="00C27857">
        <w:rPr>
          <w:lang w:val="en-US"/>
        </w:rPr>
        <w:t>and other batteries</w:t>
      </w:r>
      <w:r>
        <w:rPr>
          <w:lang w:val="en-US"/>
        </w:rPr>
        <w:t xml:space="preserve">. These batteries are applied in the electro mobility, stationary and electronics sectors. A share of 60% of these batteries are included in the electro mobility sector according to </w:t>
      </w:r>
      <w:r>
        <w:rPr>
          <w:noProof/>
          <w:lang w:val="en-US"/>
        </w:rPr>
        <w:t xml:space="preserve">U.S. Department </w:t>
      </w:r>
      <w:r>
        <w:rPr>
          <w:noProof/>
          <w:lang w:val="en-US"/>
        </w:rPr>
        <w:lastRenderedPageBreak/>
        <w:t>of Energy</w:t>
      </w:r>
      <w:r w:rsidRPr="005B712F">
        <w:rPr>
          <w:lang w:val="en-US"/>
        </w:rPr>
        <w:fldChar w:fldCharType="begin"/>
      </w:r>
      <w:r>
        <w:rPr>
          <w:lang w:val="en-US"/>
        </w:rPr>
        <w:instrText xml:space="preserve"> ADDIN EN.CITE &lt;EndNote&gt;&lt;Cite&gt;&lt;Author&gt;U.S. Department of Energy&lt;/Author&gt;&lt;Year&gt;2020&lt;/Year&gt;&lt;RecNum&gt;799&lt;/RecNum&gt;&lt;DisplayText&gt;&lt;style face="superscript"&gt;38&lt;/style&gt;&lt;/DisplayText&gt;&lt;record&gt;&lt;rec-number&gt;799&lt;/rec-number&gt;&lt;foreign-keys&gt;&lt;key app="EN" db-id="tf290pefax0av3epa2f5stfrt00zvzxs25f2" timestamp="1629895883"&gt;799&lt;/key&gt;&lt;/foreign-keys&gt;&lt;ref-type name="Report"&gt;27&lt;/ref-type&gt;&lt;contributors&gt;&lt;authors&gt;&lt;author&gt;U.S. Department of Energy,&lt;/author&gt;&lt;/authors&gt;&lt;/contributors&gt;&lt;titles&gt;&lt;title&gt;Energy Storage Grand Challenge: Energy Storage Market Report&lt;/title&gt;&lt;/titles&gt;&lt;dates&gt;&lt;year&gt;2020&lt;/year&gt;&lt;/dates&gt;&lt;urls&gt;&lt;/urls&gt;&lt;/record&gt;&lt;/Cite&gt;&lt;/EndNote&gt;</w:instrText>
      </w:r>
      <w:r w:rsidRPr="005B712F">
        <w:rPr>
          <w:lang w:val="en-US"/>
        </w:rPr>
        <w:fldChar w:fldCharType="separate"/>
      </w:r>
      <w:r w:rsidRPr="00C2005C">
        <w:rPr>
          <w:noProof/>
          <w:vertAlign w:val="superscript"/>
          <w:lang w:val="en-US"/>
        </w:rPr>
        <w:t>38</w:t>
      </w:r>
      <w:r w:rsidRPr="005B712F">
        <w:rPr>
          <w:lang w:val="en-US"/>
        </w:rPr>
        <w:fldChar w:fldCharType="end"/>
      </w:r>
      <w:r>
        <w:rPr>
          <w:lang w:val="en-US"/>
        </w:rPr>
        <w:t xml:space="preserve"> </w:t>
      </w:r>
      <w:r w:rsidRPr="005B712F">
        <w:rPr>
          <w:lang w:val="en-US"/>
        </w:rPr>
        <w:t xml:space="preserve">and </w:t>
      </w:r>
      <w:r>
        <w:rPr>
          <w:noProof/>
          <w:lang w:val="en-US"/>
        </w:rPr>
        <w:t>Tsiropoulos</w:t>
      </w:r>
      <w:r w:rsidRPr="005B712F">
        <w:rPr>
          <w:lang w:val="en-US"/>
        </w:rPr>
        <w:t xml:space="preserve"> </w:t>
      </w:r>
      <w:r>
        <w:rPr>
          <w:lang w:val="en-US"/>
        </w:rPr>
        <w:t>et al.</w:t>
      </w:r>
      <w:r w:rsidRPr="005B712F">
        <w:rPr>
          <w:lang w:val="en-US"/>
        </w:rPr>
        <w:fldChar w:fldCharType="begin"/>
      </w:r>
      <w:r>
        <w:rPr>
          <w:lang w:val="en-US"/>
        </w:rPr>
        <w:instrText xml:space="preserve"> ADDIN EN.CITE &lt;EndNote&gt;&lt;Cite&gt;&lt;Author&gt;Tsiropoulos&lt;/Author&gt;&lt;Year&gt;2018&lt;/Year&gt;&lt;RecNum&gt;657&lt;/RecNum&gt;&lt;DisplayText&gt;&lt;style face="superscript"&gt;39&lt;/style&gt;&lt;/DisplayText&gt;&lt;record&gt;&lt;rec-number&gt;657&lt;/rec-number&gt;&lt;foreign-keys&gt;&lt;key app="EN" db-id="tf290pefax0av3epa2f5stfrt00zvzxs25f2" timestamp="1602363095"&gt;657&lt;/key&gt;&lt;/foreign-keys&gt;&lt;ref-type name="Report"&gt;27&lt;/ref-type&gt;&lt;contributors&gt;&lt;authors&gt;&lt;author&gt;Tsiropoulos, I.&lt;/author&gt;&lt;author&gt;Tarvydas, D. &lt;/author&gt;&lt;author&gt;Lebedeva, N.&lt;/author&gt;&lt;/authors&gt;&lt;secondary-authors&gt;&lt;author&gt;Joint Research Centre&lt;/author&gt;&lt;/secondary-authors&gt;&lt;/contributors&gt;&lt;titles&gt;&lt;title&gt;Li-ion batteries for mobility and stationary storage applications - Scenarios for costs and market growth&lt;/title&gt;&lt;/titles&gt;&lt;dates&gt;&lt;year&gt;2018&lt;/year&gt;&lt;/dates&gt;&lt;urls&gt;&lt;/urls&gt;&lt;/record&gt;&lt;/Cite&gt;&lt;/EndNote&gt;</w:instrText>
      </w:r>
      <w:r w:rsidRPr="005B712F">
        <w:rPr>
          <w:lang w:val="en-US"/>
        </w:rPr>
        <w:fldChar w:fldCharType="separate"/>
      </w:r>
      <w:r w:rsidRPr="00C2005C">
        <w:rPr>
          <w:noProof/>
          <w:vertAlign w:val="superscript"/>
          <w:lang w:val="en-US"/>
        </w:rPr>
        <w:t>39</w:t>
      </w:r>
      <w:r w:rsidRPr="005B712F">
        <w:rPr>
          <w:lang w:val="en-US"/>
        </w:rPr>
        <w:fldChar w:fldCharType="end"/>
      </w:r>
      <w:r>
        <w:rPr>
          <w:lang w:val="en-US"/>
        </w:rPr>
        <w:t xml:space="preserve">. </w:t>
      </w:r>
      <w:r>
        <w:rPr>
          <w:noProof/>
          <w:lang w:val="en-US"/>
        </w:rPr>
        <w:t>Grand View Research</w:t>
      </w:r>
      <w:r w:rsidRPr="00C27857">
        <w:rPr>
          <w:lang w:val="en-US"/>
        </w:rPr>
        <w:fldChar w:fldCharType="begin"/>
      </w:r>
      <w:r>
        <w:rPr>
          <w:lang w:val="en-US"/>
        </w:rPr>
        <w:instrText xml:space="preserve"> ADDIN EN.CITE &lt;EndNote&gt;&lt;Cite&gt;&lt;Author&gt;Grand View Research&lt;/Author&gt;&lt;Year&gt;2019&lt;/Year&gt;&lt;RecNum&gt;844&lt;/RecNum&gt;&lt;DisplayText&gt;&lt;style face="superscript"&gt;40&lt;/style&gt;&lt;/DisplayText&gt;&lt;record&gt;&lt;rec-number&gt;844&lt;/rec-number&gt;&lt;foreign-keys&gt;&lt;key app="EN" db-id="tf290pefax0av3epa2f5stfrt00zvzxs25f2" timestamp="1632152834"&gt;844&lt;/key&gt;&lt;/foreign-keys&gt;&lt;ref-type name="Report"&gt;27&lt;/ref-type&gt;&lt;contributors&gt;&lt;authors&gt;&lt;author&gt;Grand View Research,&lt;/author&gt;&lt;/authors&gt;&lt;/contributors&gt;&lt;titles&gt;&lt;title&gt;Electric Vehicle Battery Market Size, Share &amp;amp; Trends Analysis Report By Battery Type (Lithium-ion, Lead-acid, Nickel-metal Hydride, Sodium-ion), By Vehicle Type, By Propulsion, By Region, And Segments Forecasts, 2019 - 2025&lt;/title&gt;&lt;/titles&gt;&lt;dates&gt;&lt;year&gt;2019&lt;/year&gt;&lt;/dates&gt;&lt;isbn&gt;GVR-3-68038-687-5&lt;/isbn&gt;&lt;urls&gt;&lt;related-urls&gt;&lt;url&gt;https://www.grandviewresearch.com/industry-analysis/electric-vehicle-battery-market&lt;/url&gt;&lt;/related-urls&gt;&lt;/urls&gt;&lt;access-date&gt;20/09/2021&lt;/access-date&gt;&lt;/record&gt;&lt;/Cite&gt;&lt;/EndNote&gt;</w:instrText>
      </w:r>
      <w:r w:rsidRPr="00C27857">
        <w:rPr>
          <w:lang w:val="en-US"/>
        </w:rPr>
        <w:fldChar w:fldCharType="separate"/>
      </w:r>
      <w:r w:rsidRPr="00C2005C">
        <w:rPr>
          <w:noProof/>
          <w:vertAlign w:val="superscript"/>
          <w:lang w:val="en-US"/>
        </w:rPr>
        <w:t>40</w:t>
      </w:r>
      <w:r w:rsidRPr="00C27857">
        <w:rPr>
          <w:lang w:val="en-US"/>
        </w:rPr>
        <w:fldChar w:fldCharType="end"/>
      </w:r>
      <w:r>
        <w:rPr>
          <w:lang w:val="en-US"/>
        </w:rPr>
        <w:t xml:space="preserve"> states market shares of all three battery types in the electro mobility sector (i.e. LIBs: 60%, PbAcBs: 30%, NMHBs: 5%, other batteries: 5%). Cost-to-mass ratios of the different battery cells are used to identify the trade amounts and costs of LIB cells. These ratios are calculated based on the energy densities reported by Wong and Chan</w:t>
      </w:r>
      <w:r>
        <w:rPr>
          <w:lang w:val="en-US"/>
        </w:rPr>
        <w:fldChar w:fldCharType="begin"/>
      </w:r>
      <w:r>
        <w:rPr>
          <w:lang w:val="en-US"/>
        </w:rPr>
        <w:instrText xml:space="preserve"> ADDIN EN.CITE &lt;EndNote&gt;&lt;Cite&gt;&lt;Author&gt;Wong&lt;/Author&gt;&lt;Year&gt;2012&lt;/Year&gt;&lt;RecNum&gt;843&lt;/RecNum&gt;&lt;DisplayText&gt;&lt;style face="superscript"&gt;41&lt;/style&gt;&lt;/DisplayText&gt;&lt;record&gt;&lt;rec-number&gt;843&lt;/rec-number&gt;&lt;foreign-keys&gt;&lt;key app="EN" db-id="tf290pefax0av3epa2f5stfrt00zvzxs25f2" timestamp="1632151811"&gt;843&lt;/key&gt;&lt;/foreign-keys&gt;&lt;ref-type name="Book Section"&gt;5&lt;/ref-type&gt;&lt;contributors&gt;&lt;authors&gt;&lt;author&gt;Wong, Y. S.&lt;/author&gt;&lt;author&gt;Chan, C. C.&lt;/author&gt;&lt;/authors&gt;&lt;secondary-authors&gt;&lt;author&gt;Meyers, Robert A.&lt;/author&gt;&lt;/secondary-authors&gt;&lt;/contributors&gt;&lt;titles&gt;&lt;title&gt;Vehicle Energy Storage: Batteries&lt;/title&gt;&lt;secondary-title&gt;Encyclopedia of Sustainability Science and Technology&lt;/secondary-title&gt;&lt;/titles&gt;&lt;pages&gt;11502-11522&lt;/pages&gt;&lt;dates&gt;&lt;year&gt;2012&lt;/year&gt;&lt;pub-dates&gt;&lt;date&gt;2012//&lt;/date&gt;&lt;/pub-dates&gt;&lt;/dates&gt;&lt;pub-location&gt;New York, NY&lt;/pub-location&gt;&lt;publisher&gt;Springer New York&lt;/publisher&gt;&lt;isbn&gt;978-1-4419-0851-3&lt;/isbn&gt;&lt;urls&gt;&lt;related-urls&gt;&lt;url&gt;https://doi.org/10.1007/978-1-4419-0851-3_808&lt;/url&gt;&lt;/related-urls&gt;&lt;/urls&gt;&lt;electronic-resource-num&gt;https://doi.org/10.1007/978-1-4419-0851-3_808&lt;/electronic-resource-num&gt;&lt;/record&gt;&lt;/Cite&gt;&lt;/EndNote&gt;</w:instrText>
      </w:r>
      <w:r>
        <w:rPr>
          <w:lang w:val="en-US"/>
        </w:rPr>
        <w:fldChar w:fldCharType="separate"/>
      </w:r>
      <w:r w:rsidRPr="00C2005C">
        <w:rPr>
          <w:noProof/>
          <w:vertAlign w:val="superscript"/>
          <w:lang w:val="en-US"/>
        </w:rPr>
        <w:t>41</w:t>
      </w:r>
      <w:r>
        <w:rPr>
          <w:lang w:val="en-US"/>
        </w:rPr>
        <w:fldChar w:fldCharType="end"/>
      </w:r>
      <w:r>
        <w:rPr>
          <w:lang w:val="en-US"/>
        </w:rPr>
        <w:t xml:space="preserve"> (i.e. LIBs: 0.16kWh/kg, PbAcBs: 0.035kWh/kg, NMHB: 0.07kWh/kg) and the cost-to-energy ratios reported by </w:t>
      </w:r>
      <w:r>
        <w:rPr>
          <w:noProof/>
          <w:lang w:val="en-US"/>
        </w:rPr>
        <w:t>Mongird</w:t>
      </w:r>
      <w:r>
        <w:rPr>
          <w:lang w:val="en-US"/>
        </w:rPr>
        <w:t xml:space="preserve"> et al.</w:t>
      </w:r>
      <w:r>
        <w:rPr>
          <w:lang w:val="en-US"/>
        </w:rPr>
        <w:fldChar w:fldCharType="begin"/>
      </w:r>
      <w:r>
        <w:rPr>
          <w:lang w:val="en-US"/>
        </w:rPr>
        <w:instrText xml:space="preserve"> ADDIN EN.CITE &lt;EndNote&gt;&lt;Cite&gt;&lt;Author&gt;Mongird&lt;/Author&gt;&lt;Year&gt;2019&lt;/Year&gt;&lt;RecNum&gt;846&lt;/RecNum&gt;&lt;DisplayText&gt;&lt;style face="superscript"&gt;42&lt;/style&gt;&lt;/DisplayText&gt;&lt;record&gt;&lt;rec-number&gt;846&lt;/rec-number&gt;&lt;foreign-keys&gt;&lt;key app="EN" db-id="tf290pefax0av3epa2f5stfrt00zvzxs25f2" timestamp="1632204825"&gt;846&lt;/key&gt;&lt;/foreign-keys&gt;&lt;ref-type name="Report"&gt;27&lt;/ref-type&gt;&lt;contributors&gt;&lt;authors&gt;&lt;author&gt;Mongird, K.&lt;/author&gt;&lt;author&gt;Fotedar, V. &lt;/author&gt;&lt;author&gt;Viswanathan, V. &lt;/author&gt;&lt;author&gt;Koritarov, V. &lt;/author&gt;&lt;author&gt;Balducci, P.&lt;/author&gt;&lt;author&gt;Hadjerioua, B.&lt;/author&gt;&lt;author&gt;Alam, J.&lt;/author&gt;&lt;/authors&gt;&lt;secondary-authors&gt;&lt;author&gt;HydroWIRES U.S. Department of Energy&lt;/author&gt;&lt;/secondary-authors&gt;&lt;/contributors&gt;&lt;titles&gt;&lt;title&gt;Energy Storage Technology and Cost Characterization Report&lt;/title&gt;&lt;/titles&gt;&lt;dates&gt;&lt;year&gt;2019&lt;/year&gt;&lt;/dates&gt;&lt;publisher&gt;Pacific Northwest National Laboratory, Argonne National Laboratory, Oak Ridge National Laboratory&lt;/publisher&gt;&lt;urls&gt;&lt;/urls&gt;&lt;/record&gt;&lt;/Cite&gt;&lt;/EndNote&gt;</w:instrText>
      </w:r>
      <w:r>
        <w:rPr>
          <w:lang w:val="en-US"/>
        </w:rPr>
        <w:fldChar w:fldCharType="separate"/>
      </w:r>
      <w:r w:rsidRPr="00C2005C">
        <w:rPr>
          <w:noProof/>
          <w:vertAlign w:val="superscript"/>
          <w:lang w:val="en-US"/>
        </w:rPr>
        <w:t>42</w:t>
      </w:r>
      <w:r>
        <w:rPr>
          <w:lang w:val="en-US"/>
        </w:rPr>
        <w:fldChar w:fldCharType="end"/>
      </w:r>
      <w:r>
        <w:rPr>
          <w:lang w:val="en-US"/>
        </w:rPr>
        <w:t xml:space="preserve"> (i.e. LIB: 271$/kWh, PbAcBs: 260$/kWh, NMHB: 600$/kWh). Following BloombergNEF</w:t>
      </w:r>
      <w:r>
        <w:rPr>
          <w:lang w:val="en-US"/>
        </w:rPr>
        <w:fldChar w:fldCharType="begin"/>
      </w:r>
      <w:r>
        <w:rPr>
          <w:lang w:val="en-US"/>
        </w:rPr>
        <w:instrText xml:space="preserve"> ADDIN EN.CITE &lt;EndNote&gt;&lt;Cite&gt;&lt;Author&gt;BloombergNEF&lt;/Author&gt;&lt;Year&gt;2020&lt;/Year&gt;&lt;RecNum&gt;845&lt;/RecNum&gt;&lt;DisplayText&gt;&lt;style face="superscript"&gt;43&lt;/style&gt;&lt;/DisplayText&gt;&lt;record&gt;&lt;rec-number&gt;845&lt;/rec-number&gt;&lt;foreign-keys&gt;&lt;key app="EN" db-id="tf290pefax0av3epa2f5stfrt00zvzxs25f2" timestamp="1632204391"&gt;845&lt;/key&gt;&lt;/foreign-keys&gt;&lt;ref-type name="Web Page"&gt;12&lt;/ref-type&gt;&lt;contributors&gt;&lt;authors&gt;&lt;author&gt;BloombergNEF,&lt;/author&gt;&lt;/authors&gt;&lt;/contributors&gt;&lt;titles&gt;&lt;title&gt;Battery Pack Prices Cited Below $100/kWh for the First Time in 2020, While Market Average Sits at $137/kWh&lt;/title&gt;&lt;/titles&gt;&lt;number&gt;21/09/2021&lt;/number&gt;&lt;dates&gt;&lt;year&gt;2020&lt;/year&gt;&lt;/dates&gt;&lt;urls&gt;&lt;related-urls&gt;&lt;url&gt;https://about.bnef.com/blog/battery-pack-prices-cited-below-100-kwh-for-the-first-time-in-2020-while-market-average-sits-at-137-kwh/&lt;/url&gt;&lt;/related-urls&gt;&lt;/urls&gt;&lt;/record&gt;&lt;/Cite&gt;&lt;/EndNote&gt;</w:instrText>
      </w:r>
      <w:r>
        <w:rPr>
          <w:lang w:val="en-US"/>
        </w:rPr>
        <w:fldChar w:fldCharType="separate"/>
      </w:r>
      <w:r w:rsidRPr="007607DA">
        <w:rPr>
          <w:noProof/>
          <w:vertAlign w:val="superscript"/>
          <w:lang w:val="en-US"/>
        </w:rPr>
        <w:t>43</w:t>
      </w:r>
      <w:r>
        <w:rPr>
          <w:lang w:val="en-US"/>
        </w:rPr>
        <w:fldChar w:fldCharType="end"/>
      </w:r>
      <w:r>
        <w:rPr>
          <w:lang w:val="en-US"/>
        </w:rPr>
        <w:t>, it is assumed that the prices of battery packs are 70% of the prices of battery cells. The resulting cost-to-mass ratios are 6 $/kg for PbAcB cells and cases, 29 $/kg for NMHB cells and cases and 30 $/kg for LIB cells and cases. Thus, the following three requirements are considered: (i) all trades with a cost-to-mass ratio below or equal to 6$/kg are assumed to be only PbAcB cells and cases, (ii) all trade with a cost-to-mass ratio between 6 and 30$/kg are assumed to be 60% LIB cells and cases, 30% PbAcB cells, 5% NMHB cells and cases and 5% other battery cells and cases and (iii) all trades with a cost-to-mass ratio above or equal to 30$/kg are assumed to be 90% LIB cells and cases and 10% NMHB and other battery cells and cases.</w:t>
      </w:r>
    </w:p>
    <w:p w:rsidR="00A00CD0" w:rsidRPr="00C110B2" w:rsidRDefault="00A00CD0" w:rsidP="00A00CD0">
      <w:pPr>
        <w:spacing w:line="480" w:lineRule="auto"/>
        <w:jc w:val="both"/>
        <w:rPr>
          <w:b/>
          <w:lang w:val="en-US"/>
        </w:rPr>
      </w:pPr>
      <w:r w:rsidRPr="00C110B2">
        <w:rPr>
          <w:b/>
          <w:lang w:val="en-US"/>
        </w:rPr>
        <w:t>Cobalt powder covered by the HS code 810520</w:t>
      </w:r>
      <w:r>
        <w:rPr>
          <w:b/>
          <w:lang w:val="en-US"/>
        </w:rPr>
        <w:t>:</w:t>
      </w:r>
    </w:p>
    <w:p w:rsidR="00A00CD0" w:rsidRDefault="00A00CD0" w:rsidP="00A00CD0">
      <w:pPr>
        <w:spacing w:line="480" w:lineRule="auto"/>
        <w:jc w:val="both"/>
        <w:rPr>
          <w:lang w:val="en-US"/>
        </w:rPr>
      </w:pPr>
      <w:r>
        <w:rPr>
          <w:lang w:val="en-US"/>
        </w:rPr>
        <w:t>The considered HS code covers Co powder used in EVs but also in other products and additionally covers Co mattes. As stated in the previous paragraph, 60% of all batteries are estimated to be used in the electro mobility sector. According to Petavratzi et al.</w:t>
      </w:r>
      <w:r>
        <w:rPr>
          <w:lang w:val="en-US"/>
        </w:rPr>
        <w:fldChar w:fldCharType="begin"/>
      </w:r>
      <w:r>
        <w:rPr>
          <w:lang w:val="en-US"/>
        </w:rPr>
        <w:instrText xml:space="preserve"> ADDIN EN.CITE &lt;EndNote&gt;&lt;Cite&gt;&lt;Author&gt;Petavratzi&lt;/Author&gt;&lt;Year&gt;2019&lt;/Year&gt;&lt;RecNum&gt;759&lt;/RecNum&gt;&lt;DisplayText&gt;&lt;style face="superscript"&gt;44&lt;/style&gt;&lt;/DisplayText&gt;&lt;record&gt;&lt;rec-number&gt;759&lt;/rec-number&gt;&lt;foreign-keys&gt;&lt;key app="EN" db-id="tf290pefax0av3epa2f5stfrt00zvzxs25f2" timestamp="1624012023"&gt;759&lt;/key&gt;&lt;/foreign-keys&gt;&lt;ref-type name="Book"&gt;6&lt;/ref-type&gt;&lt;contributors&gt;&lt;authors&gt;&lt;author&gt;Petavratzi, Evi&lt;/author&gt;&lt;author&gt;Gunn, Gus&lt;/author&gt;&lt;author&gt;Kresse, Carolin&lt;/author&gt;&lt;/authors&gt;&lt;/contributors&gt;&lt;titles&gt;&lt;title&gt;BGS COMMODITY REVIEW: Cobalt&lt;/title&gt;&lt;/titles&gt;&lt;dates&gt;&lt;year&gt;2019&lt;/year&gt;&lt;/dates&gt;&lt;urls&gt;&lt;/urls&gt;&lt;/record&gt;&lt;/Cite&gt;&lt;/EndNote&gt;</w:instrText>
      </w:r>
      <w:r>
        <w:rPr>
          <w:lang w:val="en-US"/>
        </w:rPr>
        <w:fldChar w:fldCharType="separate"/>
      </w:r>
      <w:r w:rsidRPr="007607DA">
        <w:rPr>
          <w:noProof/>
          <w:vertAlign w:val="superscript"/>
          <w:lang w:val="en-US"/>
        </w:rPr>
        <w:t>44</w:t>
      </w:r>
      <w:r>
        <w:rPr>
          <w:lang w:val="en-US"/>
        </w:rPr>
        <w:fldChar w:fldCharType="end"/>
      </w:r>
      <w:r>
        <w:rPr>
          <w:lang w:val="en-US"/>
        </w:rPr>
        <w:t xml:space="preserve">, 61% of the Co materials that are covered by the HS code 810520 is Co powder used in LIBs. Cost-to-mass ratios of Co powder and mattes are used to identify the trade amounts and costs of Co powder. These ratios are defined based on the average market price of cobalt metal (i.e. 26$/kg on the 29. July 2019 according to </w:t>
      </w:r>
      <w:r>
        <w:rPr>
          <w:noProof/>
          <w:lang w:val="en-US"/>
        </w:rPr>
        <w:t>London Metal Exchange</w:t>
      </w:r>
      <w:r>
        <w:rPr>
          <w:lang w:val="en-US"/>
        </w:rPr>
        <w:fldChar w:fldCharType="begin"/>
      </w:r>
      <w:r>
        <w:rPr>
          <w:lang w:val="en-US"/>
        </w:rPr>
        <w:instrText xml:space="preserve"> ADDIN EN.CITE &lt;EndNote&gt;&lt;Cite&gt;&lt;Author&gt;London Metal Exchange&lt;/Author&gt;&lt;Year&gt;2021&lt;/Year&gt;&lt;RecNum&gt;808&lt;/RecNum&gt;&lt;DisplayText&gt;&lt;style face="superscript"&gt;45&lt;/style&gt;&lt;/DisplayText&gt;&lt;record&gt;&lt;rec-number&gt;808&lt;/rec-number&gt;&lt;foreign-keys&gt;&lt;key app="EN" db-id="tf290pefax0av3epa2f5stfrt00zvzxs25f2" timestamp="1629897636"&gt;808&lt;/key&gt;&lt;/foreign-keys&gt;&lt;ref-type name="Web Page"&gt;12&lt;/ref-type&gt;&lt;contributors&gt;&lt;authors&gt;&lt;author&gt;London Metal Exchange, &lt;/author&gt;&lt;/authors&gt;&lt;secondary-authors&gt;&lt;author&gt;Trading Economics&lt;/author&gt;&lt;/secondary-authors&gt;&lt;/contributors&gt;&lt;titles&gt;&lt;title&gt;Cobalt&lt;/title&gt;&lt;/titles&gt;&lt;number&gt;25/08/2021&lt;/number&gt;&lt;dates&gt;&lt;year&gt;2021&lt;/year&gt;&lt;/dates&gt;&lt;urls&gt;&lt;related-urls&gt;&lt;url&gt;https://tradingeconomics.com/commodity/cobalt&lt;/url&gt;&lt;/related-urls&gt;&lt;/urls&gt;&lt;/record&gt;&lt;/Cite&gt;&lt;/EndNote&gt;</w:instrText>
      </w:r>
      <w:r>
        <w:rPr>
          <w:lang w:val="en-US"/>
        </w:rPr>
        <w:fldChar w:fldCharType="separate"/>
      </w:r>
      <w:r w:rsidRPr="007607DA">
        <w:rPr>
          <w:noProof/>
          <w:vertAlign w:val="superscript"/>
          <w:lang w:val="en-US"/>
        </w:rPr>
        <w:t>45</w:t>
      </w:r>
      <w:r>
        <w:rPr>
          <w:lang w:val="en-US"/>
        </w:rPr>
        <w:fldChar w:fldCharType="end"/>
      </w:r>
      <w:r>
        <w:rPr>
          <w:lang w:val="en-US"/>
        </w:rPr>
        <w:t xml:space="preserve"> and </w:t>
      </w:r>
      <w:r>
        <w:rPr>
          <w:noProof/>
          <w:lang w:val="en-US"/>
        </w:rPr>
        <w:t>Trading Economics</w:t>
      </w:r>
      <w:r>
        <w:rPr>
          <w:lang w:val="en-US"/>
        </w:rPr>
        <w:fldChar w:fldCharType="begin"/>
      </w:r>
      <w:r>
        <w:rPr>
          <w:lang w:val="en-US"/>
        </w:rPr>
        <w:instrText xml:space="preserve"> ADDIN EN.CITE &lt;EndNote&gt;&lt;Cite&gt;&lt;Author&gt;Trading Economics&lt;/Author&gt;&lt;Year&gt;2021&lt;/Year&gt;&lt;RecNum&gt;878&lt;/RecNum&gt;&lt;DisplayText&gt;&lt;style face="superscript"&gt;46&lt;/style&gt;&lt;/DisplayText&gt;&lt;record&gt;&lt;rec-number&gt;878&lt;/rec-number&gt;&lt;foreign-keys&gt;&lt;key app="EN" db-id="tf290pefax0av3epa2f5stfrt00zvzxs25f2" timestamp="1634802515"&gt;878&lt;/key&gt;&lt;/foreign-keys&gt;&lt;ref-type name="Web Page"&gt;12&lt;/ref-type&gt;&lt;contributors&gt;&lt;authors&gt;&lt;author&gt;Trading Economics,&lt;/author&gt;&lt;/authors&gt;&lt;/contributors&gt;&lt;titles&gt;&lt;title&gt;Cobalt&lt;/title&gt;&lt;/titles&gt;&lt;number&gt;21/10/2021&lt;/number&gt;&lt;dates&gt;&lt;year&gt;2021&lt;/year&gt;&lt;/dates&gt;&lt;urls&gt;&lt;related-urls&gt;&lt;url&gt;https://tradingeconomics.com/commodity/cobalt&lt;/url&gt;&lt;/related-urls&gt;&lt;/urls&gt;&lt;/record&gt;&lt;/Cite&gt;&lt;/EndNote&gt;</w:instrText>
      </w:r>
      <w:r>
        <w:rPr>
          <w:lang w:val="en-US"/>
        </w:rPr>
        <w:fldChar w:fldCharType="separate"/>
      </w:r>
      <w:r w:rsidRPr="007607DA">
        <w:rPr>
          <w:noProof/>
          <w:vertAlign w:val="superscript"/>
          <w:lang w:val="en-US"/>
        </w:rPr>
        <w:t>46</w:t>
      </w:r>
      <w:r>
        <w:rPr>
          <w:lang w:val="en-US"/>
        </w:rPr>
        <w:fldChar w:fldCharType="end"/>
      </w:r>
      <w:r>
        <w:rPr>
          <w:lang w:val="en-US"/>
        </w:rPr>
        <w:t>) and based on the average market price of Co mattes (i.e. 11$/kg according to Baars et al.</w:t>
      </w:r>
      <w:r>
        <w:rPr>
          <w:lang w:val="en-US"/>
        </w:rPr>
        <w:fldChar w:fldCharType="begin"/>
      </w:r>
      <w:r>
        <w:rPr>
          <w:lang w:val="en-US"/>
        </w:rPr>
        <w:instrText xml:space="preserve"> ADDIN EN.CITE &lt;EndNote&gt;&lt;Cite&gt;&lt;Author&gt;Baars&lt;/Author&gt;&lt;Year&gt;2021&lt;/Year&gt;&lt;RecNum&gt;769&lt;/RecNum&gt;&lt;DisplayText&gt;&lt;style face="superscript"&gt;19&lt;/style&gt;&lt;/DisplayText&gt;&lt;record&gt;&lt;rec-number&gt;769&lt;/rec-number&gt;&lt;foreign-keys&gt;&lt;key app="EN" db-id="tf290pefax0av3epa2f5stfrt00zvzxs25f2" timestamp="1627573611"&gt;769&lt;/key&gt;&lt;/foreign-keys&gt;&lt;ref-type name="Journal Article"&gt;17&lt;/ref-type&gt;&lt;contributors&gt;&lt;authors&gt;&lt;author&gt;Baars, Joris&lt;/author&gt;&lt;author&gt;Domenech, Teresa&lt;/author&gt;&lt;author&gt;Bleischwitz, Raimund&lt;/author&gt;&lt;author&gt;Melin, Hans Eric&lt;/author&gt;&lt;author&gt;Heidrich, Oliver&lt;/author&gt;&lt;/authors&gt;&lt;/contributors&gt;&lt;titles&gt;&lt;title&gt;Circular economy strategies for electric vehicle batteries reduce reliance on raw materials&lt;/title&gt;&lt;secondary-title&gt;Nature Sustainability&lt;/secondary-title&gt;&lt;/titles&gt;&lt;periodical&gt;&lt;full-title&gt;Nature Sustainability&lt;/full-title&gt;&lt;/periodical&gt;&lt;pages&gt;71-79&lt;/pages&gt;&lt;volume&gt;4&lt;/volume&gt;&lt;number&gt;1&lt;/number&gt;&lt;dates&gt;&lt;year&gt;2021&lt;/year&gt;&lt;pub-dates&gt;&lt;date&gt;2021/01/01&lt;/date&gt;&lt;/pub-dates&gt;&lt;/dates&gt;&lt;isbn&gt;2398-9629&lt;/isbn&gt;&lt;urls&gt;&lt;related-urls&gt;&lt;url&gt;https://doi.org/10.1038/s41893-020-00607-0&lt;/url&gt;&lt;/related-urls&gt;&lt;/urls&gt;&lt;electronic-resource-num&gt;https://doi.org/10.1038/s41893-020-00607-0&lt;/electronic-resource-num&gt;&lt;/record&gt;&lt;/Cite&gt;&lt;/EndNote&gt;</w:instrText>
      </w:r>
      <w:r>
        <w:rPr>
          <w:lang w:val="en-US"/>
        </w:rPr>
        <w:fldChar w:fldCharType="separate"/>
      </w:r>
      <w:r w:rsidRPr="00C2005C">
        <w:rPr>
          <w:noProof/>
          <w:vertAlign w:val="superscript"/>
          <w:lang w:val="en-US"/>
        </w:rPr>
        <w:t>19</w:t>
      </w:r>
      <w:r>
        <w:rPr>
          <w:lang w:val="en-US"/>
        </w:rPr>
        <w:fldChar w:fldCharType="end"/>
      </w:r>
      <w:r>
        <w:rPr>
          <w:lang w:val="en-US"/>
        </w:rPr>
        <w:t xml:space="preserve"> and the European Commission</w:t>
      </w:r>
      <w:r>
        <w:rPr>
          <w:lang w:val="en-US"/>
        </w:rPr>
        <w:fldChar w:fldCharType="begin"/>
      </w:r>
      <w:r>
        <w:rPr>
          <w:lang w:val="en-US"/>
        </w:rPr>
        <w:instrText xml:space="preserve"> ADDIN EN.CITE &lt;EndNote&gt;&lt;Cite&gt;&lt;Author&gt;European Commission&lt;/Author&gt;&lt;Year&gt;2020&lt;/Year&gt;&lt;RecNum&gt;879&lt;/RecNum&gt;&lt;DisplayText&gt;&lt;style face="superscript"&gt;47&lt;/style&gt;&lt;/DisplayText&gt;&lt;record&gt;&lt;rec-number&gt;879&lt;/rec-number&gt;&lt;foreign-keys&gt;&lt;key app="EN" db-id="tf290pefax0av3epa2f5stfrt00zvzxs25f2" timestamp="1634802853"&gt;879&lt;/key&gt;&lt;/foreign-keys&gt;&lt;ref-type name="Report"&gt;27&lt;/ref-type&gt;&lt;contributors&gt;&lt;authors&gt;&lt;author&gt;European Commission,&lt;/author&gt;&lt;/authors&gt;&lt;/contributors&gt;&lt;titles&gt;&lt;title&gt;Study on the EU&amp;apos;s list of Critical Raw Materials (2020) - Critical Raw Materials Factsheet (Final)&lt;/title&gt;&lt;/titles&gt;&lt;dates&gt;&lt;year&gt;2020&lt;/year&gt;&lt;/dates&gt;&lt;pub-location&gt;Brussels&lt;/pub-location&gt;&lt;urls&gt;&lt;/urls&gt;&lt;/record&gt;&lt;/Cite&gt;&lt;/EndNote&gt;</w:instrText>
      </w:r>
      <w:r>
        <w:rPr>
          <w:lang w:val="en-US"/>
        </w:rPr>
        <w:fldChar w:fldCharType="separate"/>
      </w:r>
      <w:r w:rsidRPr="007607DA">
        <w:rPr>
          <w:noProof/>
          <w:vertAlign w:val="superscript"/>
          <w:lang w:val="en-US"/>
        </w:rPr>
        <w:t>47</w:t>
      </w:r>
      <w:r>
        <w:rPr>
          <w:lang w:val="en-US"/>
        </w:rPr>
        <w:fldChar w:fldCharType="end"/>
      </w:r>
      <w:r>
        <w:rPr>
          <w:lang w:val="en-US"/>
        </w:rPr>
        <w:t>). Thus, the following three requirements are considered: (i) all trades with a cost-to-mass ration below or equal to 11$/kg are assumed to be Co mattes, (ii) following Baars et al.</w:t>
      </w:r>
      <w:r>
        <w:rPr>
          <w:lang w:val="en-US"/>
        </w:rPr>
        <w:fldChar w:fldCharType="begin"/>
      </w:r>
      <w:r>
        <w:rPr>
          <w:lang w:val="en-US"/>
        </w:rPr>
        <w:instrText xml:space="preserve"> ADDIN EN.CITE &lt;EndNote&gt;&lt;Cite&gt;&lt;Author&gt;Baars&lt;/Author&gt;&lt;Year&gt;2021&lt;/Year&gt;&lt;RecNum&gt;769&lt;/RecNum&gt;&lt;DisplayText&gt;&lt;style face="superscript"&gt;19&lt;/style&gt;&lt;/DisplayText&gt;&lt;record&gt;&lt;rec-number&gt;769&lt;/rec-number&gt;&lt;foreign-keys&gt;&lt;key app="EN" db-id="tf290pefax0av3epa2f5stfrt00zvzxs25f2" timestamp="1627573611"&gt;769&lt;/key&gt;&lt;/foreign-keys&gt;&lt;ref-type name="Journal Article"&gt;17&lt;/ref-type&gt;&lt;contributors&gt;&lt;authors&gt;&lt;author&gt;Baars, Joris&lt;/author&gt;&lt;author&gt;Domenech, Teresa&lt;/author&gt;&lt;author&gt;Bleischwitz, Raimund&lt;/author&gt;&lt;author&gt;Melin, Hans Eric&lt;/author&gt;&lt;author&gt;Heidrich, Oliver&lt;/author&gt;&lt;/authors&gt;&lt;/contributors&gt;&lt;titles&gt;&lt;title&gt;Circular economy strategies for electric vehicle batteries reduce reliance on raw materials&lt;/title&gt;&lt;secondary-title&gt;Nature Sustainability&lt;/secondary-title&gt;&lt;/titles&gt;&lt;periodical&gt;&lt;full-title&gt;Nature Sustainability&lt;/full-title&gt;&lt;/periodical&gt;&lt;pages&gt;71-79&lt;/pages&gt;&lt;volume&gt;4&lt;/volume&gt;&lt;number&gt;1&lt;/number&gt;&lt;dates&gt;&lt;year&gt;2021&lt;/year&gt;&lt;pub-dates&gt;&lt;date&gt;2021/01/01&lt;/date&gt;&lt;/pub-dates&gt;&lt;/dates&gt;&lt;isbn&gt;2398-9629&lt;/isbn&gt;&lt;urls&gt;&lt;related-urls&gt;&lt;url&gt;https://doi.org/10.1038/s41893-020-00607-0&lt;/url&gt;&lt;/related-urls&gt;&lt;/urls&gt;&lt;electronic-resource-num&gt;https://doi.org/10.1038/s41893-020-00607-0&lt;/electronic-resource-num&gt;&lt;/record&gt;&lt;/Cite&gt;&lt;/EndNote&gt;</w:instrText>
      </w:r>
      <w:r>
        <w:rPr>
          <w:lang w:val="en-US"/>
        </w:rPr>
        <w:fldChar w:fldCharType="separate"/>
      </w:r>
      <w:r w:rsidRPr="00C2005C">
        <w:rPr>
          <w:noProof/>
          <w:vertAlign w:val="superscript"/>
          <w:lang w:val="en-US"/>
        </w:rPr>
        <w:t>19</w:t>
      </w:r>
      <w:r>
        <w:rPr>
          <w:lang w:val="en-US"/>
        </w:rPr>
        <w:fldChar w:fldCharType="end"/>
      </w:r>
      <w:r>
        <w:rPr>
          <w:lang w:val="en-US"/>
        </w:rPr>
        <w:t xml:space="preserve">, all trades with a cost-to-mass ratio between 11 and 26$/kg are assumed to be 50% Co mattes and 50% Co powder and (iii) all trades with a cost-to-mass ratio above or equal to 26$/kg are assumed to be cobalt powder. </w:t>
      </w:r>
    </w:p>
    <w:p w:rsidR="00A00CD0" w:rsidRDefault="00A00CD0" w:rsidP="00A00CD0">
      <w:pPr>
        <w:spacing w:line="480" w:lineRule="auto"/>
        <w:jc w:val="both"/>
        <w:rPr>
          <w:b/>
          <w:lang w:val="en-US"/>
        </w:rPr>
      </w:pPr>
      <w:r>
        <w:rPr>
          <w:b/>
          <w:lang w:val="en-US"/>
        </w:rPr>
        <w:lastRenderedPageBreak/>
        <w:t xml:space="preserve">Cobalt intermediates that comprise cobalt mattes covered by the HS code </w:t>
      </w:r>
      <w:r w:rsidRPr="00C110B2">
        <w:rPr>
          <w:b/>
          <w:lang w:val="en-US"/>
        </w:rPr>
        <w:t>810520</w:t>
      </w:r>
      <w:r>
        <w:rPr>
          <w:b/>
          <w:lang w:val="en-US"/>
        </w:rPr>
        <w:t>, nickel-cobalt mattes covered by the HS code 750110 and nickel-cobalt sulfide covered by the HS code 750120</w:t>
      </w:r>
    </w:p>
    <w:p w:rsidR="00A00CD0" w:rsidRDefault="00A00CD0" w:rsidP="00A00CD0">
      <w:pPr>
        <w:spacing w:line="480" w:lineRule="auto"/>
        <w:jc w:val="both"/>
        <w:rPr>
          <w:lang w:val="en-US"/>
        </w:rPr>
      </w:pPr>
      <w:r>
        <w:rPr>
          <w:lang w:val="en-US"/>
        </w:rPr>
        <w:t>The considered HS codes cover cobalt intermediates that are used in EVs but also in other products. Furthermore, the HS code 810520 covers cobalt mattes but also cobalt powder. As stated in the two previous paragraphs, 60% of all batteries are estimated to be used in the electro mobility sector. According to Petavratzi et al.</w:t>
      </w:r>
      <w:r>
        <w:rPr>
          <w:lang w:val="en-US"/>
        </w:rPr>
        <w:fldChar w:fldCharType="begin"/>
      </w:r>
      <w:r>
        <w:rPr>
          <w:lang w:val="en-US"/>
        </w:rPr>
        <w:instrText xml:space="preserve"> ADDIN EN.CITE &lt;EndNote&gt;&lt;Cite&gt;&lt;Author&gt;Petavratzi&lt;/Author&gt;&lt;Year&gt;2019&lt;/Year&gt;&lt;RecNum&gt;759&lt;/RecNum&gt;&lt;DisplayText&gt;&lt;style face="superscript"&gt;44&lt;/style&gt;&lt;/DisplayText&gt;&lt;record&gt;&lt;rec-number&gt;759&lt;/rec-number&gt;&lt;foreign-keys&gt;&lt;key app="EN" db-id="tf290pefax0av3epa2f5stfrt00zvzxs25f2" timestamp="1624012023"&gt;759&lt;/key&gt;&lt;/foreign-keys&gt;&lt;ref-type name="Book"&gt;6&lt;/ref-type&gt;&lt;contributors&gt;&lt;authors&gt;&lt;author&gt;Petavratzi, Evi&lt;/author&gt;&lt;author&gt;Gunn, Gus&lt;/author&gt;&lt;author&gt;Kresse, Carolin&lt;/author&gt;&lt;/authors&gt;&lt;/contributors&gt;&lt;titles&gt;&lt;title&gt;BGS COMMODITY REVIEW: Cobalt&lt;/title&gt;&lt;/titles&gt;&lt;dates&gt;&lt;year&gt;2019&lt;/year&gt;&lt;/dates&gt;&lt;urls&gt;&lt;/urls&gt;&lt;/record&gt;&lt;/Cite&gt;&lt;/EndNote&gt;</w:instrText>
      </w:r>
      <w:r>
        <w:rPr>
          <w:lang w:val="en-US"/>
        </w:rPr>
        <w:fldChar w:fldCharType="separate"/>
      </w:r>
      <w:r w:rsidRPr="007607DA">
        <w:rPr>
          <w:noProof/>
          <w:vertAlign w:val="superscript"/>
          <w:lang w:val="en-US"/>
        </w:rPr>
        <w:t>44</w:t>
      </w:r>
      <w:r>
        <w:rPr>
          <w:lang w:val="en-US"/>
        </w:rPr>
        <w:fldChar w:fldCharType="end"/>
      </w:r>
      <w:r>
        <w:rPr>
          <w:lang w:val="en-US"/>
        </w:rPr>
        <w:t>, 46% of the global cobalt supply is applied in LIBs that are used in the electro mobility sector. To identify the trade amounts and costs of the Co mattes, the three requirements that are described in the previous paragraph are considered.</w:t>
      </w:r>
    </w:p>
    <w:p w:rsidR="00A00CD0" w:rsidRPr="00DF3E97" w:rsidRDefault="00A00CD0" w:rsidP="00A00CD0">
      <w:pPr>
        <w:spacing w:line="480" w:lineRule="auto"/>
        <w:jc w:val="both"/>
        <w:rPr>
          <w:b/>
          <w:lang w:val="en-US"/>
        </w:rPr>
      </w:pPr>
      <w:r w:rsidRPr="00DF3E97">
        <w:rPr>
          <w:b/>
          <w:lang w:val="en-US"/>
        </w:rPr>
        <w:t xml:space="preserve">Electric vehicle bodies </w:t>
      </w:r>
      <w:r>
        <w:rPr>
          <w:b/>
          <w:lang w:val="en-US"/>
        </w:rPr>
        <w:t xml:space="preserve">and chassis </w:t>
      </w:r>
      <w:r w:rsidRPr="00DF3E97">
        <w:rPr>
          <w:b/>
          <w:lang w:val="en-US"/>
        </w:rPr>
        <w:t>covered by the HS code</w:t>
      </w:r>
      <w:r>
        <w:rPr>
          <w:b/>
          <w:lang w:val="en-US"/>
        </w:rPr>
        <w:t>s</w:t>
      </w:r>
      <w:r w:rsidRPr="00DF3E97">
        <w:rPr>
          <w:b/>
          <w:lang w:val="en-US"/>
        </w:rPr>
        <w:t xml:space="preserve"> 870710</w:t>
      </w:r>
      <w:r>
        <w:rPr>
          <w:b/>
          <w:lang w:val="en-US"/>
        </w:rPr>
        <w:t xml:space="preserve"> and </w:t>
      </w:r>
      <w:r w:rsidRPr="00A605CA">
        <w:rPr>
          <w:b/>
          <w:lang w:val="en-US"/>
        </w:rPr>
        <w:t>870600</w:t>
      </w:r>
      <w:r>
        <w:rPr>
          <w:b/>
          <w:lang w:val="en-US"/>
        </w:rPr>
        <w:t>, respectively</w:t>
      </w:r>
      <w:r w:rsidRPr="00DF3E97">
        <w:rPr>
          <w:b/>
          <w:lang w:val="en-US"/>
        </w:rPr>
        <w:t>:</w:t>
      </w:r>
    </w:p>
    <w:p w:rsidR="00A00CD0" w:rsidRDefault="00A00CD0" w:rsidP="00A00CD0">
      <w:pPr>
        <w:spacing w:line="480" w:lineRule="auto"/>
        <w:jc w:val="both"/>
        <w:rPr>
          <w:lang w:val="en-US"/>
        </w:rPr>
      </w:pPr>
      <w:r>
        <w:rPr>
          <w:lang w:val="en-US"/>
        </w:rPr>
        <w:t>The considered HS codes cover car bodies and chassis that are used in EVs but also in other vehicles. According to IEA</w:t>
      </w:r>
      <w:r>
        <w:rPr>
          <w:lang w:val="en-US"/>
        </w:rPr>
        <w:fldChar w:fldCharType="begin"/>
      </w:r>
      <w:r>
        <w:rPr>
          <w:lang w:val="en-US"/>
        </w:rPr>
        <w:instrText xml:space="preserve"> ADDIN EN.CITE &lt;EndNote&gt;&lt;Cite&gt;&lt;Author&gt;IEA&lt;/Author&gt;&lt;Year&gt;2020&lt;/Year&gt;&lt;RecNum&gt;697&lt;/RecNum&gt;&lt;DisplayText&gt;&lt;style face="superscript"&gt;48&lt;/style&gt;&lt;/DisplayText&gt;&lt;record&gt;&lt;rec-number&gt;697&lt;/rec-number&gt;&lt;foreign-keys&gt;&lt;key app="EN" db-id="tf290pefax0av3epa2f5stfrt00zvzxs25f2" timestamp="1607508727"&gt;697&lt;/key&gt;&lt;/foreign-keys&gt;&lt;ref-type name="Report"&gt;27&lt;/ref-type&gt;&lt;contributors&gt;&lt;authors&gt;&lt;author&gt;IEA&lt;/author&gt;&lt;/authors&gt;&lt;secondary-authors&gt;&lt;author&gt;International Energy Agency&lt;/author&gt;&lt;/secondary-authors&gt;&lt;/contributors&gt;&lt;titles&gt;&lt;title&gt;Global EV Outlook 2020&lt;/title&gt;&lt;/titles&gt;&lt;dates&gt;&lt;year&gt;2020&lt;/year&gt;&lt;/dates&gt;&lt;pub-location&gt;Paris&lt;/pub-location&gt;&lt;urls&gt;&lt;related-urls&gt;&lt;url&gt;https://www.iea.org/reports/global-ev-outlook-2020&lt;/url&gt;&lt;/related-urls&gt;&lt;/urls&gt;&lt;/record&gt;&lt;/Cite&gt;&lt;/EndNote&gt;</w:instrText>
      </w:r>
      <w:r>
        <w:rPr>
          <w:lang w:val="en-US"/>
        </w:rPr>
        <w:fldChar w:fldCharType="separate"/>
      </w:r>
      <w:r w:rsidRPr="007607DA">
        <w:rPr>
          <w:noProof/>
          <w:vertAlign w:val="superscript"/>
          <w:lang w:val="en-US"/>
        </w:rPr>
        <w:t>48</w:t>
      </w:r>
      <w:r>
        <w:rPr>
          <w:lang w:val="en-US"/>
        </w:rPr>
        <w:fldChar w:fldCharType="end"/>
      </w:r>
      <w:r>
        <w:rPr>
          <w:lang w:val="en-US"/>
        </w:rPr>
        <w:t>, EVs account for 2.6% of the global car sales. Hence, 2.6% of the sold car bodies and chassis are used in EVs.</w:t>
      </w:r>
    </w:p>
    <w:p w:rsidR="00A00CD0" w:rsidRPr="00AD035A" w:rsidRDefault="00A00CD0" w:rsidP="00A00CD0">
      <w:pPr>
        <w:spacing w:line="480" w:lineRule="auto"/>
        <w:rPr>
          <w:b/>
          <w:lang w:val="en-US"/>
        </w:rPr>
      </w:pPr>
      <w:r w:rsidRPr="00AD035A">
        <w:rPr>
          <w:b/>
          <w:lang w:val="en-US"/>
        </w:rPr>
        <w:t xml:space="preserve">Electric vehicle motors covered by the HS codes 850132, 850133, </w:t>
      </w:r>
      <w:r>
        <w:rPr>
          <w:b/>
          <w:lang w:val="en-US"/>
        </w:rPr>
        <w:t>850152 and</w:t>
      </w:r>
      <w:r w:rsidRPr="00AD035A">
        <w:rPr>
          <w:b/>
          <w:lang w:val="en-US"/>
        </w:rPr>
        <w:t xml:space="preserve"> 850153</w:t>
      </w:r>
      <w:r>
        <w:rPr>
          <w:b/>
          <w:lang w:val="en-US"/>
        </w:rPr>
        <w:t>:</w:t>
      </w:r>
    </w:p>
    <w:p w:rsidR="00A00CD0" w:rsidRDefault="00A00CD0" w:rsidP="00A00CD0">
      <w:pPr>
        <w:spacing w:line="480" w:lineRule="auto"/>
        <w:jc w:val="both"/>
        <w:rPr>
          <w:lang w:val="en-US"/>
        </w:rPr>
      </w:pPr>
      <w:r>
        <w:rPr>
          <w:lang w:val="en-US"/>
        </w:rPr>
        <w:t xml:space="preserve">The considered HS codes cover electric motors that are used in EVs but also in other applications. According to </w:t>
      </w:r>
      <w:r>
        <w:rPr>
          <w:noProof/>
          <w:lang w:val="en-US"/>
        </w:rPr>
        <w:t>Grand View Research</w:t>
      </w:r>
      <w:r>
        <w:rPr>
          <w:lang w:val="en-US"/>
        </w:rPr>
        <w:fldChar w:fldCharType="begin"/>
      </w:r>
      <w:r>
        <w:rPr>
          <w:lang w:val="en-US"/>
        </w:rPr>
        <w:instrText xml:space="preserve"> ADDIN EN.CITE &lt;EndNote&gt;&lt;Cite&gt;&lt;Author&gt;Grand View Research&lt;/Author&gt;&lt;Year&gt;2021&lt;/Year&gt;&lt;RecNum&gt;865&lt;/RecNum&gt;&lt;DisplayText&gt;&lt;style face="superscript"&gt;49&lt;/style&gt;&lt;/DisplayText&gt;&lt;record&gt;&lt;rec-number&gt;865&lt;/rec-number&gt;&lt;foreign-keys&gt;&lt;key app="EN" db-id="tf290pefax0av3epa2f5stfrt00zvzxs25f2" timestamp="1633949100"&gt;865&lt;/key&gt;&lt;/foreign-keys&gt;&lt;ref-type name="Web Page"&gt;12&lt;/ref-type&gt;&lt;contributors&gt;&lt;authors&gt;&lt;author&gt;Grand View Research,&lt;/author&gt;&lt;/authors&gt;&lt;/contributors&gt;&lt;titles&gt;&lt;title&gt;Electric Motor Sales Market Size, Share &amp;amp; Trends Analysis Report By Application, By Power Output (Integral HP Output, Fractional HP Output), By Motor Type (Hermetic, AC, DC), By Region, And Segment Forecasts, 2021 - 2028&lt;/title&gt;&lt;/titles&gt;&lt;number&gt;11/10/2021&lt;/number&gt;&lt;dates&gt;&lt;year&gt;2021&lt;/year&gt;&lt;/dates&gt;&lt;urls&gt;&lt;related-urls&gt;&lt;url&gt;https://www.grandviewresearch.com/industry-analysis/electric-motor-market&lt;/url&gt;&lt;/related-urls&gt;&lt;/urls&gt;&lt;/record&gt;&lt;/Cite&gt;&lt;/EndNote&gt;</w:instrText>
      </w:r>
      <w:r>
        <w:rPr>
          <w:lang w:val="en-US"/>
        </w:rPr>
        <w:fldChar w:fldCharType="separate"/>
      </w:r>
      <w:r w:rsidRPr="007607DA">
        <w:rPr>
          <w:noProof/>
          <w:vertAlign w:val="superscript"/>
          <w:lang w:val="en-US"/>
        </w:rPr>
        <w:t>49</w:t>
      </w:r>
      <w:r>
        <w:rPr>
          <w:lang w:val="en-US"/>
        </w:rPr>
        <w:fldChar w:fldCharType="end"/>
      </w:r>
      <w:r>
        <w:rPr>
          <w:lang w:val="en-US"/>
        </w:rPr>
        <w:t xml:space="preserve">, 46% of the globally sold electric motor sales are motors used in EVs. </w:t>
      </w:r>
    </w:p>
    <w:p w:rsidR="00A00CD0" w:rsidRPr="00D247C6" w:rsidRDefault="00A00CD0" w:rsidP="00A00CD0">
      <w:pPr>
        <w:spacing w:line="480" w:lineRule="auto"/>
        <w:jc w:val="both"/>
        <w:rPr>
          <w:b/>
          <w:lang w:val="en-US"/>
        </w:rPr>
      </w:pPr>
      <w:r w:rsidRPr="00D247C6">
        <w:rPr>
          <w:b/>
          <w:lang w:val="en-US"/>
        </w:rPr>
        <w:t>Electric vehicle wiring covered by the HS code 854430:</w:t>
      </w:r>
    </w:p>
    <w:p w:rsidR="00A00CD0" w:rsidRDefault="00A00CD0" w:rsidP="00A00CD0">
      <w:pPr>
        <w:spacing w:line="480" w:lineRule="auto"/>
        <w:jc w:val="both"/>
        <w:rPr>
          <w:lang w:val="en-US"/>
        </w:rPr>
      </w:pPr>
      <w:r>
        <w:rPr>
          <w:lang w:val="en-US"/>
        </w:rPr>
        <w:t xml:space="preserve">The considered HS code covers wiring that is used in EVs but also in other vehicles, aircrafts and ships. </w:t>
      </w:r>
      <w:r>
        <w:rPr>
          <w:noProof/>
          <w:lang w:val="en-US"/>
        </w:rPr>
        <w:t>Markets and Markets</w:t>
      </w:r>
      <w:r>
        <w:rPr>
          <w:lang w:val="en-US"/>
        </w:rPr>
        <w:fldChar w:fldCharType="begin"/>
      </w:r>
      <w:r>
        <w:rPr>
          <w:lang w:val="en-US"/>
        </w:rPr>
        <w:instrText xml:space="preserve"> ADDIN EN.CITE &lt;EndNote&gt;&lt;Cite&gt;&lt;Author&gt;Markets and Markets&lt;/Author&gt;&lt;Year&gt;2019&lt;/Year&gt;&lt;RecNum&gt;899&lt;/RecNum&gt;&lt;DisplayText&gt;&lt;style face="superscript"&gt;50&lt;/style&gt;&lt;/DisplayText&gt;&lt;record&gt;&lt;rec-number&gt;899&lt;/rec-number&gt;&lt;foreign-keys&gt;&lt;key app="EN" db-id="tf290pefax0av3epa2f5stfrt00zvzxs25f2" timestamp="1635514906"&gt;899&lt;/key&gt;&lt;/foreign-keys&gt;&lt;ref-type name="Web Page"&gt;12&lt;/ref-type&gt;&lt;contributors&gt;&lt;authors&gt;&lt;author&gt;Markets and Markets,&lt;/author&gt;&lt;/authors&gt;&lt;/contributors&gt;&lt;titles&gt;&lt;title&gt;Automotive Wiring Harness Market&lt;/title&gt;&lt;/titles&gt;&lt;number&gt;29/10/2021&lt;/number&gt;&lt;dates&gt;&lt;year&gt;2019&lt;/year&gt;&lt;/dates&gt;&lt;urls&gt;&lt;related-urls&gt;&lt;url&gt;https://www.marketsandmarkets.com/Market-Reports/automotive-wiring-harness-market-170344950.html&lt;/url&gt;&lt;/related-urls&gt;&lt;/urls&gt;&lt;/record&gt;&lt;/Cite&gt;&lt;/EndNote&gt;</w:instrText>
      </w:r>
      <w:r>
        <w:rPr>
          <w:lang w:val="en-US"/>
        </w:rPr>
        <w:fldChar w:fldCharType="separate"/>
      </w:r>
      <w:r w:rsidRPr="007607DA">
        <w:rPr>
          <w:noProof/>
          <w:vertAlign w:val="superscript"/>
          <w:lang w:val="en-US"/>
        </w:rPr>
        <w:t>50</w:t>
      </w:r>
      <w:r>
        <w:rPr>
          <w:lang w:val="en-US"/>
        </w:rPr>
        <w:fldChar w:fldCharType="end"/>
      </w:r>
      <w:r>
        <w:rPr>
          <w:lang w:val="en-US"/>
        </w:rPr>
        <w:t xml:space="preserve">, </w:t>
      </w:r>
      <w:r>
        <w:rPr>
          <w:noProof/>
          <w:lang w:val="en-US"/>
        </w:rPr>
        <w:t>Market Reports World</w:t>
      </w:r>
      <w:r>
        <w:rPr>
          <w:lang w:val="en-US"/>
        </w:rPr>
        <w:fldChar w:fldCharType="begin"/>
      </w:r>
      <w:r>
        <w:rPr>
          <w:lang w:val="en-US"/>
        </w:rPr>
        <w:instrText xml:space="preserve"> ADDIN EN.CITE &lt;EndNote&gt;&lt;Cite&gt;&lt;Author&gt;Market Reports World&lt;/Author&gt;&lt;Year&gt;2021&lt;/Year&gt;&lt;RecNum&gt;900&lt;/RecNum&gt;&lt;DisplayText&gt;&lt;style face="superscript"&gt;51&lt;/style&gt;&lt;/DisplayText&gt;&lt;record&gt;&lt;rec-number&gt;900&lt;/rec-number&gt;&lt;foreign-keys&gt;&lt;key app="EN" db-id="tf290pefax0av3epa2f5stfrt00zvzxs25f2" timestamp="1635515206"&gt;900&lt;/key&gt;&lt;/foreign-keys&gt;&lt;ref-type name="Web Page"&gt;12&lt;/ref-type&gt;&lt;contributors&gt;&lt;authors&gt;&lt;author&gt;Market Reports World,&lt;/author&gt;&lt;/authors&gt;&lt;secondary-authors&gt;&lt;author&gt;new.net,&lt;/author&gt;&lt;/secondary-authors&gt;&lt;/contributors&gt;&lt;titles&gt;&lt;title&gt;Aircraft Wire and Cable Market Share, Size,Growth Global Leading Players, Industry Updates, Future Business Prospects, Forthcoming Developments and Future Investments by Forecast to 2027&lt;/title&gt;&lt;/titles&gt;&lt;number&gt;29/10/2021&lt;/number&gt;&lt;dates&gt;&lt;year&gt;2021&lt;/year&gt;&lt;/dates&gt;&lt;urls&gt;&lt;related-urls&gt;&lt;url&gt;https://www.yournewsnet.com/story/44193521/aircraft-wire-and-cable-market-share-sizegrowth-global-leading-players-industry-updates-future-business-prospects-forthcoming-developments-and-future&lt;/url&gt;&lt;/related-urls&gt;&lt;/urls&gt;&lt;/record&gt;&lt;/Cite&gt;&lt;/EndNote&gt;</w:instrText>
      </w:r>
      <w:r>
        <w:rPr>
          <w:lang w:val="en-US"/>
        </w:rPr>
        <w:fldChar w:fldCharType="separate"/>
      </w:r>
      <w:r w:rsidRPr="007607DA">
        <w:rPr>
          <w:noProof/>
          <w:vertAlign w:val="superscript"/>
          <w:lang w:val="en-US"/>
        </w:rPr>
        <w:t>51</w:t>
      </w:r>
      <w:r>
        <w:rPr>
          <w:lang w:val="en-US"/>
        </w:rPr>
        <w:fldChar w:fldCharType="end"/>
      </w:r>
      <w:r>
        <w:rPr>
          <w:lang w:val="en-US"/>
        </w:rPr>
        <w:t xml:space="preserve"> and </w:t>
      </w:r>
      <w:r>
        <w:rPr>
          <w:noProof/>
          <w:lang w:val="en-US"/>
        </w:rPr>
        <w:t>The Business Research Company</w:t>
      </w:r>
      <w:r>
        <w:rPr>
          <w:lang w:val="en-US"/>
        </w:rPr>
        <w:fldChar w:fldCharType="begin"/>
      </w:r>
      <w:r>
        <w:rPr>
          <w:lang w:val="en-US"/>
        </w:rPr>
        <w:instrText xml:space="preserve"> ADDIN EN.CITE &lt;EndNote&gt;&lt;Cite&gt;&lt;Author&gt;The Business Research Company&lt;/Author&gt;&lt;Year&gt;2020&lt;/Year&gt;&lt;RecNum&gt;901&lt;/RecNum&gt;&lt;DisplayText&gt;&lt;style face="superscript"&gt;52&lt;/style&gt;&lt;/DisplayText&gt;&lt;record&gt;&lt;rec-number&gt;901&lt;/rec-number&gt;&lt;foreign-keys&gt;&lt;key app="EN" db-id="tf290pefax0av3epa2f5stfrt00zvzxs25f2" timestamp="1635515540"&gt;901&lt;/key&gt;&lt;/foreign-keys&gt;&lt;ref-type name="Web Page"&gt;12&lt;/ref-type&gt;&lt;contributors&gt;&lt;authors&gt;&lt;author&gt;The Business Research Company,&lt;/author&gt;&lt;/authors&gt;&lt;/contributors&gt;&lt;titles&gt;&lt;title&gt;Shipboard Cables Global Market Report 2020&lt;/title&gt;&lt;/titles&gt;&lt;number&gt;29/10/2021&lt;/number&gt;&lt;dates&gt;&lt;year&gt;2020&lt;/year&gt;&lt;/dates&gt;&lt;urls&gt;&lt;related-urls&gt;&lt;url&gt;https://www.thebusinessresearchcompany.com/report/shipboard-cables-global-market-report-2020-30-covid-19-impact-and-recovery&lt;/url&gt;&lt;/related-urls&gt;&lt;/urls&gt;&lt;/record&gt;&lt;/Cite&gt;&lt;/EndNote&gt;</w:instrText>
      </w:r>
      <w:r>
        <w:rPr>
          <w:lang w:val="en-US"/>
        </w:rPr>
        <w:fldChar w:fldCharType="separate"/>
      </w:r>
      <w:r w:rsidRPr="007607DA">
        <w:rPr>
          <w:noProof/>
          <w:vertAlign w:val="superscript"/>
          <w:lang w:val="en-US"/>
        </w:rPr>
        <w:t>52</w:t>
      </w:r>
      <w:r>
        <w:rPr>
          <w:lang w:val="en-US"/>
        </w:rPr>
        <w:fldChar w:fldCharType="end"/>
      </w:r>
      <w:r>
        <w:rPr>
          <w:lang w:val="en-US"/>
        </w:rPr>
        <w:t xml:space="preserve"> state the global market values of wiring used in vehicles, aircraft and ships, respectively. Considering these market values, 78% of the wiring that is covered by the HS code is used in vehicles. According to IEA</w:t>
      </w:r>
      <w:r>
        <w:rPr>
          <w:lang w:val="en-US"/>
        </w:rPr>
        <w:fldChar w:fldCharType="begin"/>
      </w:r>
      <w:r>
        <w:rPr>
          <w:lang w:val="en-US"/>
        </w:rPr>
        <w:instrText xml:space="preserve"> ADDIN EN.CITE &lt;EndNote&gt;&lt;Cite&gt;&lt;Author&gt;IEA&lt;/Author&gt;&lt;Year&gt;2020&lt;/Year&gt;&lt;RecNum&gt;697&lt;/RecNum&gt;&lt;DisplayText&gt;&lt;style face="superscript"&gt;48&lt;/style&gt;&lt;/DisplayText&gt;&lt;record&gt;&lt;rec-number&gt;697&lt;/rec-number&gt;&lt;foreign-keys&gt;&lt;key app="EN" db-id="tf290pefax0av3epa2f5stfrt00zvzxs25f2" timestamp="1607508727"&gt;697&lt;/key&gt;&lt;/foreign-keys&gt;&lt;ref-type name="Report"&gt;27&lt;/ref-type&gt;&lt;contributors&gt;&lt;authors&gt;&lt;author&gt;IEA&lt;/author&gt;&lt;/authors&gt;&lt;secondary-authors&gt;&lt;author&gt;International Energy Agency&lt;/author&gt;&lt;/secondary-authors&gt;&lt;/contributors&gt;&lt;titles&gt;&lt;title&gt;Global EV Outlook 2020&lt;/title&gt;&lt;/titles&gt;&lt;dates&gt;&lt;year&gt;2020&lt;/year&gt;&lt;/dates&gt;&lt;pub-location&gt;Paris&lt;/pub-location&gt;&lt;urls&gt;&lt;related-urls&gt;&lt;url&gt;https://www.iea.org/reports/global-ev-outlook-2020&lt;/url&gt;&lt;/related-urls&gt;&lt;/urls&gt;&lt;/record&gt;&lt;/Cite&gt;&lt;/EndNote&gt;</w:instrText>
      </w:r>
      <w:r>
        <w:rPr>
          <w:lang w:val="en-US"/>
        </w:rPr>
        <w:fldChar w:fldCharType="separate"/>
      </w:r>
      <w:r w:rsidRPr="007607DA">
        <w:rPr>
          <w:noProof/>
          <w:vertAlign w:val="superscript"/>
          <w:lang w:val="en-US"/>
        </w:rPr>
        <w:t>48</w:t>
      </w:r>
      <w:r>
        <w:rPr>
          <w:lang w:val="en-US"/>
        </w:rPr>
        <w:fldChar w:fldCharType="end"/>
      </w:r>
      <w:r>
        <w:rPr>
          <w:lang w:val="en-US"/>
        </w:rPr>
        <w:t>, EVs account for 2.6% of the global car sales. Hence, 2.6% of this wiring is used in EVs.</w:t>
      </w:r>
    </w:p>
    <w:p w:rsidR="00A00CD0" w:rsidRPr="00DE3AD1" w:rsidRDefault="00A00CD0" w:rsidP="00A00CD0">
      <w:pPr>
        <w:spacing w:line="480" w:lineRule="auto"/>
        <w:ind w:left="360" w:hanging="360"/>
        <w:jc w:val="both"/>
        <w:rPr>
          <w:b/>
          <w:lang w:val="en-US"/>
        </w:rPr>
      </w:pPr>
      <w:r w:rsidRPr="00DE3AD1">
        <w:rPr>
          <w:b/>
          <w:lang w:val="en-US"/>
        </w:rPr>
        <w:t>Aluminium foil covered by the HS code 760719:</w:t>
      </w:r>
    </w:p>
    <w:p w:rsidR="00A00CD0" w:rsidRDefault="00A00CD0" w:rsidP="00A00CD0">
      <w:pPr>
        <w:spacing w:line="480" w:lineRule="auto"/>
        <w:jc w:val="both"/>
        <w:rPr>
          <w:lang w:val="en-US"/>
        </w:rPr>
      </w:pPr>
      <w:r>
        <w:rPr>
          <w:lang w:val="en-US"/>
        </w:rPr>
        <w:t xml:space="preserve">The considered HS code covers Al foil that is used in EVs but also in other applications. According to the </w:t>
      </w:r>
      <w:r>
        <w:rPr>
          <w:noProof/>
          <w:lang w:val="en-US"/>
        </w:rPr>
        <w:t>U.S. Department of Energy</w:t>
      </w:r>
      <w:r w:rsidRPr="005B712F">
        <w:rPr>
          <w:lang w:val="en-US"/>
        </w:rPr>
        <w:fldChar w:fldCharType="begin"/>
      </w:r>
      <w:r>
        <w:rPr>
          <w:lang w:val="en-US"/>
        </w:rPr>
        <w:instrText xml:space="preserve"> ADDIN EN.CITE &lt;EndNote&gt;&lt;Cite&gt;&lt;Author&gt;U.S. Department of Energy&lt;/Author&gt;&lt;Year&gt;2020&lt;/Year&gt;&lt;RecNum&gt;799&lt;/RecNum&gt;&lt;DisplayText&gt;&lt;style face="superscript"&gt;38&lt;/style&gt;&lt;/DisplayText&gt;&lt;record&gt;&lt;rec-number&gt;799&lt;/rec-number&gt;&lt;foreign-keys&gt;&lt;key app="EN" db-id="tf290pefax0av3epa2f5stfrt00zvzxs25f2" timestamp="1629895883"&gt;799&lt;/key&gt;&lt;/foreign-keys&gt;&lt;ref-type name="Report"&gt;27&lt;/ref-type&gt;&lt;contributors&gt;&lt;authors&gt;&lt;author&gt;U.S. Department of Energy,&lt;/author&gt;&lt;/authors&gt;&lt;/contributors&gt;&lt;titles&gt;&lt;title&gt;Energy Storage Grand Challenge: Energy Storage Market Report&lt;/title&gt;&lt;/titles&gt;&lt;dates&gt;&lt;year&gt;2020&lt;/year&gt;&lt;/dates&gt;&lt;urls&gt;&lt;/urls&gt;&lt;/record&gt;&lt;/Cite&gt;&lt;/EndNote&gt;</w:instrText>
      </w:r>
      <w:r w:rsidRPr="005B712F">
        <w:rPr>
          <w:lang w:val="en-US"/>
        </w:rPr>
        <w:fldChar w:fldCharType="separate"/>
      </w:r>
      <w:r w:rsidRPr="00C2005C">
        <w:rPr>
          <w:noProof/>
          <w:vertAlign w:val="superscript"/>
          <w:lang w:val="en-US"/>
        </w:rPr>
        <w:t>38</w:t>
      </w:r>
      <w:r w:rsidRPr="005B712F">
        <w:rPr>
          <w:lang w:val="en-US"/>
        </w:rPr>
        <w:fldChar w:fldCharType="end"/>
      </w:r>
      <w:r w:rsidRPr="005B712F">
        <w:rPr>
          <w:lang w:val="en-US"/>
        </w:rPr>
        <w:t xml:space="preserve"> and </w:t>
      </w:r>
      <w:r>
        <w:rPr>
          <w:lang w:val="en-US"/>
        </w:rPr>
        <w:t>Tsiropoulos et al.</w:t>
      </w:r>
      <w:r w:rsidRPr="005B712F">
        <w:rPr>
          <w:lang w:val="en-US"/>
        </w:rPr>
        <w:fldChar w:fldCharType="begin"/>
      </w:r>
      <w:r>
        <w:rPr>
          <w:lang w:val="en-US"/>
        </w:rPr>
        <w:instrText xml:space="preserve"> ADDIN EN.CITE &lt;EndNote&gt;&lt;Cite&gt;&lt;Author&gt;Tsiropoulos&lt;/Author&gt;&lt;Year&gt;2018&lt;/Year&gt;&lt;RecNum&gt;657&lt;/RecNum&gt;&lt;DisplayText&gt;&lt;style face="superscript"&gt;39&lt;/style&gt;&lt;/DisplayText&gt;&lt;record&gt;&lt;rec-number&gt;657&lt;/rec-number&gt;&lt;foreign-keys&gt;&lt;key app="EN" db-id="tf290pefax0av3epa2f5stfrt00zvzxs25f2" timestamp="1602363095"&gt;657&lt;/key&gt;&lt;/foreign-keys&gt;&lt;ref-type name="Report"&gt;27&lt;/ref-type&gt;&lt;contributors&gt;&lt;authors&gt;&lt;author&gt;Tsiropoulos, I.&lt;/author&gt;&lt;author&gt;Tarvydas, D. &lt;/author&gt;&lt;author&gt;Lebedeva, N.&lt;/author&gt;&lt;/authors&gt;&lt;secondary-authors&gt;&lt;author&gt;Joint Research Centre&lt;/author&gt;&lt;/secondary-authors&gt;&lt;/contributors&gt;&lt;titles&gt;&lt;title&gt;Li-ion batteries for mobility and stationary storage applications - Scenarios for costs and market growth&lt;/title&gt;&lt;/titles&gt;&lt;dates&gt;&lt;year&gt;2018&lt;/year&gt;&lt;/dates&gt;&lt;urls&gt;&lt;/urls&gt;&lt;/record&gt;&lt;/Cite&gt;&lt;/EndNote&gt;</w:instrText>
      </w:r>
      <w:r w:rsidRPr="005B712F">
        <w:rPr>
          <w:lang w:val="en-US"/>
        </w:rPr>
        <w:fldChar w:fldCharType="separate"/>
      </w:r>
      <w:r w:rsidRPr="00C2005C">
        <w:rPr>
          <w:noProof/>
          <w:vertAlign w:val="superscript"/>
          <w:lang w:val="en-US"/>
        </w:rPr>
        <w:t>39</w:t>
      </w:r>
      <w:r w:rsidRPr="005B712F">
        <w:rPr>
          <w:lang w:val="en-US"/>
        </w:rPr>
        <w:fldChar w:fldCharType="end"/>
      </w:r>
      <w:r>
        <w:rPr>
          <w:lang w:val="en-US"/>
        </w:rPr>
        <w:t xml:space="preserve">, 60% of all batteries, in which the Al foil is used, are LIBs that are applied in the electro mobility sector. Based on the Al foil market shares stated by </w:t>
      </w:r>
      <w:r>
        <w:rPr>
          <w:noProof/>
          <w:lang w:val="en-US"/>
        </w:rPr>
        <w:t>Grand View Research</w:t>
      </w:r>
      <w:r>
        <w:rPr>
          <w:lang w:val="en-US"/>
        </w:rPr>
        <w:fldChar w:fldCharType="begin"/>
      </w:r>
      <w:r>
        <w:rPr>
          <w:lang w:val="en-US"/>
        </w:rPr>
        <w:instrText xml:space="preserve"> ADDIN EN.CITE &lt;EndNote&gt;&lt;Cite&gt;&lt;Author&gt;Grand View Research&lt;/Author&gt;&lt;Year&gt;2021&lt;/Year&gt;&lt;RecNum&gt;919&lt;/RecNum&gt;&lt;DisplayText&gt;&lt;style face="superscript"&gt;53&lt;/style&gt;&lt;/DisplayText&gt;&lt;record&gt;&lt;rec-number&gt;919&lt;/rec-number&gt;&lt;foreign-keys&gt;&lt;key app="EN" db-id="tf290pefax0av3epa2f5stfrt00zvzxs25f2" timestamp="1636987801"&gt;919&lt;/key&gt;&lt;/foreign-keys&gt;&lt;ref-type name="Web Page"&gt;12&lt;/ref-type&gt;&lt;contributors&gt;&lt;authors&gt;&lt;author&gt;Grand View Research,&lt;/author&gt;&lt;/authors&gt;&lt;/contributors&gt;&lt;titles&gt;&lt;title&gt;Aluminum Foil Market Size, Share &amp;amp; Trends Analysis Report By End-use, By Application, By Region, And Segment Forecasts, 2021 - 2028&lt;/title&gt;&lt;/titles&gt;&lt;number&gt;15/11/2021&lt;/number&gt;&lt;dates&gt;&lt;year&gt;2021&lt;/year&gt;&lt;/dates&gt;&lt;urls&gt;&lt;related-urls&gt;&lt;url&gt;https://www.grandviewresearch.com/industry-analysis/aluminum-foil-market&lt;/url&gt;&lt;/related-urls&gt;&lt;/urls&gt;&lt;/record&gt;&lt;/Cite&gt;&lt;/EndNote&gt;</w:instrText>
      </w:r>
      <w:r>
        <w:rPr>
          <w:lang w:val="en-US"/>
        </w:rPr>
        <w:fldChar w:fldCharType="separate"/>
      </w:r>
      <w:r w:rsidRPr="007607DA">
        <w:rPr>
          <w:noProof/>
          <w:vertAlign w:val="superscript"/>
          <w:lang w:val="en-US"/>
        </w:rPr>
        <w:t>53</w:t>
      </w:r>
      <w:r>
        <w:rPr>
          <w:lang w:val="en-US"/>
        </w:rPr>
        <w:fldChar w:fldCharType="end"/>
      </w:r>
      <w:r>
        <w:rPr>
          <w:lang w:val="en-US"/>
        </w:rPr>
        <w:t>, it is assumed that 6% of the globally supplied Al foil is used in EVs.</w:t>
      </w:r>
    </w:p>
    <w:p w:rsidR="00A00CD0" w:rsidRPr="00DE3AD1" w:rsidRDefault="00A00CD0" w:rsidP="00A00CD0">
      <w:pPr>
        <w:spacing w:line="480" w:lineRule="auto"/>
        <w:ind w:left="360" w:hanging="360"/>
        <w:jc w:val="both"/>
        <w:rPr>
          <w:b/>
          <w:lang w:val="en-US"/>
        </w:rPr>
      </w:pPr>
      <w:r w:rsidRPr="00DE3AD1">
        <w:rPr>
          <w:b/>
          <w:lang w:val="en-US"/>
        </w:rPr>
        <w:t xml:space="preserve">Aluminium </w:t>
      </w:r>
      <w:r>
        <w:rPr>
          <w:b/>
          <w:lang w:val="en-US"/>
        </w:rPr>
        <w:t>plate</w:t>
      </w:r>
      <w:r w:rsidRPr="00DE3AD1">
        <w:rPr>
          <w:b/>
          <w:lang w:val="en-US"/>
        </w:rPr>
        <w:t xml:space="preserve"> covered by the HS code </w:t>
      </w:r>
      <w:r>
        <w:rPr>
          <w:b/>
          <w:lang w:val="en-US"/>
        </w:rPr>
        <w:t>760612 and</w:t>
      </w:r>
      <w:r w:rsidRPr="00DF33B7">
        <w:rPr>
          <w:b/>
          <w:lang w:val="en-US"/>
        </w:rPr>
        <w:t xml:space="preserve"> 760692:</w:t>
      </w:r>
    </w:p>
    <w:p w:rsidR="00A00CD0" w:rsidRDefault="00A00CD0" w:rsidP="00A00CD0">
      <w:pPr>
        <w:spacing w:line="480" w:lineRule="auto"/>
        <w:jc w:val="both"/>
        <w:rPr>
          <w:lang w:val="en-US"/>
        </w:rPr>
      </w:pPr>
      <w:r>
        <w:rPr>
          <w:lang w:val="en-US"/>
        </w:rPr>
        <w:lastRenderedPageBreak/>
        <w:t xml:space="preserve">The considered HS codes cover Al plates that are used in EVs but also in other applications. Based on information provided by </w:t>
      </w:r>
      <w:r>
        <w:rPr>
          <w:noProof/>
          <w:lang w:val="en-US"/>
        </w:rPr>
        <w:t>Khoday</w:t>
      </w:r>
      <w:r>
        <w:rPr>
          <w:lang w:val="en-US"/>
        </w:rPr>
        <w:fldChar w:fldCharType="begin"/>
      </w:r>
      <w:r>
        <w:rPr>
          <w:lang w:val="en-US"/>
        </w:rPr>
        <w:instrText xml:space="preserve"> ADDIN EN.CITE &lt;EndNote&gt;&lt;Cite&gt;&lt;Author&gt;Khoday&lt;/Author&gt;&lt;Year&gt;2019&lt;/Year&gt;&lt;RecNum&gt;904&lt;/RecNum&gt;&lt;DisplayText&gt;&lt;style face="superscript"&gt;54&lt;/style&gt;&lt;/DisplayText&gt;&lt;record&gt;&lt;rec-number&gt;904&lt;/rec-number&gt;&lt;foreign-keys&gt;&lt;key app="EN" db-id="tf290pefax0av3epa2f5stfrt00zvzxs25f2" timestamp="1636543563"&gt;904&lt;/key&gt;&lt;/foreign-keys&gt;&lt;ref-type name="Web Page"&gt;12&lt;/ref-type&gt;&lt;contributors&gt;&lt;authors&gt;&lt;author&gt;Khoday, Tejas&lt;/author&gt;&lt;/authors&gt;&lt;secondary-authors&gt;&lt;author&gt;School of Stocks,&lt;/author&gt;&lt;/secondary-authors&gt;&lt;/contributors&gt;&lt;titles&gt;&lt;title&gt;Aluminium - Base Metals&lt;/title&gt;&lt;/titles&gt;&lt;number&gt;10/11/2021&lt;/number&gt;&lt;dates&gt;&lt;year&gt;2019&lt;/year&gt;&lt;/dates&gt;&lt;urls&gt;&lt;related-urls&gt;&lt;url&gt;https://fyers.in/school-of-stocks/chapter/commodities/aluminium.html&lt;/url&gt;&lt;/related-urls&gt;&lt;/urls&gt;&lt;/record&gt;&lt;/Cite&gt;&lt;/EndNote&gt;</w:instrText>
      </w:r>
      <w:r>
        <w:rPr>
          <w:lang w:val="en-US"/>
        </w:rPr>
        <w:fldChar w:fldCharType="separate"/>
      </w:r>
      <w:r w:rsidRPr="007607DA">
        <w:rPr>
          <w:noProof/>
          <w:vertAlign w:val="superscript"/>
          <w:lang w:val="en-US"/>
        </w:rPr>
        <w:t>54</w:t>
      </w:r>
      <w:r>
        <w:rPr>
          <w:lang w:val="en-US"/>
        </w:rPr>
        <w:fldChar w:fldCharType="end"/>
      </w:r>
      <w:r>
        <w:rPr>
          <w:lang w:val="en-US"/>
        </w:rPr>
        <w:t xml:space="preserve">, </w:t>
      </w:r>
      <w:r>
        <w:rPr>
          <w:noProof/>
          <w:lang w:val="en-US"/>
        </w:rPr>
        <w:t>OECD</w:t>
      </w:r>
      <w:r>
        <w:rPr>
          <w:lang w:val="en-US"/>
        </w:rPr>
        <w:fldChar w:fldCharType="begin"/>
      </w:r>
      <w:r>
        <w:rPr>
          <w:lang w:val="en-US"/>
        </w:rPr>
        <w:instrText xml:space="preserve"> ADDIN EN.CITE &lt;EndNote&gt;&lt;Cite&gt;&lt;Author&gt;OECD&lt;/Author&gt;&lt;Year&gt;2010&lt;/Year&gt;&lt;RecNum&gt;905&lt;/RecNum&gt;&lt;DisplayText&gt;&lt;style face="superscript"&gt;55&lt;/style&gt;&lt;/DisplayText&gt;&lt;record&gt;&lt;rec-number&gt;905&lt;/rec-number&gt;&lt;foreign-keys&gt;&lt;key app="EN" db-id="tf290pefax0av3epa2f5stfrt00zvzxs25f2" timestamp="1636543994"&gt;905&lt;/key&gt;&lt;/foreign-keys&gt;&lt;ref-type name="Report"&gt;27&lt;/ref-type&gt;&lt;contributors&gt;&lt;authors&gt;&lt;author&gt;OECD,&lt;/author&gt;&lt;/authors&gt;&lt;secondary-authors&gt;&lt;author&gt;OECD Environment Directorate,&lt;/author&gt;&lt;/secondary-authors&gt;&lt;/contributors&gt;&lt;titles&gt;&lt;title&gt;Materials Case Study 2: Aluminium&lt;/title&gt;&lt;/titles&gt;&lt;dates&gt;&lt;year&gt;2010&lt;/year&gt;&lt;/dates&gt;&lt;pub-location&gt;Belgium&lt;/pub-location&gt;&lt;urls&gt;&lt;related-urls&gt;&lt;url&gt;https://www.oecd.org/environment/waste/46194971.pdf&lt;/url&gt;&lt;/related-urls&gt;&lt;/urls&gt;&lt;/record&gt;&lt;/Cite&gt;&lt;/EndNote&gt;</w:instrText>
      </w:r>
      <w:r>
        <w:rPr>
          <w:lang w:val="en-US"/>
        </w:rPr>
        <w:fldChar w:fldCharType="separate"/>
      </w:r>
      <w:r w:rsidRPr="007607DA">
        <w:rPr>
          <w:noProof/>
          <w:vertAlign w:val="superscript"/>
          <w:lang w:val="en-US"/>
        </w:rPr>
        <w:t>55</w:t>
      </w:r>
      <w:r>
        <w:rPr>
          <w:lang w:val="en-US"/>
        </w:rPr>
        <w:fldChar w:fldCharType="end"/>
      </w:r>
      <w:r>
        <w:rPr>
          <w:lang w:val="en-US"/>
        </w:rPr>
        <w:t xml:space="preserve"> and </w:t>
      </w:r>
      <w:r>
        <w:rPr>
          <w:noProof/>
          <w:lang w:val="en-US"/>
        </w:rPr>
        <w:t>Reports and Data</w:t>
      </w:r>
      <w:r>
        <w:rPr>
          <w:lang w:val="en-US"/>
        </w:rPr>
        <w:fldChar w:fldCharType="begin"/>
      </w:r>
      <w:r>
        <w:rPr>
          <w:lang w:val="en-US"/>
        </w:rPr>
        <w:instrText xml:space="preserve"> ADDIN EN.CITE &lt;EndNote&gt;&lt;Cite&gt;&lt;Author&gt;Reports and Data&lt;/Author&gt;&lt;Year&gt;2020&lt;/Year&gt;&lt;RecNum&gt;906&lt;/RecNum&gt;&lt;DisplayText&gt;&lt;style face="superscript"&gt;56&lt;/style&gt;&lt;/DisplayText&gt;&lt;record&gt;&lt;rec-number&gt;906&lt;/rec-number&gt;&lt;foreign-keys&gt;&lt;key app="EN" db-id="tf290pefax0av3epa2f5stfrt00zvzxs25f2" timestamp="1636544165"&gt;906&lt;/key&gt;&lt;/foreign-keys&gt;&lt;ref-type name="Web Page"&gt;12&lt;/ref-type&gt;&lt;contributors&gt;&lt;authors&gt;&lt;author&gt;Reports and Data,&lt;/author&gt;&lt;/authors&gt;&lt;/contributors&gt;&lt;titles&gt;&lt;title&gt;Aluminum Alloys Market Size, Share And Industry Analysis By End-Use&lt;/title&gt;&lt;/titles&gt;&lt;number&gt;10/11/2021&lt;/number&gt;&lt;dates&gt;&lt;year&gt;2020&lt;/year&gt;&lt;/dates&gt;&lt;urls&gt;&lt;related-urls&gt;&lt;url&gt;https://www.reportsanddata.com/report-detail/aluminum-alloys-market&lt;/url&gt;&lt;/related-urls&gt;&lt;/urls&gt;&lt;/record&gt;&lt;/Cite&gt;&lt;/EndNote&gt;</w:instrText>
      </w:r>
      <w:r>
        <w:rPr>
          <w:lang w:val="en-US"/>
        </w:rPr>
        <w:fldChar w:fldCharType="separate"/>
      </w:r>
      <w:r w:rsidRPr="007607DA">
        <w:rPr>
          <w:noProof/>
          <w:vertAlign w:val="superscript"/>
          <w:lang w:val="en-US"/>
        </w:rPr>
        <w:t>56</w:t>
      </w:r>
      <w:r>
        <w:rPr>
          <w:lang w:val="en-US"/>
        </w:rPr>
        <w:fldChar w:fldCharType="end"/>
      </w:r>
      <w:r>
        <w:rPr>
          <w:lang w:val="en-US"/>
        </w:rPr>
        <w:t xml:space="preserve">, it is estimated that 18% of globally supplied Al plates are used for cars. According to </w:t>
      </w:r>
      <w:r>
        <w:rPr>
          <w:noProof/>
          <w:lang w:val="en-US"/>
        </w:rPr>
        <w:t>IEA</w:t>
      </w:r>
      <w:r>
        <w:rPr>
          <w:lang w:val="en-US"/>
        </w:rPr>
        <w:fldChar w:fldCharType="begin"/>
      </w:r>
      <w:r>
        <w:rPr>
          <w:lang w:val="en-US"/>
        </w:rPr>
        <w:instrText xml:space="preserve"> ADDIN EN.CITE &lt;EndNote&gt;&lt;Cite&gt;&lt;Author&gt;IEA&lt;/Author&gt;&lt;Year&gt;2020&lt;/Year&gt;&lt;RecNum&gt;697&lt;/RecNum&gt;&lt;DisplayText&gt;&lt;style face="superscript"&gt;48&lt;/style&gt;&lt;/DisplayText&gt;&lt;record&gt;&lt;rec-number&gt;697&lt;/rec-number&gt;&lt;foreign-keys&gt;&lt;key app="EN" db-id="tf290pefax0av3epa2f5stfrt00zvzxs25f2" timestamp="1607508727"&gt;697&lt;/key&gt;&lt;/foreign-keys&gt;&lt;ref-type name="Report"&gt;27&lt;/ref-type&gt;&lt;contributors&gt;&lt;authors&gt;&lt;author&gt;IEA&lt;/author&gt;&lt;/authors&gt;&lt;secondary-authors&gt;&lt;author&gt;International Energy Agency&lt;/author&gt;&lt;/secondary-authors&gt;&lt;/contributors&gt;&lt;titles&gt;&lt;title&gt;Global EV Outlook 2020&lt;/title&gt;&lt;/titles&gt;&lt;dates&gt;&lt;year&gt;2020&lt;/year&gt;&lt;/dates&gt;&lt;pub-location&gt;Paris&lt;/pub-location&gt;&lt;urls&gt;&lt;related-urls&gt;&lt;url&gt;https://www.iea.org/reports/global-ev-outlook-2020&lt;/url&gt;&lt;/related-urls&gt;&lt;/urls&gt;&lt;/record&gt;&lt;/Cite&gt;&lt;/EndNote&gt;</w:instrText>
      </w:r>
      <w:r>
        <w:rPr>
          <w:lang w:val="en-US"/>
        </w:rPr>
        <w:fldChar w:fldCharType="separate"/>
      </w:r>
      <w:r w:rsidRPr="007607DA">
        <w:rPr>
          <w:noProof/>
          <w:vertAlign w:val="superscript"/>
          <w:lang w:val="en-US"/>
        </w:rPr>
        <w:t>48</w:t>
      </w:r>
      <w:r>
        <w:rPr>
          <w:lang w:val="en-US"/>
        </w:rPr>
        <w:fldChar w:fldCharType="end"/>
      </w:r>
      <w:r>
        <w:rPr>
          <w:lang w:val="en-US"/>
        </w:rPr>
        <w:t xml:space="preserve">, EVs account for 2.6% of the global car sales. Hence, 2.6% of these Al plates are used in EVs. </w:t>
      </w:r>
    </w:p>
    <w:p w:rsidR="00A00CD0" w:rsidRPr="00DE3AD1" w:rsidRDefault="00A00CD0" w:rsidP="00A00CD0">
      <w:pPr>
        <w:spacing w:line="480" w:lineRule="auto"/>
        <w:ind w:left="360" w:hanging="360"/>
        <w:jc w:val="both"/>
        <w:rPr>
          <w:b/>
          <w:lang w:val="en-US"/>
        </w:rPr>
      </w:pPr>
      <w:r w:rsidRPr="00DE3AD1">
        <w:rPr>
          <w:b/>
          <w:lang w:val="en-US"/>
        </w:rPr>
        <w:t xml:space="preserve">Aluminium </w:t>
      </w:r>
      <w:r>
        <w:rPr>
          <w:b/>
          <w:lang w:val="en-US"/>
        </w:rPr>
        <w:t>wire</w:t>
      </w:r>
      <w:r w:rsidRPr="00DE3AD1">
        <w:rPr>
          <w:b/>
          <w:lang w:val="en-US"/>
        </w:rPr>
        <w:t xml:space="preserve"> covered by the HS code </w:t>
      </w:r>
      <w:r>
        <w:rPr>
          <w:b/>
          <w:lang w:val="en-US"/>
        </w:rPr>
        <w:t>760521and</w:t>
      </w:r>
      <w:r w:rsidRPr="00DF33B7">
        <w:rPr>
          <w:b/>
          <w:lang w:val="en-US"/>
        </w:rPr>
        <w:t xml:space="preserve"> 760</w:t>
      </w:r>
      <w:r>
        <w:rPr>
          <w:b/>
          <w:lang w:val="en-US"/>
        </w:rPr>
        <w:t>529</w:t>
      </w:r>
      <w:r w:rsidRPr="00DF33B7">
        <w:rPr>
          <w:b/>
          <w:lang w:val="en-US"/>
        </w:rPr>
        <w:t>:</w:t>
      </w:r>
    </w:p>
    <w:p w:rsidR="00A00CD0" w:rsidRDefault="00A00CD0" w:rsidP="00A00CD0">
      <w:pPr>
        <w:spacing w:line="480" w:lineRule="auto"/>
        <w:jc w:val="both"/>
        <w:rPr>
          <w:lang w:val="en-US"/>
        </w:rPr>
      </w:pPr>
      <w:r>
        <w:rPr>
          <w:lang w:val="en-US"/>
        </w:rPr>
        <w:t xml:space="preserve">The considered HS codes cover Al wires that are used in EVs but also in other applications. Based on information provided by </w:t>
      </w:r>
      <w:r>
        <w:rPr>
          <w:noProof/>
          <w:lang w:val="en-US"/>
        </w:rPr>
        <w:t>Reports and Data</w:t>
      </w:r>
      <w:r>
        <w:rPr>
          <w:noProof/>
          <w:lang w:val="en-US"/>
        </w:rPr>
        <w:fldChar w:fldCharType="begin"/>
      </w:r>
      <w:r>
        <w:rPr>
          <w:noProof/>
          <w:lang w:val="en-US"/>
        </w:rPr>
        <w:instrText xml:space="preserve"> ADDIN EN.CITE &lt;EndNote&gt;&lt;Cite&gt;&lt;Author&gt;Reports and Data&lt;/Author&gt;&lt;Year&gt;2020&lt;/Year&gt;&lt;RecNum&gt;898&lt;/RecNum&gt;&lt;DisplayText&gt;&lt;style face="superscript"&gt;57&lt;/style&gt;&lt;/DisplayText&gt;&lt;record&gt;&lt;rec-number&gt;898&lt;/rec-number&gt;&lt;foreign-keys&gt;&lt;key app="EN" db-id="tf290pefax0av3epa2f5stfrt00zvzxs25f2" timestamp="1635502415"&gt;898&lt;/key&gt;&lt;/foreign-keys&gt;&lt;ref-type name="Web Page"&gt;12&lt;/ref-type&gt;&lt;contributors&gt;&lt;authors&gt;&lt;author&gt;Reports and Data,&lt;/author&gt;&lt;/authors&gt;&lt;/contributors&gt;&lt;titles&gt;&lt;title&gt;Aluminium Wire Market&lt;/title&gt;&lt;/titles&gt;&lt;number&gt;29/10/2021&lt;/number&gt;&lt;dates&gt;&lt;year&gt;2020&lt;/year&gt;&lt;/dates&gt;&lt;urls&gt;&lt;related-urls&gt;&lt;url&gt;https://www.reportsanddata.com/report-detail/aluminum-wire-market&lt;/url&gt;&lt;/related-urls&gt;&lt;/urls&gt;&lt;/record&gt;&lt;/Cite&gt;&lt;/EndNote&gt;</w:instrText>
      </w:r>
      <w:r>
        <w:rPr>
          <w:noProof/>
          <w:lang w:val="en-US"/>
        </w:rPr>
        <w:fldChar w:fldCharType="separate"/>
      </w:r>
      <w:r w:rsidRPr="007607DA">
        <w:rPr>
          <w:noProof/>
          <w:vertAlign w:val="superscript"/>
          <w:lang w:val="en-US"/>
        </w:rPr>
        <w:t>57</w:t>
      </w:r>
      <w:r>
        <w:rPr>
          <w:noProof/>
          <w:lang w:val="en-US"/>
        </w:rPr>
        <w:fldChar w:fldCharType="end"/>
      </w:r>
      <w:r>
        <w:rPr>
          <w:lang w:val="en-US"/>
        </w:rPr>
        <w:t xml:space="preserve"> and </w:t>
      </w:r>
      <w:r>
        <w:rPr>
          <w:noProof/>
          <w:lang w:val="en-US"/>
        </w:rPr>
        <w:t>Grand View Research</w:t>
      </w:r>
      <w:r>
        <w:rPr>
          <w:lang w:val="en-US"/>
        </w:rPr>
        <w:fldChar w:fldCharType="begin"/>
      </w:r>
      <w:r>
        <w:rPr>
          <w:lang w:val="en-US"/>
        </w:rPr>
        <w:instrText xml:space="preserve"> ADDIN EN.CITE &lt;EndNote&gt;&lt;Cite&gt;&lt;Author&gt;Grand View Research&lt;/Author&gt;&lt;Year&gt;2019&lt;/Year&gt;&lt;RecNum&gt;921&lt;/RecNum&gt;&lt;DisplayText&gt;&lt;style face="superscript"&gt;58&lt;/style&gt;&lt;/DisplayText&gt;&lt;record&gt;&lt;rec-number&gt;921&lt;/rec-number&gt;&lt;foreign-keys&gt;&lt;key app="EN" db-id="tf290pefax0av3epa2f5stfrt00zvzxs25f2" timestamp="1637056439"&gt;921&lt;/key&gt;&lt;/foreign-keys&gt;&lt;ref-type name="Web Page"&gt;12&lt;/ref-type&gt;&lt;contributors&gt;&lt;authors&gt;&lt;author&gt;Grand View Research,&lt;/author&gt;&lt;/authors&gt;&lt;/contributors&gt;&lt;titles&gt;&lt;title&gt;Magnet Wire Market Size, Share &amp;amp; Trends Analysis Report By Material, By Product, By End Use, By Region, And Segment Forecasts, 2019 - 2025&lt;/title&gt;&lt;/titles&gt;&lt;number&gt;16/11/2021&lt;/number&gt;&lt;dates&gt;&lt;year&gt;2019&lt;/year&gt;&lt;/dates&gt;&lt;urls&gt;&lt;related-urls&gt;&lt;url&gt;https://www.grandviewresearch.com/industry-analysis/magnet-wire-market&lt;/url&gt;&lt;/related-urls&gt;&lt;/urls&gt;&lt;/record&gt;&lt;/Cite&gt;&lt;/EndNote&gt;</w:instrText>
      </w:r>
      <w:r>
        <w:rPr>
          <w:lang w:val="en-US"/>
        </w:rPr>
        <w:fldChar w:fldCharType="separate"/>
      </w:r>
      <w:r w:rsidRPr="007607DA">
        <w:rPr>
          <w:noProof/>
          <w:vertAlign w:val="superscript"/>
          <w:lang w:val="en-US"/>
        </w:rPr>
        <w:t>58</w:t>
      </w:r>
      <w:r>
        <w:rPr>
          <w:lang w:val="en-US"/>
        </w:rPr>
        <w:fldChar w:fldCharType="end"/>
      </w:r>
      <w:r>
        <w:rPr>
          <w:lang w:val="en-US"/>
        </w:rPr>
        <w:t>, it is estimated that 15% of globally supplied Al wires are used in cars. According to IEA</w:t>
      </w:r>
      <w:r>
        <w:rPr>
          <w:lang w:val="en-US"/>
        </w:rPr>
        <w:fldChar w:fldCharType="begin"/>
      </w:r>
      <w:r>
        <w:rPr>
          <w:lang w:val="en-US"/>
        </w:rPr>
        <w:instrText xml:space="preserve"> ADDIN EN.CITE &lt;EndNote&gt;&lt;Cite&gt;&lt;Author&gt;IEA&lt;/Author&gt;&lt;Year&gt;2020&lt;/Year&gt;&lt;RecNum&gt;697&lt;/RecNum&gt;&lt;DisplayText&gt;&lt;style face="superscript"&gt;48&lt;/style&gt;&lt;/DisplayText&gt;&lt;record&gt;&lt;rec-number&gt;697&lt;/rec-number&gt;&lt;foreign-keys&gt;&lt;key app="EN" db-id="tf290pefax0av3epa2f5stfrt00zvzxs25f2" timestamp="1607508727"&gt;697&lt;/key&gt;&lt;/foreign-keys&gt;&lt;ref-type name="Report"&gt;27&lt;/ref-type&gt;&lt;contributors&gt;&lt;authors&gt;&lt;author&gt;IEA&lt;/author&gt;&lt;/authors&gt;&lt;secondary-authors&gt;&lt;author&gt;International Energy Agency&lt;/author&gt;&lt;/secondary-authors&gt;&lt;/contributors&gt;&lt;titles&gt;&lt;title&gt;Global EV Outlook 2020&lt;/title&gt;&lt;/titles&gt;&lt;dates&gt;&lt;year&gt;2020&lt;/year&gt;&lt;/dates&gt;&lt;pub-location&gt;Paris&lt;/pub-location&gt;&lt;urls&gt;&lt;related-urls&gt;&lt;url&gt;https://www.iea.org/reports/global-ev-outlook-2020&lt;/url&gt;&lt;/related-urls&gt;&lt;/urls&gt;&lt;/record&gt;&lt;/Cite&gt;&lt;/EndNote&gt;</w:instrText>
      </w:r>
      <w:r>
        <w:rPr>
          <w:lang w:val="en-US"/>
        </w:rPr>
        <w:fldChar w:fldCharType="separate"/>
      </w:r>
      <w:r w:rsidRPr="007607DA">
        <w:rPr>
          <w:noProof/>
          <w:vertAlign w:val="superscript"/>
          <w:lang w:val="en-US"/>
        </w:rPr>
        <w:t>48</w:t>
      </w:r>
      <w:r>
        <w:rPr>
          <w:lang w:val="en-US"/>
        </w:rPr>
        <w:fldChar w:fldCharType="end"/>
      </w:r>
      <w:r>
        <w:rPr>
          <w:lang w:val="en-US"/>
        </w:rPr>
        <w:t>, EVs account for 2.6% of the global car sales. Hence, 2.6% of these Al wires are used in EVs.</w:t>
      </w:r>
    </w:p>
    <w:p w:rsidR="00A00CD0" w:rsidRPr="00E8415B" w:rsidRDefault="00A00CD0" w:rsidP="00A00CD0">
      <w:pPr>
        <w:spacing w:line="480" w:lineRule="auto"/>
        <w:jc w:val="both"/>
        <w:rPr>
          <w:b/>
          <w:lang w:val="en-US"/>
        </w:rPr>
      </w:pPr>
      <w:r w:rsidRPr="00E8415B">
        <w:rPr>
          <w:b/>
          <w:lang w:val="en-US"/>
        </w:rPr>
        <w:t>Aluminium unwrought covered by the HS code</w:t>
      </w:r>
      <w:r>
        <w:rPr>
          <w:b/>
          <w:lang w:val="en-US"/>
        </w:rPr>
        <w:t>s</w:t>
      </w:r>
      <w:r w:rsidRPr="00E8415B">
        <w:rPr>
          <w:b/>
          <w:lang w:val="en-US"/>
        </w:rPr>
        <w:t xml:space="preserve"> 760110 and 760120: </w:t>
      </w:r>
    </w:p>
    <w:p w:rsidR="00A00CD0" w:rsidRDefault="00A00CD0" w:rsidP="00A00CD0">
      <w:pPr>
        <w:spacing w:line="480" w:lineRule="auto"/>
        <w:jc w:val="both"/>
        <w:rPr>
          <w:lang w:val="en-US"/>
        </w:rPr>
      </w:pPr>
      <w:r>
        <w:rPr>
          <w:lang w:val="en-US"/>
        </w:rPr>
        <w:t>The considered HS codes cover Al unwrought that is used in EVs but also in other applications. Based on information provided by Khoday</w:t>
      </w:r>
      <w:r>
        <w:rPr>
          <w:lang w:val="en-US"/>
        </w:rPr>
        <w:fldChar w:fldCharType="begin"/>
      </w:r>
      <w:r>
        <w:rPr>
          <w:lang w:val="en-US"/>
        </w:rPr>
        <w:instrText xml:space="preserve"> ADDIN EN.CITE &lt;EndNote&gt;&lt;Cite&gt;&lt;Author&gt;Khoday&lt;/Author&gt;&lt;Year&gt;2019&lt;/Year&gt;&lt;RecNum&gt;904&lt;/RecNum&gt;&lt;DisplayText&gt;&lt;style face="superscript"&gt;54&lt;/style&gt;&lt;/DisplayText&gt;&lt;record&gt;&lt;rec-number&gt;904&lt;/rec-number&gt;&lt;foreign-keys&gt;&lt;key app="EN" db-id="tf290pefax0av3epa2f5stfrt00zvzxs25f2" timestamp="1636543563"&gt;904&lt;/key&gt;&lt;/foreign-keys&gt;&lt;ref-type name="Web Page"&gt;12&lt;/ref-type&gt;&lt;contributors&gt;&lt;authors&gt;&lt;author&gt;Khoday, Tejas&lt;/author&gt;&lt;/authors&gt;&lt;secondary-authors&gt;&lt;author&gt;School of Stocks,&lt;/author&gt;&lt;/secondary-authors&gt;&lt;/contributors&gt;&lt;titles&gt;&lt;title&gt;Aluminium - Base Metals&lt;/title&gt;&lt;/titles&gt;&lt;number&gt;10/11/2021&lt;/number&gt;&lt;dates&gt;&lt;year&gt;2019&lt;/year&gt;&lt;/dates&gt;&lt;urls&gt;&lt;related-urls&gt;&lt;url&gt;https://fyers.in/school-of-stocks/chapter/commodities/aluminium.html&lt;/url&gt;&lt;/related-urls&gt;&lt;/urls&gt;&lt;/record&gt;&lt;/Cite&gt;&lt;/EndNote&gt;</w:instrText>
      </w:r>
      <w:r>
        <w:rPr>
          <w:lang w:val="en-US"/>
        </w:rPr>
        <w:fldChar w:fldCharType="separate"/>
      </w:r>
      <w:r w:rsidRPr="007607DA">
        <w:rPr>
          <w:noProof/>
          <w:vertAlign w:val="superscript"/>
          <w:lang w:val="en-US"/>
        </w:rPr>
        <w:t>54</w:t>
      </w:r>
      <w:r>
        <w:rPr>
          <w:lang w:val="en-US"/>
        </w:rPr>
        <w:fldChar w:fldCharType="end"/>
      </w:r>
      <w:r>
        <w:rPr>
          <w:lang w:val="en-US"/>
        </w:rPr>
        <w:t>, Sauvage</w:t>
      </w:r>
      <w:r>
        <w:rPr>
          <w:lang w:val="en-US"/>
        </w:rPr>
        <w:fldChar w:fldCharType="begin"/>
      </w:r>
      <w:r>
        <w:rPr>
          <w:lang w:val="en-US"/>
        </w:rPr>
        <w:instrText xml:space="preserve"> ADDIN EN.CITE &lt;EndNote&gt;&lt;Cite&gt;&lt;Author&gt;Sauvage&lt;/Author&gt;&lt;Year&gt;2019&lt;/Year&gt;&lt;RecNum&gt;924&lt;/RecNum&gt;&lt;DisplayText&gt;&lt;style face="superscript"&gt;59&lt;/style&gt;&lt;/DisplayText&gt;&lt;record&gt;&lt;rec-number&gt;924&lt;/rec-number&gt;&lt;foreign-keys&gt;&lt;key app="EN" db-id="tf290pefax0av3epa2f5stfrt00zvzxs25f2" timestamp="1637580571"&gt;924&lt;/key&gt;&lt;/foreign-keys&gt;&lt;ref-type name="Report"&gt;27&lt;/ref-type&gt;&lt;contributors&gt;&lt;authors&gt;&lt;author&gt;Sauvage, Jehan&lt;/author&gt;&lt;/authors&gt;&lt;secondary-authors&gt;&lt;author&gt;OECD,&lt;/author&gt;&lt;/secondary-authors&gt;&lt;/contributors&gt;&lt;titles&gt;&lt;title&gt;Measuring distortions in international markets - The aluminium value chain&lt;/title&gt;&lt;/titles&gt;&lt;dates&gt;&lt;year&gt;2019&lt;/year&gt;&lt;/dates&gt;&lt;urls&gt;&lt;related-urls&gt;&lt;url&gt;https://www.oecd.org/officialdocuments/publicdisplaydocumentpdf/?cote=TAD/TC(2018)5/FINAL&amp;amp;docLanguage=En&lt;/url&gt;&lt;/related-urls&gt;&lt;/urls&gt;&lt;/record&gt;&lt;/Cite&gt;&lt;/EndNote&gt;</w:instrText>
      </w:r>
      <w:r>
        <w:rPr>
          <w:lang w:val="en-US"/>
        </w:rPr>
        <w:fldChar w:fldCharType="separate"/>
      </w:r>
      <w:r w:rsidRPr="007607DA">
        <w:rPr>
          <w:noProof/>
          <w:vertAlign w:val="superscript"/>
          <w:lang w:val="en-US"/>
        </w:rPr>
        <w:t>59</w:t>
      </w:r>
      <w:r>
        <w:rPr>
          <w:lang w:val="en-US"/>
        </w:rPr>
        <w:fldChar w:fldCharType="end"/>
      </w:r>
      <w:r>
        <w:rPr>
          <w:lang w:val="en-US"/>
        </w:rPr>
        <w:t xml:space="preserve"> and Woodford</w:t>
      </w:r>
      <w:r>
        <w:rPr>
          <w:lang w:val="en-US"/>
        </w:rPr>
        <w:fldChar w:fldCharType="begin"/>
      </w:r>
      <w:r>
        <w:rPr>
          <w:lang w:val="en-US"/>
        </w:rPr>
        <w:instrText xml:space="preserve"> ADDIN EN.CITE &lt;EndNote&gt;&lt;Cite&gt;&lt;Author&gt;Woodford&lt;/Author&gt;&lt;Year&gt;2021&lt;/Year&gt;&lt;RecNum&gt;925&lt;/RecNum&gt;&lt;DisplayText&gt;&lt;style face="superscript"&gt;60&lt;/style&gt;&lt;/DisplayText&gt;&lt;record&gt;&lt;rec-number&gt;925&lt;/rec-number&gt;&lt;foreign-keys&gt;&lt;key app="EN" db-id="tf290pefax0av3epa2f5stfrt00zvzxs25f2" timestamp="1637580895"&gt;925&lt;/key&gt;&lt;/foreign-keys&gt;&lt;ref-type name="Web Page"&gt;12&lt;/ref-type&gt;&lt;contributors&gt;&lt;authors&gt;&lt;author&gt;Woodford, Chris&lt;/author&gt;&lt;/authors&gt;&lt;secondary-authors&gt;&lt;author&gt;Explainthatstuff,&lt;/author&gt;&lt;/secondary-authors&gt;&lt;/contributors&gt;&lt;titles&gt;&lt;title&gt;Aluminium&lt;/title&gt;&lt;/titles&gt;&lt;number&gt;22/11/2021&lt;/number&gt;&lt;dates&gt;&lt;year&gt;2021&lt;/year&gt;&lt;/dates&gt;&lt;urls&gt;&lt;related-urls&gt;&lt;url&gt;https://www.explainthatstuff.com/aluminum.html&lt;/url&gt;&lt;/related-urls&gt;&lt;/urls&gt;&lt;/record&gt;&lt;/Cite&gt;&lt;/EndNote&gt;</w:instrText>
      </w:r>
      <w:r>
        <w:rPr>
          <w:lang w:val="en-US"/>
        </w:rPr>
        <w:fldChar w:fldCharType="separate"/>
      </w:r>
      <w:r w:rsidRPr="007607DA">
        <w:rPr>
          <w:noProof/>
          <w:vertAlign w:val="superscript"/>
          <w:lang w:val="en-US"/>
        </w:rPr>
        <w:t>60</w:t>
      </w:r>
      <w:r>
        <w:rPr>
          <w:lang w:val="en-US"/>
        </w:rPr>
        <w:fldChar w:fldCharType="end"/>
      </w:r>
      <w:r>
        <w:rPr>
          <w:lang w:val="en-US"/>
        </w:rPr>
        <w:t>, it is estimated that 28% of globally supplied Al unwrought is used in cars. According to IEA</w:t>
      </w:r>
      <w:r>
        <w:rPr>
          <w:lang w:val="en-US"/>
        </w:rPr>
        <w:fldChar w:fldCharType="begin"/>
      </w:r>
      <w:r>
        <w:rPr>
          <w:lang w:val="en-US"/>
        </w:rPr>
        <w:instrText xml:space="preserve"> ADDIN EN.CITE &lt;EndNote&gt;&lt;Cite&gt;&lt;Author&gt;IEA&lt;/Author&gt;&lt;Year&gt;2020&lt;/Year&gt;&lt;RecNum&gt;697&lt;/RecNum&gt;&lt;DisplayText&gt;&lt;style face="superscript"&gt;48&lt;/style&gt;&lt;/DisplayText&gt;&lt;record&gt;&lt;rec-number&gt;697&lt;/rec-number&gt;&lt;foreign-keys&gt;&lt;key app="EN" db-id="tf290pefax0av3epa2f5stfrt00zvzxs25f2" timestamp="1607508727"&gt;697&lt;/key&gt;&lt;/foreign-keys&gt;&lt;ref-type name="Report"&gt;27&lt;/ref-type&gt;&lt;contributors&gt;&lt;authors&gt;&lt;author&gt;IEA&lt;/author&gt;&lt;/authors&gt;&lt;secondary-authors&gt;&lt;author&gt;International Energy Agency&lt;/author&gt;&lt;/secondary-authors&gt;&lt;/contributors&gt;&lt;titles&gt;&lt;title&gt;Global EV Outlook 2020&lt;/title&gt;&lt;/titles&gt;&lt;dates&gt;&lt;year&gt;2020&lt;/year&gt;&lt;/dates&gt;&lt;pub-location&gt;Paris&lt;/pub-location&gt;&lt;urls&gt;&lt;related-urls&gt;&lt;url&gt;https://www.iea.org/reports/global-ev-outlook-2020&lt;/url&gt;&lt;/related-urls&gt;&lt;/urls&gt;&lt;/record&gt;&lt;/Cite&gt;&lt;/EndNote&gt;</w:instrText>
      </w:r>
      <w:r>
        <w:rPr>
          <w:lang w:val="en-US"/>
        </w:rPr>
        <w:fldChar w:fldCharType="separate"/>
      </w:r>
      <w:r w:rsidRPr="007607DA">
        <w:rPr>
          <w:noProof/>
          <w:vertAlign w:val="superscript"/>
          <w:lang w:val="en-US"/>
        </w:rPr>
        <w:t>48</w:t>
      </w:r>
      <w:r>
        <w:rPr>
          <w:lang w:val="en-US"/>
        </w:rPr>
        <w:fldChar w:fldCharType="end"/>
      </w:r>
      <w:r>
        <w:rPr>
          <w:lang w:val="en-US"/>
        </w:rPr>
        <w:t>, EVs account for 2.6% of the global car sales. Hence, 2.6% of this Al unwrought is used in EVs.</w:t>
      </w:r>
    </w:p>
    <w:p w:rsidR="00A00CD0" w:rsidRPr="00E8415B" w:rsidRDefault="00A00CD0" w:rsidP="00A00CD0">
      <w:pPr>
        <w:spacing w:line="480" w:lineRule="auto"/>
        <w:jc w:val="both"/>
        <w:rPr>
          <w:b/>
          <w:lang w:val="en-US"/>
        </w:rPr>
      </w:pPr>
      <w:r w:rsidRPr="00E8415B">
        <w:rPr>
          <w:b/>
          <w:lang w:val="en-US"/>
        </w:rPr>
        <w:t xml:space="preserve">Aluminium </w:t>
      </w:r>
      <w:r>
        <w:rPr>
          <w:b/>
          <w:lang w:val="en-US"/>
        </w:rPr>
        <w:t>oxide</w:t>
      </w:r>
      <w:r w:rsidRPr="00E8415B">
        <w:rPr>
          <w:b/>
          <w:lang w:val="en-US"/>
        </w:rPr>
        <w:t xml:space="preserve"> covered by the HS code </w:t>
      </w:r>
      <w:r>
        <w:rPr>
          <w:b/>
          <w:lang w:val="en-US"/>
        </w:rPr>
        <w:t>281820</w:t>
      </w:r>
      <w:r w:rsidRPr="00E8415B">
        <w:rPr>
          <w:b/>
          <w:lang w:val="en-US"/>
        </w:rPr>
        <w:t xml:space="preserve">: </w:t>
      </w:r>
    </w:p>
    <w:p w:rsidR="00A00CD0" w:rsidRDefault="00A00CD0" w:rsidP="00A00CD0">
      <w:pPr>
        <w:spacing w:line="480" w:lineRule="auto"/>
        <w:jc w:val="both"/>
        <w:rPr>
          <w:lang w:val="en-US"/>
        </w:rPr>
      </w:pPr>
      <w:r>
        <w:rPr>
          <w:lang w:val="en-US"/>
        </w:rPr>
        <w:t>The considered HS code covers Al oxide that is used in EVs but also in other applications. Based on information provided by Khoday</w:t>
      </w:r>
      <w:r>
        <w:rPr>
          <w:lang w:val="en-US"/>
        </w:rPr>
        <w:fldChar w:fldCharType="begin"/>
      </w:r>
      <w:r>
        <w:rPr>
          <w:lang w:val="en-US"/>
        </w:rPr>
        <w:instrText xml:space="preserve"> ADDIN EN.CITE &lt;EndNote&gt;&lt;Cite&gt;&lt;Author&gt;Khoday&lt;/Author&gt;&lt;Year&gt;2019&lt;/Year&gt;&lt;RecNum&gt;904&lt;/RecNum&gt;&lt;DisplayText&gt;&lt;style face="superscript"&gt;54&lt;/style&gt;&lt;/DisplayText&gt;&lt;record&gt;&lt;rec-number&gt;904&lt;/rec-number&gt;&lt;foreign-keys&gt;&lt;key app="EN" db-id="tf290pefax0av3epa2f5stfrt00zvzxs25f2" timestamp="1636543563"&gt;904&lt;/key&gt;&lt;/foreign-keys&gt;&lt;ref-type name="Web Page"&gt;12&lt;/ref-type&gt;&lt;contributors&gt;&lt;authors&gt;&lt;author&gt;Khoday, Tejas&lt;/author&gt;&lt;/authors&gt;&lt;secondary-authors&gt;&lt;author&gt;School of Stocks,&lt;/author&gt;&lt;/secondary-authors&gt;&lt;/contributors&gt;&lt;titles&gt;&lt;title&gt;Aluminium - Base Metals&lt;/title&gt;&lt;/titles&gt;&lt;number&gt;10/11/2021&lt;/number&gt;&lt;dates&gt;&lt;year&gt;2019&lt;/year&gt;&lt;/dates&gt;&lt;urls&gt;&lt;related-urls&gt;&lt;url&gt;https://fyers.in/school-of-stocks/chapter/commodities/aluminium.html&lt;/url&gt;&lt;/related-urls&gt;&lt;/urls&gt;&lt;/record&gt;&lt;/Cite&gt;&lt;/EndNote&gt;</w:instrText>
      </w:r>
      <w:r>
        <w:rPr>
          <w:lang w:val="en-US"/>
        </w:rPr>
        <w:fldChar w:fldCharType="separate"/>
      </w:r>
      <w:r w:rsidRPr="007607DA">
        <w:rPr>
          <w:noProof/>
          <w:vertAlign w:val="superscript"/>
          <w:lang w:val="en-US"/>
        </w:rPr>
        <w:t>54</w:t>
      </w:r>
      <w:r>
        <w:rPr>
          <w:lang w:val="en-US"/>
        </w:rPr>
        <w:fldChar w:fldCharType="end"/>
      </w:r>
      <w:r>
        <w:rPr>
          <w:lang w:val="en-US"/>
        </w:rPr>
        <w:t>, Sauvage</w:t>
      </w:r>
      <w:r>
        <w:rPr>
          <w:lang w:val="en-US"/>
        </w:rPr>
        <w:fldChar w:fldCharType="begin"/>
      </w:r>
      <w:r>
        <w:rPr>
          <w:lang w:val="en-US"/>
        </w:rPr>
        <w:instrText xml:space="preserve"> ADDIN EN.CITE &lt;EndNote&gt;&lt;Cite&gt;&lt;Author&gt;Sauvage&lt;/Author&gt;&lt;Year&gt;2019&lt;/Year&gt;&lt;RecNum&gt;924&lt;/RecNum&gt;&lt;DisplayText&gt;&lt;style face="superscript"&gt;59&lt;/style&gt;&lt;/DisplayText&gt;&lt;record&gt;&lt;rec-number&gt;924&lt;/rec-number&gt;&lt;foreign-keys&gt;&lt;key app="EN" db-id="tf290pefax0av3epa2f5stfrt00zvzxs25f2" timestamp="1637580571"&gt;924&lt;/key&gt;&lt;/foreign-keys&gt;&lt;ref-type name="Report"&gt;27&lt;/ref-type&gt;&lt;contributors&gt;&lt;authors&gt;&lt;author&gt;Sauvage, Jehan&lt;/author&gt;&lt;/authors&gt;&lt;secondary-authors&gt;&lt;author&gt;OECD,&lt;/author&gt;&lt;/secondary-authors&gt;&lt;/contributors&gt;&lt;titles&gt;&lt;title&gt;Measuring distortions in international markets - The aluminium value chain&lt;/title&gt;&lt;/titles&gt;&lt;dates&gt;&lt;year&gt;2019&lt;/year&gt;&lt;/dates&gt;&lt;urls&gt;&lt;related-urls&gt;&lt;url&gt;https://www.oecd.org/officialdocuments/publicdisplaydocumentpdf/?cote=TAD/TC(2018)5/FINAL&amp;amp;docLanguage=En&lt;/url&gt;&lt;/related-urls&gt;&lt;/urls&gt;&lt;/record&gt;&lt;/Cite&gt;&lt;/EndNote&gt;</w:instrText>
      </w:r>
      <w:r>
        <w:rPr>
          <w:lang w:val="en-US"/>
        </w:rPr>
        <w:fldChar w:fldCharType="separate"/>
      </w:r>
      <w:r w:rsidRPr="007607DA">
        <w:rPr>
          <w:noProof/>
          <w:vertAlign w:val="superscript"/>
          <w:lang w:val="en-US"/>
        </w:rPr>
        <w:t>59</w:t>
      </w:r>
      <w:r>
        <w:rPr>
          <w:lang w:val="en-US"/>
        </w:rPr>
        <w:fldChar w:fldCharType="end"/>
      </w:r>
      <w:r>
        <w:rPr>
          <w:lang w:val="en-US"/>
        </w:rPr>
        <w:t xml:space="preserve"> and Woodford</w:t>
      </w:r>
      <w:r>
        <w:rPr>
          <w:lang w:val="en-US"/>
        </w:rPr>
        <w:fldChar w:fldCharType="begin"/>
      </w:r>
      <w:r>
        <w:rPr>
          <w:lang w:val="en-US"/>
        </w:rPr>
        <w:instrText xml:space="preserve"> ADDIN EN.CITE &lt;EndNote&gt;&lt;Cite&gt;&lt;Author&gt;Woodford&lt;/Author&gt;&lt;Year&gt;2021&lt;/Year&gt;&lt;RecNum&gt;925&lt;/RecNum&gt;&lt;DisplayText&gt;&lt;style face="superscript"&gt;60&lt;/style&gt;&lt;/DisplayText&gt;&lt;record&gt;&lt;rec-number&gt;925&lt;/rec-number&gt;&lt;foreign-keys&gt;&lt;key app="EN" db-id="tf290pefax0av3epa2f5stfrt00zvzxs25f2" timestamp="1637580895"&gt;925&lt;/key&gt;&lt;/foreign-keys&gt;&lt;ref-type name="Web Page"&gt;12&lt;/ref-type&gt;&lt;contributors&gt;&lt;authors&gt;&lt;author&gt;Woodford, Chris&lt;/author&gt;&lt;/authors&gt;&lt;secondary-authors&gt;&lt;author&gt;Explainthatstuff,&lt;/author&gt;&lt;/secondary-authors&gt;&lt;/contributors&gt;&lt;titles&gt;&lt;title&gt;Aluminium&lt;/title&gt;&lt;/titles&gt;&lt;number&gt;22/11/2021&lt;/number&gt;&lt;dates&gt;&lt;year&gt;2021&lt;/year&gt;&lt;/dates&gt;&lt;urls&gt;&lt;related-urls&gt;&lt;url&gt;https://www.explainthatstuff.com/aluminum.html&lt;/url&gt;&lt;/related-urls&gt;&lt;/urls&gt;&lt;/record&gt;&lt;/Cite&gt;&lt;/EndNote&gt;</w:instrText>
      </w:r>
      <w:r>
        <w:rPr>
          <w:lang w:val="en-US"/>
        </w:rPr>
        <w:fldChar w:fldCharType="separate"/>
      </w:r>
      <w:r w:rsidRPr="007607DA">
        <w:rPr>
          <w:noProof/>
          <w:vertAlign w:val="superscript"/>
          <w:lang w:val="en-US"/>
        </w:rPr>
        <w:t>60</w:t>
      </w:r>
      <w:r>
        <w:rPr>
          <w:lang w:val="en-US"/>
        </w:rPr>
        <w:fldChar w:fldCharType="end"/>
      </w:r>
      <w:r>
        <w:rPr>
          <w:lang w:val="en-US"/>
        </w:rPr>
        <w:t>, it is estimated that 27% of the globally supplied Al oxide is used in cars. According to IEA</w:t>
      </w:r>
      <w:r>
        <w:rPr>
          <w:lang w:val="en-US"/>
        </w:rPr>
        <w:fldChar w:fldCharType="begin"/>
      </w:r>
      <w:r>
        <w:rPr>
          <w:lang w:val="en-US"/>
        </w:rPr>
        <w:instrText xml:space="preserve"> ADDIN EN.CITE &lt;EndNote&gt;&lt;Cite&gt;&lt;Author&gt;IEA&lt;/Author&gt;&lt;Year&gt;2020&lt;/Year&gt;&lt;RecNum&gt;697&lt;/RecNum&gt;&lt;DisplayText&gt;&lt;style face="superscript"&gt;48&lt;/style&gt;&lt;/DisplayText&gt;&lt;record&gt;&lt;rec-number&gt;697&lt;/rec-number&gt;&lt;foreign-keys&gt;&lt;key app="EN" db-id="tf290pefax0av3epa2f5stfrt00zvzxs25f2" timestamp="1607508727"&gt;697&lt;/key&gt;&lt;/foreign-keys&gt;&lt;ref-type name="Report"&gt;27&lt;/ref-type&gt;&lt;contributors&gt;&lt;authors&gt;&lt;author&gt;IEA&lt;/author&gt;&lt;/authors&gt;&lt;secondary-authors&gt;&lt;author&gt;International Energy Agency&lt;/author&gt;&lt;/secondary-authors&gt;&lt;/contributors&gt;&lt;titles&gt;&lt;title&gt;Global EV Outlook 2020&lt;/title&gt;&lt;/titles&gt;&lt;dates&gt;&lt;year&gt;2020&lt;/year&gt;&lt;/dates&gt;&lt;pub-location&gt;Paris&lt;/pub-location&gt;&lt;urls&gt;&lt;related-urls&gt;&lt;url&gt;https://www.iea.org/reports/global-ev-outlook-2020&lt;/url&gt;&lt;/related-urls&gt;&lt;/urls&gt;&lt;/record&gt;&lt;/Cite&gt;&lt;/EndNote&gt;</w:instrText>
      </w:r>
      <w:r>
        <w:rPr>
          <w:lang w:val="en-US"/>
        </w:rPr>
        <w:fldChar w:fldCharType="separate"/>
      </w:r>
      <w:r w:rsidRPr="007607DA">
        <w:rPr>
          <w:noProof/>
          <w:vertAlign w:val="superscript"/>
          <w:lang w:val="en-US"/>
        </w:rPr>
        <w:t>48</w:t>
      </w:r>
      <w:r>
        <w:rPr>
          <w:lang w:val="en-US"/>
        </w:rPr>
        <w:fldChar w:fldCharType="end"/>
      </w:r>
      <w:r>
        <w:rPr>
          <w:lang w:val="en-US"/>
        </w:rPr>
        <w:t>, EVs account for 2.6% of the global car sales. Hence, 2.6% of this Al oxide is used in EVs.</w:t>
      </w:r>
    </w:p>
    <w:p w:rsidR="00266AD7" w:rsidRDefault="00266AD7"/>
    <w:sectPr w:rsidR="00266AD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77E6A"/>
    <w:multiLevelType w:val="hybridMultilevel"/>
    <w:tmpl w:val="CE02DFBC"/>
    <w:lvl w:ilvl="0" w:tplc="E62CB514">
      <w:start w:val="1"/>
      <w:numFmt w:val="decimal"/>
      <w:lvlText w:val="S%1."/>
      <w:lvlJc w:val="left"/>
      <w:pPr>
        <w:ind w:left="644"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414A6DB1"/>
    <w:multiLevelType w:val="multilevel"/>
    <w:tmpl w:val="F1B2DDAA"/>
    <w:lvl w:ilvl="0">
      <w:start w:val="1"/>
      <w:numFmt w:val="bullet"/>
      <w:pStyle w:val="Aufzhlung"/>
      <w:lvlText w:val="●"/>
      <w:lvlJc w:val="left"/>
      <w:pPr>
        <w:tabs>
          <w:tab w:val="num" w:pos="341"/>
        </w:tabs>
        <w:ind w:left="341" w:hanging="341"/>
      </w:pPr>
      <w:rPr>
        <w:rFonts w:ascii="Times New Roman" w:hAnsi="Times New Roman" w:cs="Times New Roman" w:hint="default"/>
        <w:color w:val="auto"/>
      </w:rPr>
    </w:lvl>
    <w:lvl w:ilvl="1">
      <w:start w:val="1"/>
      <w:numFmt w:val="bullet"/>
      <w:lvlText w:val="○"/>
      <w:lvlJc w:val="left"/>
      <w:pPr>
        <w:tabs>
          <w:tab w:val="num" w:pos="681"/>
        </w:tabs>
        <w:ind w:left="681" w:hanging="340"/>
      </w:pPr>
      <w:rPr>
        <w:rFonts w:ascii="Times New Roman" w:hAnsi="Times New Roman" w:cs="Times New Roman" w:hint="default"/>
        <w:color w:val="auto"/>
      </w:rPr>
    </w:lvl>
    <w:lvl w:ilvl="2">
      <w:start w:val="1"/>
      <w:numFmt w:val="bullet"/>
      <w:lvlText w:val="▪"/>
      <w:lvlJc w:val="left"/>
      <w:pPr>
        <w:tabs>
          <w:tab w:val="num" w:pos="1021"/>
        </w:tabs>
        <w:ind w:left="1021" w:hanging="340"/>
      </w:pPr>
      <w:rPr>
        <w:rFonts w:ascii="Times New Roman" w:hAnsi="Times New Roman" w:cs="Times New Roman" w:hint="default"/>
      </w:rPr>
    </w:lvl>
    <w:lvl w:ilvl="3">
      <w:start w:val="1"/>
      <w:numFmt w:val="bullet"/>
      <w:lvlText w:val="▫"/>
      <w:lvlJc w:val="left"/>
      <w:pPr>
        <w:tabs>
          <w:tab w:val="num" w:pos="1361"/>
        </w:tabs>
        <w:ind w:left="1361" w:hanging="340"/>
      </w:pPr>
      <w:rPr>
        <w:rFonts w:ascii="Times New Roman" w:hAnsi="Times New Roman" w:cs="Times New Roman" w:hint="default"/>
      </w:rPr>
    </w:lvl>
    <w:lvl w:ilvl="4">
      <w:start w:val="1"/>
      <w:numFmt w:val="bullet"/>
      <w:lvlText w:val=""/>
      <w:lvlJc w:val="left"/>
      <w:pPr>
        <w:tabs>
          <w:tab w:val="num" w:pos="1290"/>
        </w:tabs>
        <w:ind w:left="1290" w:hanging="360"/>
      </w:pPr>
      <w:rPr>
        <w:rFonts w:ascii="Symbol" w:hAnsi="Symbol" w:hint="default"/>
      </w:rPr>
    </w:lvl>
    <w:lvl w:ilvl="5">
      <w:start w:val="1"/>
      <w:numFmt w:val="bullet"/>
      <w:lvlText w:val=""/>
      <w:lvlJc w:val="left"/>
      <w:pPr>
        <w:tabs>
          <w:tab w:val="num" w:pos="1650"/>
        </w:tabs>
        <w:ind w:left="1650" w:hanging="360"/>
      </w:pPr>
      <w:rPr>
        <w:rFonts w:ascii="Wingdings" w:hAnsi="Wingdings" w:hint="default"/>
      </w:rPr>
    </w:lvl>
    <w:lvl w:ilvl="6">
      <w:start w:val="1"/>
      <w:numFmt w:val="bullet"/>
      <w:lvlText w:val=""/>
      <w:lvlJc w:val="left"/>
      <w:pPr>
        <w:tabs>
          <w:tab w:val="num" w:pos="2010"/>
        </w:tabs>
        <w:ind w:left="2010" w:hanging="360"/>
      </w:pPr>
      <w:rPr>
        <w:rFonts w:ascii="Wingdings" w:hAnsi="Wingdings" w:hint="default"/>
      </w:rPr>
    </w:lvl>
    <w:lvl w:ilvl="7">
      <w:start w:val="1"/>
      <w:numFmt w:val="bullet"/>
      <w:lvlText w:val=""/>
      <w:lvlJc w:val="left"/>
      <w:pPr>
        <w:tabs>
          <w:tab w:val="num" w:pos="2370"/>
        </w:tabs>
        <w:ind w:left="2370" w:hanging="360"/>
      </w:pPr>
      <w:rPr>
        <w:rFonts w:ascii="Symbol" w:hAnsi="Symbol" w:hint="default"/>
      </w:rPr>
    </w:lvl>
    <w:lvl w:ilvl="8">
      <w:start w:val="1"/>
      <w:numFmt w:val="bullet"/>
      <w:lvlText w:val=""/>
      <w:lvlJc w:val="left"/>
      <w:pPr>
        <w:tabs>
          <w:tab w:val="num" w:pos="2730"/>
        </w:tabs>
        <w:ind w:left="2730" w:hanging="360"/>
      </w:pPr>
      <w:rPr>
        <w:rFonts w:ascii="Symbol" w:hAnsi="Symbol" w:hint="default"/>
      </w:rPr>
    </w:lvl>
  </w:abstractNum>
  <w:abstractNum w:abstractNumId="2" w15:restartNumberingAfterBreak="0">
    <w:nsid w:val="5D566A7F"/>
    <w:multiLevelType w:val="hybridMultilevel"/>
    <w:tmpl w:val="97D44F48"/>
    <w:lvl w:ilvl="0" w:tplc="3CD87DE0">
      <w:start w:val="1"/>
      <w:numFmt w:val="decimal"/>
      <w:pStyle w:val="Listenabsatz"/>
      <w:lvlText w:val="%1."/>
      <w:lvlJc w:val="left"/>
      <w:pPr>
        <w:ind w:left="360" w:hanging="360"/>
      </w:pPr>
      <w:rPr>
        <w:rFonts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autoHyphenation/>
  <w:consecutiveHyphenLimit w:val="3"/>
  <w:hyphenationZone w:val="14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CD0"/>
    <w:rsid w:val="00266AD7"/>
    <w:rsid w:val="003B0FB6"/>
    <w:rsid w:val="0045765B"/>
    <w:rsid w:val="00741CBC"/>
    <w:rsid w:val="009005EC"/>
    <w:rsid w:val="009E4CAF"/>
    <w:rsid w:val="00A00CD0"/>
    <w:rsid w:val="00A304CA"/>
    <w:rsid w:val="00A677C1"/>
    <w:rsid w:val="00AE2E15"/>
    <w:rsid w:val="00B11B9B"/>
    <w:rsid w:val="00C00A9C"/>
    <w:rsid w:val="00D23BD2"/>
    <w:rsid w:val="00F00604"/>
    <w:rsid w:val="00F9253B"/>
    <w:rsid w:val="00FC7F8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19C67"/>
  <w15:chartTrackingRefBased/>
  <w15:docId w15:val="{60B7FFB3-773F-400A-A6AE-985B68679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w:eastAsia="Times New Roman" w:hAnsi="Segoe UI" w:cs="Times New Roman"/>
        <w:lang w:val="de-CH" w:eastAsia="en-US" w:bidi="ar-SA"/>
      </w:rPr>
    </w:rPrDefault>
    <w:pPrDefault/>
  </w:docDefaults>
  <w:latentStyles w:defLockedState="0" w:defUIPriority="99" w:defSemiHidden="0" w:defUnhideWhenUsed="0" w:defQFormat="0" w:count="371">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uiPriority="4"/>
    <w:lsdException w:name="heading 5" w:semiHidden="1" w:uiPriority="9"/>
    <w:lsdException w:name="heading 6" w:semiHidden="1" w:uiPriority="9"/>
    <w:lsdException w:name="heading 7" w:semiHidden="1" w:uiPriority="9"/>
    <w:lsdException w:name="heading 8" w:semiHidden="1" w:uiPriority="9"/>
    <w:lsdException w:name="heading 9" w:semiHidden="1"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00CD0"/>
  </w:style>
  <w:style w:type="paragraph" w:styleId="berschrift1">
    <w:name w:val="heading 1"/>
    <w:basedOn w:val="Standard"/>
    <w:next w:val="Standard"/>
    <w:link w:val="berschrift1Zchn"/>
    <w:uiPriority w:val="4"/>
    <w:qFormat/>
    <w:rsid w:val="00FC7F8F"/>
    <w:pPr>
      <w:keepNext/>
      <w:pageBreakBefore/>
      <w:tabs>
        <w:tab w:val="left" w:pos="851"/>
      </w:tabs>
      <w:spacing w:before="240" w:after="240" w:line="288" w:lineRule="auto"/>
      <w:outlineLvl w:val="0"/>
    </w:pPr>
    <w:rPr>
      <w:rFonts w:cs="Arial"/>
      <w:b/>
      <w:bCs/>
      <w:kern w:val="28"/>
      <w:sz w:val="28"/>
      <w:szCs w:val="28"/>
    </w:rPr>
  </w:style>
  <w:style w:type="paragraph" w:styleId="berschrift2">
    <w:name w:val="heading 2"/>
    <w:basedOn w:val="berschrift1"/>
    <w:next w:val="Standard"/>
    <w:link w:val="berschrift2Zchn"/>
    <w:uiPriority w:val="4"/>
    <w:qFormat/>
    <w:rsid w:val="00FC7F8F"/>
    <w:pPr>
      <w:pageBreakBefore w:val="0"/>
      <w:numPr>
        <w:ilvl w:val="1"/>
      </w:numPr>
      <w:outlineLvl w:val="1"/>
    </w:pPr>
    <w:rPr>
      <w:bCs w:val="0"/>
      <w:iCs/>
      <w:kern w:val="24"/>
      <w:sz w:val="24"/>
      <w:szCs w:val="24"/>
      <w:lang w:eastAsia="de-DE"/>
    </w:rPr>
  </w:style>
  <w:style w:type="paragraph" w:styleId="berschrift3">
    <w:name w:val="heading 3"/>
    <w:basedOn w:val="berschrift1"/>
    <w:next w:val="Standard"/>
    <w:link w:val="berschrift3Zchn"/>
    <w:uiPriority w:val="4"/>
    <w:qFormat/>
    <w:rsid w:val="00FC7F8F"/>
    <w:pPr>
      <w:pageBreakBefore w:val="0"/>
      <w:numPr>
        <w:ilvl w:val="2"/>
      </w:numPr>
      <w:outlineLvl w:val="2"/>
    </w:pPr>
    <w:rPr>
      <w:bCs w:val="0"/>
      <w:kern w:val="22"/>
      <w:sz w:val="22"/>
      <w:szCs w:val="22"/>
    </w:rPr>
  </w:style>
  <w:style w:type="paragraph" w:styleId="berschrift4">
    <w:name w:val="heading 4"/>
    <w:basedOn w:val="Standard"/>
    <w:next w:val="Standard"/>
    <w:link w:val="berschrift4Zchn"/>
    <w:uiPriority w:val="4"/>
    <w:rsid w:val="00FC7F8F"/>
    <w:pPr>
      <w:keepNext/>
      <w:keepLines/>
      <w:spacing w:before="200"/>
      <w:outlineLvl w:val="3"/>
    </w:pPr>
    <w:rPr>
      <w:rFonts w:asciiTheme="majorHAnsi" w:eastAsiaTheme="majorEastAsia" w:hAnsiTheme="majorHAnsi" w:cstheme="majorBidi"/>
      <w:b/>
      <w:bCs/>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ufzhlung">
    <w:name w:val="Aufzählung"/>
    <w:basedOn w:val="Standard"/>
    <w:uiPriority w:val="2"/>
    <w:qFormat/>
    <w:rsid w:val="00FC7F8F"/>
    <w:pPr>
      <w:numPr>
        <w:numId w:val="3"/>
      </w:numPr>
      <w:contextualSpacing/>
    </w:pPr>
  </w:style>
  <w:style w:type="character" w:customStyle="1" w:styleId="berschrift1Zchn">
    <w:name w:val="Überschrift 1 Zchn"/>
    <w:basedOn w:val="Absatz-Standardschriftart"/>
    <w:link w:val="berschrift1"/>
    <w:uiPriority w:val="4"/>
    <w:rsid w:val="00FC7F8F"/>
    <w:rPr>
      <w:rFonts w:cs="Arial"/>
      <w:b/>
      <w:bCs/>
      <w:kern w:val="28"/>
      <w:sz w:val="28"/>
      <w:szCs w:val="28"/>
    </w:rPr>
  </w:style>
  <w:style w:type="paragraph" w:styleId="Textkrper">
    <w:name w:val="Body Text"/>
    <w:basedOn w:val="Standard"/>
    <w:link w:val="TextkrperZchn"/>
    <w:uiPriority w:val="99"/>
    <w:semiHidden/>
    <w:unhideWhenUsed/>
    <w:rsid w:val="00FC7F8F"/>
    <w:pPr>
      <w:spacing w:after="120"/>
    </w:pPr>
  </w:style>
  <w:style w:type="character" w:customStyle="1" w:styleId="TextkrperZchn">
    <w:name w:val="Textkörper Zchn"/>
    <w:basedOn w:val="Absatz-Standardschriftart"/>
    <w:link w:val="Textkrper"/>
    <w:uiPriority w:val="99"/>
    <w:semiHidden/>
    <w:rsid w:val="00FC7F8F"/>
  </w:style>
  <w:style w:type="character" w:customStyle="1" w:styleId="berschrift2Zchn">
    <w:name w:val="Überschrift 2 Zchn"/>
    <w:basedOn w:val="Absatz-Standardschriftart"/>
    <w:link w:val="berschrift2"/>
    <w:uiPriority w:val="4"/>
    <w:rsid w:val="00FC7F8F"/>
    <w:rPr>
      <w:rFonts w:cs="Arial"/>
      <w:b/>
      <w:iCs/>
      <w:kern w:val="24"/>
      <w:sz w:val="24"/>
      <w:szCs w:val="24"/>
      <w:lang w:eastAsia="de-DE"/>
    </w:rPr>
  </w:style>
  <w:style w:type="character" w:customStyle="1" w:styleId="berschrift3Zchn">
    <w:name w:val="Überschrift 3 Zchn"/>
    <w:basedOn w:val="berschrift1Zchn"/>
    <w:link w:val="berschrift3"/>
    <w:uiPriority w:val="4"/>
    <w:rsid w:val="00FC7F8F"/>
    <w:rPr>
      <w:rFonts w:cs="Arial"/>
      <w:b/>
      <w:bCs w:val="0"/>
      <w:kern w:val="22"/>
      <w:sz w:val="22"/>
      <w:szCs w:val="22"/>
    </w:rPr>
  </w:style>
  <w:style w:type="paragraph" w:styleId="Titel">
    <w:name w:val="Title"/>
    <w:basedOn w:val="Standard"/>
    <w:next w:val="Textkrper"/>
    <w:link w:val="TitelZchn"/>
    <w:uiPriority w:val="5"/>
    <w:qFormat/>
    <w:rsid w:val="00FC7F8F"/>
    <w:pPr>
      <w:spacing w:before="240" w:after="240" w:line="288" w:lineRule="auto"/>
      <w:outlineLvl w:val="0"/>
    </w:pPr>
    <w:rPr>
      <w:rFonts w:cs="Arial"/>
      <w:b/>
      <w:bCs/>
      <w:kern w:val="32"/>
      <w:sz w:val="32"/>
      <w:szCs w:val="32"/>
    </w:rPr>
  </w:style>
  <w:style w:type="character" w:customStyle="1" w:styleId="TitelZchn">
    <w:name w:val="Titel Zchn"/>
    <w:basedOn w:val="Absatz-Standardschriftart"/>
    <w:link w:val="Titel"/>
    <w:uiPriority w:val="5"/>
    <w:rsid w:val="00FC7F8F"/>
    <w:rPr>
      <w:rFonts w:cs="Arial"/>
      <w:b/>
      <w:bCs/>
      <w:kern w:val="32"/>
      <w:sz w:val="32"/>
      <w:szCs w:val="32"/>
    </w:rPr>
  </w:style>
  <w:style w:type="paragraph" w:styleId="Untertitel">
    <w:name w:val="Subtitle"/>
    <w:basedOn w:val="Standard"/>
    <w:next w:val="Standard"/>
    <w:link w:val="UntertitelZchn"/>
    <w:uiPriority w:val="5"/>
    <w:qFormat/>
    <w:rsid w:val="00FC7F8F"/>
    <w:pPr>
      <w:numPr>
        <w:ilvl w:val="1"/>
      </w:numPr>
    </w:pPr>
    <w:rPr>
      <w:rFonts w:eastAsiaTheme="majorEastAsia" w:cstheme="majorBidi"/>
      <w:b/>
      <w:iCs/>
      <w:sz w:val="24"/>
      <w:szCs w:val="24"/>
    </w:rPr>
  </w:style>
  <w:style w:type="character" w:customStyle="1" w:styleId="UntertitelZchn">
    <w:name w:val="Untertitel Zchn"/>
    <w:basedOn w:val="Absatz-Standardschriftart"/>
    <w:link w:val="Untertitel"/>
    <w:uiPriority w:val="5"/>
    <w:rsid w:val="00FC7F8F"/>
    <w:rPr>
      <w:rFonts w:eastAsiaTheme="majorEastAsia" w:cstheme="majorBidi"/>
      <w:b/>
      <w:iCs/>
      <w:sz w:val="24"/>
      <w:szCs w:val="24"/>
    </w:rPr>
  </w:style>
  <w:style w:type="paragraph" w:styleId="KeinLeerraum">
    <w:name w:val="No Spacing"/>
    <w:uiPriority w:val="1"/>
    <w:qFormat/>
    <w:rsid w:val="00FC7F8F"/>
  </w:style>
  <w:style w:type="paragraph" w:styleId="Listenabsatz">
    <w:name w:val="List Paragraph"/>
    <w:basedOn w:val="Standard"/>
    <w:uiPriority w:val="3"/>
    <w:qFormat/>
    <w:rsid w:val="00FC7F8F"/>
    <w:pPr>
      <w:numPr>
        <w:numId w:val="2"/>
      </w:numPr>
      <w:contextualSpacing/>
    </w:pPr>
  </w:style>
  <w:style w:type="character" w:customStyle="1" w:styleId="berschrift4Zchn">
    <w:name w:val="Überschrift 4 Zchn"/>
    <w:basedOn w:val="Absatz-Standardschriftart"/>
    <w:link w:val="berschrift4"/>
    <w:uiPriority w:val="4"/>
    <w:rsid w:val="00FC7F8F"/>
    <w:rPr>
      <w:rFonts w:asciiTheme="majorHAnsi" w:eastAsiaTheme="majorEastAsia" w:hAnsiTheme="majorHAnsi" w:cstheme="majorBidi"/>
      <w:b/>
      <w:bCs/>
      <w:i/>
      <w:iCs/>
    </w:rPr>
  </w:style>
  <w:style w:type="paragraph" w:styleId="E-Mail-Signatur">
    <w:name w:val="E-mail Signature"/>
    <w:basedOn w:val="Standard"/>
    <w:link w:val="E-Mail-SignaturZchn"/>
    <w:uiPriority w:val="99"/>
    <w:semiHidden/>
    <w:rsid w:val="009005EC"/>
  </w:style>
  <w:style w:type="character" w:customStyle="1" w:styleId="E-Mail-SignaturZchn">
    <w:name w:val="E-Mail-Signatur Zchn"/>
    <w:basedOn w:val="Absatz-Standardschriftart"/>
    <w:link w:val="E-Mail-Signatur"/>
    <w:uiPriority w:val="99"/>
    <w:semiHidden/>
    <w:rsid w:val="009005EC"/>
  </w:style>
  <w:style w:type="character" w:styleId="Kommentarzeichen">
    <w:name w:val="annotation reference"/>
    <w:basedOn w:val="Absatz-Standardschriftart"/>
    <w:uiPriority w:val="99"/>
    <w:semiHidden/>
    <w:unhideWhenUsed/>
    <w:rsid w:val="00A00CD0"/>
    <w:rPr>
      <w:sz w:val="16"/>
      <w:szCs w:val="16"/>
    </w:rPr>
  </w:style>
  <w:style w:type="paragraph" w:styleId="Kommentartext">
    <w:name w:val="annotation text"/>
    <w:basedOn w:val="Standard"/>
    <w:link w:val="KommentartextZchn"/>
    <w:uiPriority w:val="99"/>
    <w:unhideWhenUsed/>
    <w:rsid w:val="00A00CD0"/>
  </w:style>
  <w:style w:type="character" w:customStyle="1" w:styleId="KommentartextZchn">
    <w:name w:val="Kommentartext Zchn"/>
    <w:basedOn w:val="Absatz-Standardschriftart"/>
    <w:link w:val="Kommentartext"/>
    <w:uiPriority w:val="99"/>
    <w:rsid w:val="00A00CD0"/>
  </w:style>
  <w:style w:type="paragraph" w:styleId="Sprechblasentext">
    <w:name w:val="Balloon Text"/>
    <w:basedOn w:val="Standard"/>
    <w:link w:val="SprechblasentextZchn"/>
    <w:uiPriority w:val="99"/>
    <w:semiHidden/>
    <w:unhideWhenUsed/>
    <w:rsid w:val="00A00CD0"/>
    <w:rPr>
      <w:rFonts w:cs="Segoe UI"/>
      <w:sz w:val="18"/>
      <w:szCs w:val="18"/>
    </w:rPr>
  </w:style>
  <w:style w:type="character" w:customStyle="1" w:styleId="SprechblasentextZchn">
    <w:name w:val="Sprechblasentext Zchn"/>
    <w:basedOn w:val="Absatz-Standardschriftart"/>
    <w:link w:val="Sprechblasentext"/>
    <w:uiPriority w:val="99"/>
    <w:semiHidden/>
    <w:rsid w:val="00A00CD0"/>
    <w:rPr>
      <w:rFonts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Empa_Word">
  <a:themeElements>
    <a:clrScheme name="Empa_Farben">
      <a:dk1>
        <a:sysClr val="windowText" lastClr="000000"/>
      </a:dk1>
      <a:lt1>
        <a:sysClr val="window" lastClr="FFFFFF"/>
      </a:lt1>
      <a:dk2>
        <a:srgbClr val="4F271C"/>
      </a:dk2>
      <a:lt2>
        <a:srgbClr val="E7DEC9"/>
      </a:lt2>
      <a:accent1>
        <a:srgbClr val="5F5F5F"/>
      </a:accent1>
      <a:accent2>
        <a:srgbClr val="5C2E00"/>
      </a:accent2>
      <a:accent3>
        <a:srgbClr val="005400"/>
      </a:accent3>
      <a:accent4>
        <a:srgbClr val="003366"/>
      </a:accent4>
      <a:accent5>
        <a:srgbClr val="C00000"/>
      </a:accent5>
      <a:accent6>
        <a:srgbClr val="C0BC00"/>
      </a:accent6>
      <a:hlink>
        <a:srgbClr val="475A8D"/>
      </a:hlink>
      <a:folHlink>
        <a:srgbClr val="C32D2E"/>
      </a:folHlink>
    </a:clrScheme>
    <a:fontScheme name="Empa_Word">
      <a:majorFont>
        <a:latin typeface="Segoe UI"/>
        <a:ea typeface=""/>
        <a:cs typeface=""/>
      </a:majorFont>
      <a:minorFont>
        <a:latin typeface="Segoe UI"/>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5562</Words>
  <Characters>35044</Characters>
  <Application>Microsoft Office Word</Application>
  <DocSecurity>0</DocSecurity>
  <Lines>292</Lines>
  <Paragraphs>81</Paragraphs>
  <ScaleCrop>false</ScaleCrop>
  <HeadingPairs>
    <vt:vector size="2" baseType="variant">
      <vt:variant>
        <vt:lpstr>Titel</vt:lpstr>
      </vt:variant>
      <vt:variant>
        <vt:i4>1</vt:i4>
      </vt:variant>
    </vt:vector>
  </HeadingPairs>
  <TitlesOfParts>
    <vt:vector size="1" baseType="lpstr">
      <vt:lpstr/>
    </vt:vector>
  </TitlesOfParts>
  <Company>Empa</Company>
  <LinksUpToDate>false</LinksUpToDate>
  <CharactersWithSpaces>40525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Berr, Marcus</dc:creator>
  <cp:keywords/>
  <dc:description/>
  <cp:lastModifiedBy>Berr, Marcus</cp:lastModifiedBy>
  <cp:revision>1</cp:revision>
  <dcterms:created xsi:type="dcterms:W3CDTF">2023-05-07T20:22:00Z</dcterms:created>
  <dcterms:modified xsi:type="dcterms:W3CDTF">2023-05-07T20:23:00Z</dcterms:modified>
</cp:coreProperties>
</file>