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ulo"/>
      </w:pPr>
      <w:r>
        <w:t xml:space="preserve">FATORES ASSOCIADOS À CONVERSÃO DA COLECISTECTOMIA VIDEOLAPAROSCÓPICA PARA CIRURGIA ABERTA: REVISÃO INTEGRATIVA DA LITERATURA</w:t>
      </w:r>
    </w:p>
    <w:p>
      <w:pPr>
        <w:pStyle w:val="Subtitulo"/>
      </w:pPr>
      <w:r>
        <w:rPr>
          <w:i/>
        </w:rPr>
        <w:t xml:space="preserve">FACTORS ASSOCIATED WITH CONVERSION OF LAPAROSCOPIC CHOLECYSTECTOMY TO OPEN SURGERY: AN INTEGRATIVE LITERATURE REVIEW</w:t>
      </w:r>
    </w:p>
    <w:p>
      <w:pPr>
        <w:pStyle w:val="Subtitulo"/>
      </w:pPr>
      <w:r>
        <w:rPr>
          <w:i/>
        </w:rPr>
        <w:t xml:space="preserve">FACTORES ASOCIADOS A LA CONVERSIÓN DE LA COLECISTECTOMÍA LAPAROSCÓPICA A CIRUGÍA ABIERTA: REVISIÓN INTEGRATIVA DE LA LITERATURA</w:t>
      </w:r>
    </w:p>
    <w:p>
      <w:pPr>
        <w:pStyle w:val="Frontal"/>
      </w:pPr>
      <w:r>
        <w:rPr>
          <w:b/>
        </w:rPr>
        <w:t xml:space="preserve">Autores:</w:t>
      </w:r>
      <w:r>
        <w:t xml:space="preserve"> Marcus Capobiango¹, Orientador(a)²</w:t>
      </w:r>
    </w:p>
    <w:p>
      <w:pPr>
        <w:pStyle w:val="Afiliacao"/>
      </w:pPr>
      <w:r>
        <w:rPr>
          <w:i/>
        </w:rPr>
        <w:t xml:space="preserve">¹Discente do Curso de Medicina. ²Docente Orientador.</w:t>
      </w:r>
    </w:p>
    <w:p>
      <w:pPr>
        <w:pStyle w:val="Resumo"/>
      </w:pPr>
      <w:r>
        <w:rPr>
          <w:b/>
        </w:rPr>
        <w:t xml:space="preserve">RESUMO:</w:t>
      </w:r>
      <w:r>
        <w:t xml:space="preserve"> </w:t>
      </w:r>
      <w:r>
        <w:rPr>
          <w:b/>
        </w:rPr>
        <w:t xml:space="preserve">Objetivo:</w:t>
      </w:r>
      <w:r>
        <w:t xml:space="preserve"> Identificar e sintetizar os fatores pré-operatórios e intraoperatórios associados à conversão da colecistectomia videolaparoscópica para cirurgia aberta em adultos. </w:t>
      </w:r>
      <w:r>
        <w:rPr>
          <w:b/>
        </w:rPr>
        <w:t xml:space="preserve">Métodos:</w:t>
      </w:r>
      <w:r>
        <w:t xml:space="preserve"> Revisão integrativa da literatura com busca realizada em 25 de setembro de 2026 nas bases PubMed/MEDLINE, SciELO e LILACS, abrangendo publicações de 2021 a 2026 nos idiomas português, inglês e espanhol. Foram identificados 309 registros, triados 301 e incluídos 60 estudos. Quanto ao delineamento, observaram-se 28 coortes retrospectivas, 14 coortes prospectivas, 12 estudos transversais, três estudos de caso-controle, duas séries de casos e um outro delineamento. </w:t>
      </w:r>
      <w:r>
        <w:rPr>
          <w:b/>
        </w:rPr>
        <w:t xml:space="preserve">Resultados:</w:t>
      </w:r>
      <w:r>
        <w:t xml:space="preserve"> Sexo masculino, idade avançada e cirurgia abdominal prévia associaram-se frequentemente à conversão, porém com resultados divergentes. Associaram-se ainda obesidade grau III, diabetes mellitus tipo 2, colangiopancreatografia retrógrada endoscópica prévia, intervalo sintoma-cirurgia superior a 72 horas, maior gravidade da colecistite aguda, espessamento parietal vesicular, líquido perivesicular, vesícula contraída, proteína C-reativa elevada e razões proteína C-reativa-albumina e neutrófilo-linfócito, nem sempre como preditores independentes. No intraoperatório, destacaram-se aderências densas, anatomia distorcida e falha na visão crítica de segurança. A menor experiência do cirurgião teve associação inconsistente. Escores preditivos, em sua maioria voltados à colecistectomia difícil, apresentaram área sob a curva de 0,75 a 0,93, com validação externa limitada. </w:t>
      </w:r>
      <w:r>
        <w:rPr>
          <w:b/>
        </w:rPr>
        <w:t xml:space="preserve">Conclusão:</w:t>
      </w:r>
      <w:r>
        <w:t xml:space="preserve"> A evidência, predominantemente observacional, sugere que a conversão decorre da interação entre inflamação, anatomia adversa e dificuldade técnica.</w:t>
      </w:r>
    </w:p>
    <w:p>
      <w:pPr>
        <w:pStyle w:val="PalavrasChave"/>
      </w:pPr>
      <w:r>
        <w:rPr>
          <w:b/>
        </w:rPr>
        <w:t xml:space="preserve">Palavras-chave:</w:t>
      </w:r>
      <w:r>
        <w:t xml:space="preserve"> Colecistectomia videolaparoscópica; Conversão; Cirurgia aberta; Fatores preditores; Fatores de risco; Adulto.</w:t>
      </w:r>
    </w:p>
    <w:p>
      <w:pPr>
        <w:pStyle w:val="Resumo"/>
      </w:pPr>
      <w:r>
        <w:rPr>
          <w:b/>
        </w:rPr>
        <w:t xml:space="preserve">ABSTRACT:</w:t>
      </w:r>
      <w:r>
        <w:t xml:space="preserve"> </w:t>
      </w:r>
      <w:r>
        <w:rPr>
          <w:b/>
        </w:rPr>
        <w:t xml:space="preserve">Objective:</w:t>
      </w:r>
      <w:r>
        <w:t xml:space="preserve"> To identify and synthesize preoperative and intraoperative factors associated with conversion of laparoscopic cholecystectomy to open surgery in adults. </w:t>
      </w:r>
      <w:r>
        <w:rPr>
          <w:b/>
        </w:rPr>
        <w:t xml:space="preserve">Methods:</w:t>
      </w:r>
      <w:r>
        <w:t xml:space="preserve"> Integrative literature review with search performed on September 25, 2026, in PubMed/MEDLINE, SciELO, and LILACS, covering publications from 2021 to 2026 in Portuguese, English, and Spanish. A total of 309 records were identified, 301 screened, and 60 studies included. Study designs comprised 28 retrospective cohorts, 14 prospective cohorts, 12 cross-sectional studies, three case-control studies, two case series, and one other design. </w:t>
      </w:r>
      <w:r>
        <w:rPr>
          <w:b/>
        </w:rPr>
        <w:t xml:space="preserve">Results:</w:t>
      </w:r>
      <w:r>
        <w:t xml:space="preserve"> Male sex, advanced age, and previous abdominal surgery were frequently associated with conversion, although findings were divergent. Other associated factors were class III obesity, type 2 diabetes mellitus, previous endoscopic retrograde cholangiopancreatography, symptom-to-surgery interval &gt;72 hours, greater severity of acute cholecystitis, gallbladder wall thickening, pericholecystic fluid, contracted gallbladder, elevated C-reactive protein, and C-reactive protein-to-albumin and neutrophil-to-lymphocyte ratios, not always as independent predictors. Intraoperatively, dense adhesions, distorted anatomy, and failure to achieve the critical view of safety stood out. The association with lesser surgeon experience was inconsistent. Predictive scores, mostly designed for difficult cholecystectomy, showed areas under the curve of 0.75 to 0.93, with limited external validation. </w:t>
      </w:r>
      <w:r>
        <w:rPr>
          <w:b/>
        </w:rPr>
        <w:t xml:space="preserve">Conclusion:</w:t>
      </w:r>
      <w:r>
        <w:t xml:space="preserve"> The predominantly observational evidence suggests that conversion results from the interaction between inflammation, adverse anatomy, and technical difficulty.</w:t>
      </w:r>
    </w:p>
    <w:p>
      <w:pPr>
        <w:pStyle w:val="PalavrasChave"/>
      </w:pPr>
      <w:r>
        <w:rPr>
          <w:b/>
        </w:rPr>
        <w:t xml:space="preserve">Keywords:</w:t>
      </w:r>
      <w:r>
        <w:t xml:space="preserve"> Laparoscopic cholecystectomy; Conversion; Open surgery; Predictive factors; Risk factors; Adult.</w:t>
      </w:r>
    </w:p>
    <w:p>
      <w:pPr>
        <w:pStyle w:val="Resumo"/>
      </w:pPr>
      <w:r>
        <w:rPr>
          <w:b/>
        </w:rPr>
        <w:t xml:space="preserve">RESUMEN:</w:t>
      </w:r>
      <w:r>
        <w:t xml:space="preserve"> </w:t>
      </w:r>
      <w:r>
        <w:rPr>
          <w:b/>
        </w:rPr>
        <w:t xml:space="preserve">Objetivo:</w:t>
      </w:r>
      <w:r>
        <w:t xml:space="preserve"> Identificar y sintetizar los factores preoperatorios e intraoperatorios asociados a la conversión de la colecistectomía laparoscópica a cirugía abierta en adultos. </w:t>
      </w:r>
      <w:r>
        <w:rPr>
          <w:b/>
        </w:rPr>
        <w:t xml:space="preserve">Métodos:</w:t>
      </w:r>
      <w:r>
        <w:t xml:space="preserve"> Revisión integrativa de la literatura con búsqueda realizada el 25 de septiembre de 2026 en las bases PubMed/MEDLINE, SciELO y LILACS, que abarcó publicaciones de 2021 a 2026 en portugués, inglés y español. Se identificaron 309 registros, 301 seleccionados y 60 estudios incluidos. En cuanto al diseño metodológico, se observaron 28 cohortes retrospectivas, 14 cohortes prospectivas, 12 estudios transversales, tres estudios de casos y controles, dos series de casos y otro diseño. </w:t>
      </w:r>
      <w:r>
        <w:rPr>
          <w:b/>
        </w:rPr>
        <w:t xml:space="preserve">Resultados:</w:t>
      </w:r>
      <w:r>
        <w:t xml:space="preserve"> El sexo masculino, la edad avanzada y la cirugía abdominal previa se asociaron frecuentemente con la conversión, aunque con resultados divergentes. También se asociaron obesidad grado III, diabetes mellitus tipo 2, colangiopancreatografía retrógrada endoscópica previa, intervalo síntoma-cirugía mayor de 72 horas, mayor gravedad de colecistitis aguda, engrosamiento parietal vesicular, líquido pericolecístico, vesícula contraída, proteína C reactiva elevada y razones proteína C reactiva-albúmina y neutrófilo-linfocito, no siempre como predictores independientes. En el intraoperatorio, destacaron adherencias densas, anatomía distorsionada y falla en lograr la visión crítica de seguridad. La menor experiencia del cirujano tuvo asociación inconsistente. Las escalas predictivas mostraron un área bajo la curva de 0,75 a 0,93, con validación externa limitada. </w:t>
      </w:r>
      <w:r>
        <w:rPr>
          <w:b/>
        </w:rPr>
        <w:t xml:space="preserve">Conclusión:</w:t>
      </w:r>
      <w:r>
        <w:t xml:space="preserve"> La evidencia, predominantemente observacional, sugiere que la conversión resulta de la interacción entre inflamación, anatomía adversa y dificultad técnica.</w:t>
      </w:r>
    </w:p>
    <w:p>
      <w:pPr>
        <w:pStyle w:val="PalavrasChave"/>
      </w:pPr>
      <w:r>
        <w:rPr>
          <w:b/>
        </w:rPr>
        <w:t xml:space="preserve">Palabras clave:</w:t>
      </w:r>
      <w:r>
        <w:t xml:space="preserve"> Colecistectomía laparoscópica; Conversión; Cirugía abierta; Factores predictores; Factores de riesgo; Adulto.</w:t>
      </w:r>
    </w:p>
    <w:p>
      <w:pPr>
        <w:pStyle w:val="Titulo1"/>
      </w:pPr>
      <w:r>
        <w:t xml:space="preserve">1 Introdução</w:t>
      </w:r>
    </w:p>
    <w:p>
      <w:pPr>
        <w:pStyle w:val="Normal"/>
      </w:pPr>
      <w:r>
        <w:t xml:space="preserve">A colecistectomia videolaparoscópica firmou-se como padrão-ouro no tratamento da doença litiásica vesicular, com benefícios bem estabelecidos: menor dor pós-operatória, estada hospitalar reduzida e recuperação mais rápida. A conversão para cirurgia aberta, contudo, mantém relevância clínica, com taxas que oscilam entre as séries publicadas: 2,2% em série institucional de 317 pacientes [1], 4,54% em hospital terciário mexicano [2], 9,6% em estudo transversal retrospectivo [3], 2,62% em ampla série saudita [4], 4,2% em procedimentos eletivos [5] e 16,89% nas colecistectomias para colecistite aguda [6]. Em obesos com colecistite aguda operados em caráter não eletivo, a conversão associou-se a maior necessidade de transfusão (</w:t>
      </w:r>
      <w:r>
        <w:rPr>
          <w:i/>
        </w:rPr>
        <w:t xml:space="preserve">odds ratio</w:t>
      </w:r>
      <w:r>
        <w:t xml:space="preserve"> ajustado [AOR] 3,27), complicações respiratórias (AOR 1,36), incremento de custos (β +US$ 719) e prolongamento da internação (β +2,20 dias) [7]. Nesse mesmo subgrupo, a obesidade grau III mostrou-se preditor independente de conversão frente aos graus I–II (AOR 1,45) [7]. Identificar precocemente pacientes com maior propensão a esse desfecho impõe-se, assim, como requisito para planejamento cirúrgico adequado, alocação de recursos e consentimento informado.</w:t>
      </w:r>
    </w:p>
    <w:p>
      <w:pPr>
        <w:pStyle w:val="Normal"/>
      </w:pPr>
      <w:r>
        <w:t xml:space="preserve">A literatura recente reúne multiplicidade de fatores preditores — demográficos, clínicos, laboratoriais, radiológicos e intraoperatórios. Estudos observacionais, entre eles um caso-controle [8], situam o sexo masculino [5,8-10] e a idade avançada [5,8-10] entre os preditores pré-operatórios de conversão mais frequentemente relatados, embora com cortes etários diversos (&gt;60 anos em [9], &gt;65 anos em [5] e variável contínua em [10]); o sexo masculino também se vinculou à colecistectomia laparoscópica difícil [11]. Achados discordantes existem: um estudo apontou o sexo feminino como fator de risco [3] e outro não detectou diferença de idade e sexo entre convertidos e não convertidos [12]. Comorbidades como diabetes mellitus tipo 2 [10] e obesidade grau III [7] emergem como fatores de risco independentes — esta última com razão de chances ajustada de 1,45 frente à obesidade graus I–II em colecistite aguda [7]. Cirurgia abdominal prévia associou-se à conversão em algumas séries [5,13], sobretudo após procedimentos de abdome superior [5,9], e à colecistectomia difícil [11], embora outros trabalhos não tenham confirmado diferença na taxa de conversão [12,14]; antecedentes de colangiopancreatografia retrógrada endoscópica (CPRE) [5], inclusive com esfinterotomia [12], elevaram significativamente a conversão. Na colecistite aguda, o intervalo sintomas-intervenção superior a 72 horas correlaciona-se fortemente com maiores taxas de conversão [6,15], bem como a gravidade inflamatória pelas Diretrizes de Tóquio 2018 [16]. Em série de 102 pacientes com colecistite aguda, as duas conversões registradas (1,96% do total) ocorreram no grupo operado após o sétimo dia [17].</w:t>
      </w:r>
    </w:p>
    <w:p>
      <w:pPr>
        <w:pStyle w:val="Normal"/>
      </w:pPr>
      <w:r>
        <w:t xml:space="preserve">Achados ultrassonográficos e laboratoriais adensam a estratificação de risco. Espessamento da parede vesicular associa-se significativamente à conversão [18-24], com pontos de corte que variam de &gt;2 mm a &gt;7 mm entre os estudos que os definiram [19,20,22,24], assim como a presença de líquido perivesicular [22]; hidropsia e edema perivesicular vincularam-se à colecistectomia difícil [11]. Marcadores inflamatórios sistêmicos — proteína C-reativa (PCR) elevada, razão neutrófilo-linfócito (RNL) e razão PCR-albumina — associaram-se à conversão e a complicações em alguns trabalhos [15,24-27], com a PCR exibindo área sob a curva </w:t>
      </w:r>
      <w:r>
        <w:rPr>
          <w:i/>
        </w:rPr>
        <w:t xml:space="preserve">receiver operating characteristic</w:t>
      </w:r>
      <w:r>
        <w:t xml:space="preserve"> (ROC) de 0,964 para conversão em colecistite aguda em estudo dedicado [26]; o índice de carga inflamatória, a RNL e a razão PCR-albumina, por sua vez, previram maior dificuldade operatória pela escala de Parkland [28]. Outro estudo, contudo, não confirmou valor preditivo independente dos parâmetros hematológicos e razões derivadas em regressão logística [29]. Coledocolitíase figura entre as causas de conversão, ainda que com menor frequência (n=2) frente à colecistite aguda (n=29) em uma série [30]. Intraoperatoriamente, a incapacidade de obter a visão crítica de segurança [13], a má visualização do triângulo de Calot [13], aderências firmes nesse triângulo [1,30], aderências pericolecísticas densas [13], maior grau de aderências vesiculares [31], lesão de via biliar [3] e fístula colecistoentérica [13] despontam como causas ou fatores associados à conversão; a menor experiência do cirurgião também se vinculou à conversão [3,16,18,32], embora não confirmada em série de 4.013 colecistectomias eletivas [5].</w:t>
      </w:r>
    </w:p>
    <w:p>
      <w:pPr>
        <w:pStyle w:val="Normal"/>
      </w:pPr>
      <w:r>
        <w:t xml:space="preserve">Apesar do volume expressivo de evidências, persistem heterogeneidade nas definições de "colecistectomia difícil", disparidade nos pontos de corte dos preditores contínuos, variabilidade nas populações estudadas — eletivas versus urgência, pós-drenagem percutânea, pós-CPRE — e divergências quanto ao peso relativo de cada fator em modelos multivariados. Grande parte da produção origina-se de centros únicos, com tamanhos amostrais díspares e delineamentos predominantemente retrospectivos, o que restringe a generalização e a aplicação clínica direta dos escores preditivos propostos.</w:t>
      </w:r>
    </w:p>
    <w:p>
      <w:pPr>
        <w:pStyle w:val="Normal"/>
      </w:pPr>
      <w:r>
        <w:t xml:space="preserve">Diante do exposto, o objetivo deste estudo foi realizar uma revisão integrativa da literatura para identificar e sintetizar os fatores pré-operatórios e intraoperatórios associados à conversão da colecistectomia videolaparoscópica para cirurgia aberta em adultos, consolidando a melhor evidência disponível para subsidiar a tomada de decisão clínica e o planejamento cirúrgico seguro.</w:t>
      </w:r>
    </w:p>
    <w:p>
      <w:pPr>
        <w:pStyle w:val="Titulo1"/>
      </w:pPr>
      <w:r>
        <w:t xml:space="preserve">2 Métodos</w:t>
      </w:r>
    </w:p>
    <w:p>
      <w:pPr>
        <w:pStyle w:val="Titulo2"/>
      </w:pPr>
      <w:r>
        <w:t xml:space="preserve">2.1 Tipo de estudo e pergunta norteadora</w:t>
      </w:r>
    </w:p>
    <w:p>
      <w:pPr>
        <w:pStyle w:val="Normal"/>
      </w:pPr>
      <w:r>
        <w:t xml:space="preserve">Trata-se de uma revisão integrativa da literatura, relatada com base nos itens aplicáveis da declaração PRISMA 2020 [33]. A pergunta norteadora foi estruturada pelo acrônimo PICoS, considerando como população (P) Adultos submetidos à colecistectomia videolaparoscópica eletiva ou de urgência; como fenômeno de interesse (I) Fatores pré-operatórios (demográficos, clínicos, laboratoriais, imagiológicos) e intraoperatórios (encontrados cirúrgicos, dificuldades técnicas, eventos adversos); como contexto (Co) Serviços de cirurgia geral em ambiente hospitalar; e como tipos de estudo (S) Estudos primários observacionais (coorte, caso-controle, transversal) e ensaios clínicos. Assim, formulou-se a seguinte questão: Quais fatores pré-operatórios e intraoperatórios estão associados à conversão da colecistectomia videolaparoscópica para cirurgia aberta em adultos?</w:t>
      </w:r>
    </w:p>
    <w:p>
      <w:pPr>
        <w:pStyle w:val="Titulo2"/>
      </w:pPr>
      <w:r>
        <w:t xml:space="preserve">2.2 Bases de dados e data da busca</w:t>
      </w:r>
    </w:p>
    <w:p>
      <w:pPr>
        <w:pStyle w:val="Normal"/>
      </w:pPr>
      <w:r>
        <w:t xml:space="preserve">A busca foi realizada nas bases PubMed/MEDLINE, SciELO e LILACS. O PubMed/MEDLINE foi consultado por meio da interface de programação oficial E-utilities do National Center for Biotechnology Information (NCBI); o SciELO, por meio do portal de busca integrado da rede (search.scielo.org); e o LILACS, por meio do Portal Regional da Biblioteca Virtual em Saúde (pesquisa.bvsalud.org). A busca final foi executada em 25 de setembro de 2026. A data é informada porque as bases são atualizadas continuamente, de modo que buscas posteriores com as mesmas estratégias podem retornar números ligeiramente diferentes.</w:t>
      </w:r>
    </w:p>
    <w:p>
      <w:pPr>
        <w:pStyle w:val="Titulo2"/>
      </w:pPr>
      <w:r>
        <w:t xml:space="preserve">2.3 Descritores e estratégias de busca</w:t>
      </w:r>
    </w:p>
    <w:p>
      <w:pPr>
        <w:pStyle w:val="Normal"/>
      </w:pPr>
      <w:r>
        <w:t xml:space="preserve">Foram utilizados descritores controlados do Medical Subject Headings (MeSH) — "Cholecystectomy, Laparoscopic", "Conversion to Open Surgery", "Risk Factors" — e dos Descritores em Ciências da Saúde (DeCS) — "Colecistectomia Videolaparoscópica", "Fatores de Risco" —, combinados a sinônimos e palavras-chave por meio dos operadores booleanos AND e OR. As estratégias exatas, os filtros aplicados e o número de registros recuperados em cada base estão apresentados no Quadro 1.</w:t>
      </w:r>
    </w:p>
    <w:p>
      <w:pPr>
        <w:pStyle w:val="Legenda"/>
      </w:pPr>
      <w:r>
        <w:rPr>
          <w:b/>
        </w:rPr>
        <w:t xml:space="preserve">Quadro 1 –</w:t>
      </w:r>
      <w:r>
        <w:t xml:space="preserve"> Estratégias de busca, filtros aplicados e registros identificados por base de dados</w:t>
      </w:r>
    </w:p>
    <w:tbl>
      <w:tblPr>
        <w:tblW w:w="9071"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1510"/>
        <w:gridCol w:w="3950"/>
        <w:gridCol w:w="2521"/>
        <w:gridCol w:w="1089"/>
      </w:tblGrid>
      <w:tr>
        <w:trPr>
          <w:cantSplit/>
          <w:tblHeader/>
        </w:trPr>
        <w:tc>
          <w:tcPr>
            <w:tcW w:w="1510" w:type="dxa"/>
          </w:tcPr>
          <w:p>
            <w:pPr>
              <w:pStyle w:val="TabelaCabecalho"/>
            </w:pPr>
            <w:r>
              <w:t xml:space="preserve">Base</w:t>
            </w:r>
          </w:p>
        </w:tc>
        <w:tc>
          <w:tcPr>
            <w:tcW w:w="3950" w:type="dxa"/>
          </w:tcPr>
          <w:p>
            <w:pPr>
              <w:pStyle w:val="TabelaCabecalho"/>
            </w:pPr>
            <w:r>
              <w:t xml:space="preserve">Estratégia de busca</w:t>
            </w:r>
          </w:p>
        </w:tc>
        <w:tc>
          <w:tcPr>
            <w:tcW w:w="2521" w:type="dxa"/>
          </w:tcPr>
          <w:p>
            <w:pPr>
              <w:pStyle w:val="TabelaCabecalho"/>
            </w:pPr>
            <w:r>
              <w:t xml:space="preserve">Filtros aplicados</w:t>
            </w:r>
          </w:p>
        </w:tc>
        <w:tc>
          <w:tcPr>
            <w:tcW w:w="1089" w:type="dxa"/>
          </w:tcPr>
          <w:p>
            <w:pPr>
              <w:pStyle w:val="TabelaCabecalho"/>
            </w:pPr>
            <w:r>
              <w:t xml:space="preserve">Registros (n)</w:t>
            </w:r>
          </w:p>
        </w:tc>
      </w:tr>
      <w:tr>
        <w:trPr>
          <w:cantSplit/>
        </w:trPr>
        <w:tc>
          <w:tcPr>
            <w:tcW w:w="1510" w:type="dxa"/>
          </w:tcPr>
          <w:p>
            <w:pPr>
              <w:pStyle w:val="TabelaTexto"/>
            </w:pPr>
            <w:r>
              <w:t xml:space="preserve">PubMed/MEDLINE</w:t>
            </w:r>
          </w:p>
        </w:tc>
        <w:tc>
          <w:tcPr>
            <w:tcW w:w="3950" w:type="dxa"/>
          </w:tcPr>
          <w:p>
            <w:pPr>
              <w:pStyle w:val="TabelaTexto"/>
            </w:pPr>
            <w:r>
              <w:t xml:space="preserve">(("Cholecystectomy, Laparoscopic"[MeSH Terms] OR "laparoscopic cholecystectomy"[tiab] OR "lap chole"[tiab]) AND ("Conversion to Open Surgery"[MeSH Terms] OR conversion[tiab] OR converted[tiab] OR "open surgery"[tiab] OR laparotomy[tiab]) AND ("Risk Factors"[MeSH Terms] OR "Predictive Factors"[MeSH Terms] OR predictor*[tiab] OR "risk factor*"[tiab] OR preoperative[tiab] OR intraoperative[tiab] OR "pre-operative"[tiab] OR "intra-operative"[tiab] OR "gallbladder wall thickness"[tiab] OR "pericholecystic fluid"[tiab] OR adhesions[tiab] OR "Calot's triangle"[tiab] OR "bile duct injury"[tiab] OR hemorrhage[tiab])) AND ("2021/01/01"[dp]: "3000"[dp]) AND (portuguese[la] OR english[la] OR spanish[la]) AND "free full text"[Filter] NOT (review[pt] OR "systematic review"[pt] OR "meta-analysis"[pt] OR editorial[pt] OR letter[pt] OR comment[pt] OR "practice guideline"[pt] OR "case reports"[pt])</w:t>
            </w:r>
          </w:p>
        </w:tc>
        <w:tc>
          <w:tcPr>
            <w:tcW w:w="2521" w:type="dxa"/>
          </w:tcPr>
          <w:p>
            <w:pPr>
              <w:pStyle w:val="TabelaTexto"/>
            </w:pPr>
            <w:r>
              <w:t xml:space="preserve">Descritos na própria estratégia (período, idiomas, texto completo gratuito e tipos de publicação excluídos).</w:t>
            </w:r>
          </w:p>
        </w:tc>
        <w:tc>
          <w:tcPr>
            <w:tcW w:w="1089" w:type="dxa"/>
          </w:tcPr>
          <w:p>
            <w:pPr>
              <w:pStyle w:val="TabelaTexto"/>
            </w:pPr>
            <w:r>
              <w:t xml:space="preserve">284</w:t>
            </w:r>
          </w:p>
        </w:tc>
      </w:tr>
      <w:tr>
        <w:trPr>
          <w:cantSplit/>
        </w:trPr>
        <w:tc>
          <w:tcPr>
            <w:tcW w:w="1510" w:type="dxa"/>
          </w:tcPr>
          <w:p>
            <w:pPr>
              <w:pStyle w:val="TabelaTexto"/>
            </w:pPr>
            <w:r>
              <w:t xml:space="preserve">SciELO</w:t>
            </w:r>
          </w:p>
        </w:tc>
        <w:tc>
          <w:tcPr>
            <w:tcW w:w="3950" w:type="dxa"/>
          </w:tcPr>
          <w:p>
            <w:pPr>
              <w:pStyle w:val="TabelaTexto"/>
            </w:pPr>
            <w:r>
              <w:t xml:space="preserve">((colecistectomia OR cholecystectomy OR colecistectomía) AND (laparoscópica OR laparoscopica OR laparoscopic OR laparoscópico OR laparoscopia OR laparoscopía)) AND (conversão OR conversao OR conversion OR conversión OR "conversão de cirurgia laparoscópica" OR "conversion to open surgery" OR "conversión a cirugía abierta") AND ("fatores de risco" OR "factores de riesgo" OR "risk factors" OR prognóstico OR prognostico OR prognosis OR preditores OR predictores OR predictors OR preoperatório OR preoperatorio OR preoperative OR intraoperatório OR intraoperatorio OR intraoperative)</w:t>
            </w:r>
          </w:p>
        </w:tc>
        <w:tc>
          <w:tcPr>
            <w:tcW w:w="2521" w:type="dxa"/>
          </w:tcPr>
          <w:p>
            <w:pPr>
              <w:pStyle w:val="TabelaTexto"/>
            </w:pPr>
            <w:r>
              <w:t xml:space="preserve">Ano de publicação: 2021 a 2026; idiomas: pt, en, es. Todos os artigos da rede SciELO são de acesso aberto.</w:t>
            </w:r>
          </w:p>
        </w:tc>
        <w:tc>
          <w:tcPr>
            <w:tcW w:w="1089" w:type="dxa"/>
          </w:tcPr>
          <w:p>
            <w:pPr>
              <w:pStyle w:val="TabelaTexto"/>
            </w:pPr>
            <w:r>
              <w:t xml:space="preserve">11</w:t>
            </w:r>
          </w:p>
        </w:tc>
      </w:tr>
      <w:tr>
        <w:trPr>
          <w:cantSplit/>
        </w:trPr>
        <w:tc>
          <w:tcPr>
            <w:tcW w:w="1510" w:type="dxa"/>
          </w:tcPr>
          <w:p>
            <w:pPr>
              <w:pStyle w:val="TabelaTexto"/>
            </w:pPr>
            <w:r>
              <w:t xml:space="preserve">LILACS</w:t>
            </w:r>
          </w:p>
        </w:tc>
        <w:tc>
          <w:tcPr>
            <w:tcW w:w="3950" w:type="dxa"/>
          </w:tcPr>
          <w:p>
            <w:pPr>
              <w:pStyle w:val="TabelaTexto"/>
            </w:pPr>
            <w:r>
              <w:t xml:space="preserve">(colecistectomia laparoscópica OR colecistectomia videolaparoscópica OR laparoscopic cholecystectomy OR colecistectomía laparoscópica) AND (conversão OR conversion OR conversión OR cirurgia aberta OR open surgery OR cirugía abierta)</w:t>
            </w:r>
          </w:p>
        </w:tc>
        <w:tc>
          <w:tcPr>
            <w:tcW w:w="2521" w:type="dxa"/>
          </w:tcPr>
          <w:p>
            <w:pPr>
              <w:pStyle w:val="TabelaTexto"/>
            </w:pPr>
            <w:r>
              <w:t xml:space="preserve">Base de dados: LILACS; ano de publicação: 2021 a 2026; idiomas: pt, en, es; texto completo disponível.</w:t>
            </w:r>
          </w:p>
        </w:tc>
        <w:tc>
          <w:tcPr>
            <w:tcW w:w="1089" w:type="dxa"/>
          </w:tcPr>
          <w:p>
            <w:pPr>
              <w:pStyle w:val="TabelaTexto"/>
            </w:pPr>
            <w:r>
              <w:t xml:space="preserve">14</w:t>
            </w:r>
          </w:p>
        </w:tc>
      </w:tr>
    </w:tbl>
    <w:p>
      <w:pPr>
        <w:pStyle w:val="Fonte"/>
      </w:pPr>
      <w:r>
        <w:t xml:space="preserve">Fonte: Elaborado pelos autores (2026).</w:t>
      </w:r>
    </w:p>
    <w:p>
      <w:pPr>
        <w:pStyle w:val="Fonte"/>
        <w:spacing w:after="240"/>
      </w:pPr>
      <w:r>
        <w:t xml:space="preserve">Nota: busca realizada em 25 de setembro de 2026. No PubMed, os filtros de período, idioma, texto completo gratuito e tipo de publicação estão escritos na própria estratégia.</w:t>
      </w:r>
    </w:p>
    <w:p>
      <w:pPr>
        <w:pStyle w:val="Titulo2"/>
      </w:pPr>
      <w:r>
        <w:t xml:space="preserve">2.4 Critérios de elegibilidade</w:t>
      </w:r>
    </w:p>
    <w:p>
      <w:pPr>
        <w:pStyle w:val="Normal"/>
      </w:pPr>
      <w:r>
        <w:t xml:space="preserve">Foram incluídos estudos primários, observacionais ou de intervenção, publicados entre 2021 e 2026, nos idiomas português, inglês e espanhol, com texto completo disponível gratuitamente, que abordassem diretamente a pergunta norteadora (Estudos primários que avaliaram fatores pré-operatórios e/ou intraoperatórios associados à conversão de colecistectomia videolaparoscópica para cirurgia aberta em população adulta). Foram excluídos revisões de literatura (narrativas, integrativas, sistemáticas e metanálises), editoriais, cartas, comentários, diretrizes, resumos de congresso, relatos de caso, publicações retratadas, registros sem resumo disponível e estudos sem dados de desfecho relacionados ao tema (Estudos que não discriminaram fatores preditores independentes, relatos de caso, séries de casos com menos de 10 pacientes, estudos exclusivamente pediátricos, revisões sistemáticas, meta-análises, cartas ao editor, comentários e estudos em idiomas diferentes do português, inglês ou espanhol).</w:t>
      </w:r>
    </w:p>
    <w:p>
      <w:pPr>
        <w:pStyle w:val="Titulo2"/>
      </w:pPr>
      <w:r>
        <w:t xml:space="preserve">2.5 Seleção dos estudos e extração dos dados</w:t>
      </w:r>
    </w:p>
    <w:p>
      <w:pPr>
        <w:pStyle w:val="Normal"/>
      </w:pPr>
      <w:r>
        <w:t xml:space="preserve">Os registros recuperados foram reunidos e as duplicatas foram removidas por identificador (DOI e PMID) e por similaridade de título. A seleção foi conduzida pelos pesquisadores mediante triagem criteriosa de títulos e resumos, aplicando-se os critérios de elegibilidade a cada registro e documentando-se o motivo de cada exclusão. Os dados dos estudos incluídos (autoria, ano, país, delineamento, amostra, variáveis e principais achados) foram minuciosamente extraídos pelos autores para formulário padronizado, com conferência integral de todos os valores numéricos diretamente nas fontes de origem. Os 11 registros das bases regionais (SciELO e LILACS) excluídos na primeira triagem por não abordarem o tema, a população ou o desfecho passaram por segunda avaliação independente, que resultou na reinclusão de 4 registros. Por viabilidade de síntese, a inclusão foi limitada a 60 estudos: priorizaram-se os estudos das bases regionais e, em seguida, os de maior relevância para a pergunta, delineamento mais robusto e publicação mais recente, de modo que 55 estudos elegíveis de menor prioridade não foram incluídos.</w:t>
      </w:r>
    </w:p>
    <w:p>
      <w:pPr>
        <w:pStyle w:val="Titulo2"/>
      </w:pPr>
      <w:r>
        <w:t xml:space="preserve">2.6 Verificação da autenticidade das referências</w:t>
      </w:r>
    </w:p>
    <w:p>
      <w:pPr>
        <w:pStyle w:val="Normal"/>
      </w:pPr>
      <w:r>
        <w:t xml:space="preserve">Antes da síntese, cada estudo elegível teve sua existência e seus metadados conferidos de forma independente na fonte original: no PubMed, por nova consulta ao registro pelo PMID, com verificação do status de retratação; no SciELO, por consulta à interface ArticleMeta e abertura da página do artigo; e no LILACS, por abertura da página do registro no Portal Regional da BVS. Quando disponível, o DOI foi conferido na base Crossref, incluindo avisos de retratação. Foram excluídos os registros cuja existência, título ou status não puderam ser confirmados.</w:t>
      </w:r>
    </w:p>
    <w:p>
      <w:pPr>
        <w:pStyle w:val="Titulo2"/>
      </w:pPr>
      <w:r>
        <w:t xml:space="preserve">2.7 Avaliação da qualidade metodológica</w:t>
      </w:r>
    </w:p>
    <w:p>
      <w:pPr>
        <w:pStyle w:val="Normal"/>
      </w:pPr>
      <w:r>
        <w:t xml:space="preserve">Os estudos incluídos foram caracterizados segundo o delineamento, conforme apresentado na Tabela 1 e sintetizado na seção de resultados.</w:t>
      </w:r>
    </w:p>
    <w:p>
      <w:pPr>
        <w:pStyle w:val="Titulo2"/>
      </w:pPr>
      <w:r>
        <w:t xml:space="preserve">2.8 Síntese dos dados</w:t>
      </w:r>
    </w:p>
    <w:p>
      <w:pPr>
        <w:pStyle w:val="Normal"/>
      </w:pPr>
      <w:r>
        <w:t xml:space="preserve">Os achados foram sintetizados de forma descritiva e temática, organizados nos seguintes eixos: Fatores demográficos e clínicos pré-operatórios (idade, sexo, índice de massa corporal [IMC], comorbidades, cirurgias abdominais prévias); Fatores laboratoriais e de imagem pré-operatórios (leucocitose, PCR, bilirrubinas, espessura da parede vesicular, líquido perivesicular, litíase de colédoco); Fatores intraoperatórios e anatômicos (aderências, anatomia do triângulo de Calot, sangramento, lesão de via biliar, inflamação aguda); Escores preditivos e modelos de risco validados; Desfechos pós-operatórios associados à conversão (tempo de internação, complicações, mortalidade, custo), com cada estudo alocado ao eixo predominante (Tabela 2). Em razão da heterogeneidade de delineamentos e desfechos, não se realizou metanálise.</w:t>
      </w:r>
    </w:p>
    <w:p>
      <w:pPr>
        <w:pStyle w:val="Titulo1"/>
      </w:pPr>
      <w:r>
        <w:t xml:space="preserve">3 Resultados</w:t>
      </w:r>
    </w:p>
    <w:p>
      <w:pPr>
        <w:pStyle w:val="Titulo2"/>
      </w:pPr>
      <w:r>
        <w:t xml:space="preserve">3.1 Seleção dos estudos</w:t>
      </w:r>
    </w:p>
    <w:p>
      <w:pPr>
        <w:pStyle w:val="Normal"/>
      </w:pPr>
      <w:r>
        <w:t xml:space="preserve">A busca nas bases de dados resultou em 309 registros (PubMed/MEDLINE: 284; SciELO: 11; LILACS: 14). Após a remoção de duplicados (7) e publicações retratadas (1), 301 registros foram triados por título e resumo, e 186 foram excluídos: fora do tema (146), estudo não primário (11), população inadequada (10), sem dados de desfecho (10) e relato de caso (9). Na segunda avaliação dos 11 registros regionais excluídos, 4 foram reincluídos. Dos 115 registros elegíveis, 55 de menor relevância para a pergunta não foram incluídos, por viabilidade de síntese. Os 60 registros restantes tiveram existência e metadados verificados na fonte original, sem exclusões nessa etapa. Ao final, 60 estudos foram incluídos nesta revisão (Figura 1).</w:t>
      </w:r>
    </w:p>
    <w:p>
      <w:pPr>
        <w:pStyle w:val="Legenda"/>
      </w:pPr>
      <w:r>
        <w:rPr>
          <w:b/>
        </w:rPr>
        <w:t xml:space="preserve">Figura 1 –</w:t>
      </w:r>
      <w:r>
        <w:t xml:space="preserve"> Fluxograma de identificação, triagem e inclusão dos estudos, segundo a declaração PRISMA 2020</w:t>
      </w:r>
    </w:p>
    <w:p>
      <w:pPr>
        <w:pStyle w:val="Figura"/>
      </w:pPr>
      <w:r>
        <w:drawing>
          <wp:inline distT="0" distB="0" distL="0" distR="0">
            <wp:extent cx="5760085" cy="5509899"/>
            <wp:docPr id="1" name="Figura 1"/>
            <a:graphic xmlns:a="http://schemas.openxmlformats.org/drawingml/2006/main">
              <a:graphicData uri="http://schemas.openxmlformats.org/drawingml/2006/picture">
                <pic:pic xmlns:pic="http://schemas.openxmlformats.org/drawingml/2006/picture">
                  <pic:nvPicPr>
                    <pic:cNvPr id="1" name="fluxograma-prisma.png"/>
                    <pic:cNvPicPr/>
                  </pic:nvPicPr>
                  <pic:blipFill>
                    <a:blip r:embed="rIdImg1"/>
                    <a:stretch>
                      <a:fillRect/>
                    </a:stretch>
                  </pic:blipFill>
                  <pic:spPr>
                    <a:xfrm>
                      <a:off x="0" y="0"/>
                      <a:ext cx="5760085" cy="5509899"/>
                    </a:xfrm>
                    <a:prstGeom prst="rect">
                      <a:avLst/>
                    </a:prstGeom>
                  </pic:spPr>
                </pic:pic>
              </a:graphicData>
            </a:graphic>
          </wp:inline>
        </w:drawing>
      </w:r>
    </w:p>
    <w:p>
      <w:pPr>
        <w:pStyle w:val="Fonte"/>
        <w:spacing w:after="240"/>
      </w:pPr>
      <w:r>
        <w:t xml:space="preserve">Fonte: Adaptado de Page et al. [33].</w:t>
      </w:r>
    </w:p>
    <w:p>
      <w:pPr>
        <w:pStyle w:val="Titulo2"/>
      </w:pPr>
      <w:r>
        <w:t xml:space="preserve">3.2 Caracterização dos estudos incluídos</w:t>
      </w:r>
    </w:p>
    <w:p>
      <w:pPr>
        <w:sectPr>
          <w:headerReference w:type="default" r:id="rIdCabecalho"/>
          <w:pgSz w:w="11906" w:h="16838"/>
          <w:pgMar w:top="1701" w:right="1134" w:bottom="1134" w:left="1701" w:header="709" w:footer="709" w:gutter="0"/>
          <w:titlePg/>
        </w:sectPr>
      </w:pPr>
    </w:p>
    <w:p>
      <w:pPr>
        <w:pStyle w:val="Legenda"/>
      </w:pPr>
      <w:r>
        <w:rPr>
          <w:b/>
        </w:rPr>
        <w:t xml:space="preserve">Tabela 1 –</w:t>
      </w:r>
      <w:r>
        <w:t xml:space="preserve"> Caracterização dos 60 estudos incluídos, segundo autoria, país, delineamento, variáveis e principais achados</w:t>
      </w:r>
    </w:p>
    <w:tbl>
      <w:tblPr>
        <w:tblW w:w="14003" w:type="dxa"/>
        <w:tblLayout w:type="fixed"/>
        <w:tblBorders>
          <w:top w:val="single" w:sz="8" w:space="0" w:color="000000"/>
          <w:left w:val="nil"/>
          <w:bottom w:val="single" w:sz="8" w:space="0" w:color="000000"/>
          <w:right w:val="nil"/>
          <w:insideH w:val="nil"/>
          <w:insideV w:val="nil"/>
        </w:tblBorders>
        <w:tblCellMar>
          <w:left w:w="70" w:type="dxa"/>
          <w:right w:w="70" w:type="dxa"/>
        </w:tblCellMar>
      </w:tblPr>
      <w:tblGrid>
        <w:gridCol w:w="1605"/>
        <w:gridCol w:w="1130"/>
        <w:gridCol w:w="2497"/>
        <w:gridCol w:w="2691"/>
        <w:gridCol w:w="2195"/>
        <w:gridCol w:w="3885"/>
      </w:tblGrid>
      <w:tr>
        <w:trPr>
          <w:cantSplit/>
          <w:tblHeader/>
        </w:trPr>
        <w:tc>
          <w:tcPr>
            <w:tcW w:w="1605" w:type="dxa"/>
            <w:tcBorders>
              <w:bottom w:val="single" w:sz="6" w:space="0" w:color="000000"/>
            </w:tcBorders>
          </w:tcPr>
          <w:p>
            <w:pPr>
              <w:pStyle w:val="TabelaCabecalho"/>
            </w:pPr>
            <w:r>
              <w:t xml:space="preserve">Autor/Ano</w:t>
            </w:r>
          </w:p>
        </w:tc>
        <w:tc>
          <w:tcPr>
            <w:tcW w:w="1130" w:type="dxa"/>
            <w:tcBorders>
              <w:bottom w:val="single" w:sz="6" w:space="0" w:color="000000"/>
            </w:tcBorders>
          </w:tcPr>
          <w:p>
            <w:pPr>
              <w:pStyle w:val="TabelaCabecalho"/>
            </w:pPr>
            <w:r>
              <w:t xml:space="preserve">País</w:t>
            </w:r>
          </w:p>
        </w:tc>
        <w:tc>
          <w:tcPr>
            <w:tcW w:w="2497" w:type="dxa"/>
            <w:tcBorders>
              <w:bottom w:val="single" w:sz="6" w:space="0" w:color="000000"/>
            </w:tcBorders>
          </w:tcPr>
          <w:p>
            <w:pPr>
              <w:pStyle w:val="TabelaCabecalho"/>
            </w:pPr>
            <w:r>
              <w:t xml:space="preserve">Delineamento/Amostra</w:t>
            </w:r>
          </w:p>
        </w:tc>
        <w:tc>
          <w:tcPr>
            <w:tcW w:w="2691" w:type="dxa"/>
            <w:tcBorders>
              <w:bottom w:val="single" w:sz="6" w:space="0" w:color="000000"/>
            </w:tcBorders>
          </w:tcPr>
          <w:p>
            <w:pPr>
              <w:pStyle w:val="TabelaCabecalho"/>
            </w:pPr>
            <w:r>
              <w:t xml:space="preserve">Fatores avaliados</w:t>
            </w:r>
          </w:p>
        </w:tc>
        <w:tc>
          <w:tcPr>
            <w:tcW w:w="2195" w:type="dxa"/>
            <w:tcBorders>
              <w:bottom w:val="single" w:sz="6" w:space="0" w:color="000000"/>
            </w:tcBorders>
          </w:tcPr>
          <w:p>
            <w:pPr>
              <w:pStyle w:val="TabelaCabecalho"/>
            </w:pPr>
            <w:r>
              <w:t xml:space="preserve">Desfecho(s) avaliado(s)</w:t>
            </w:r>
          </w:p>
        </w:tc>
        <w:tc>
          <w:tcPr>
            <w:tcW w:w="3885" w:type="dxa"/>
            <w:tcBorders>
              <w:bottom w:val="single" w:sz="6" w:space="0" w:color="000000"/>
            </w:tcBorders>
          </w:tcPr>
          <w:p>
            <w:pPr>
              <w:pStyle w:val="TabelaCabecalho"/>
            </w:pPr>
            <w:r>
              <w:t xml:space="preserve">Principais achados</w:t>
            </w:r>
          </w:p>
        </w:tc>
      </w:tr>
      <w:tr>
        <w:trPr>
          <w:cantSplit/>
        </w:trPr>
        <w:tc>
          <w:tcPr>
            <w:tcW w:w="1605" w:type="dxa"/>
          </w:tcPr>
          <w:p>
            <w:pPr>
              <w:pStyle w:val="TabelaTexto"/>
            </w:pPr>
            <w:r>
              <w:t xml:space="preserve">Asif et al., 2026 [20]</w:t>
            </w:r>
          </w:p>
        </w:tc>
        <w:tc>
          <w:tcPr>
            <w:tcW w:w="1130" w:type="dxa"/>
          </w:tcPr>
          <w:p>
            <w:pPr>
              <w:pStyle w:val="TabelaTexto"/>
            </w:pPr>
            <w:r>
              <w:t xml:space="preserve">Paquistão</w:t>
            </w:r>
          </w:p>
        </w:tc>
        <w:tc>
          <w:tcPr>
            <w:tcW w:w="2497" w:type="dxa"/>
          </w:tcPr>
          <w:p>
            <w:pPr>
              <w:pStyle w:val="TabelaTexto"/>
            </w:pPr>
            <w:r>
              <w:t xml:space="preserve">transversal; 116 adultos com colecistite aguda litiásica submetidos a CVL em até 96 horas do início dos sintomas</w:t>
            </w:r>
          </w:p>
        </w:tc>
        <w:tc>
          <w:tcPr>
            <w:tcW w:w="2691" w:type="dxa"/>
          </w:tcPr>
          <w:p>
            <w:pPr>
              <w:pStyle w:val="TabelaTexto"/>
            </w:pPr>
            <w:r>
              <w:t xml:space="preserve">Espessura da parede vesicular à ultrassonografia (normal, moderada, grave)</w:t>
            </w:r>
          </w:p>
        </w:tc>
        <w:tc>
          <w:tcPr>
            <w:tcW w:w="2195" w:type="dxa"/>
          </w:tcPr>
          <w:p>
            <w:pPr>
              <w:pStyle w:val="TabelaTexto"/>
            </w:pPr>
            <w:r>
              <w:t xml:space="preserve">Eventos adversos intraoperatórios, incluindo conversão para cirurgia aberta</w:t>
            </w:r>
          </w:p>
        </w:tc>
        <w:tc>
          <w:tcPr>
            <w:tcW w:w="3885" w:type="dxa"/>
          </w:tcPr>
          <w:p>
            <w:pPr>
              <w:pStyle w:val="TabelaTexto"/>
            </w:pPr>
            <w:r>
              <w:t xml:space="preserve">Espessamento grave (&gt;7 mm), presente em seis pacientes (5,2%), associou-se significativamente à conversão para cirurgia aberta, tempo operatório prolongado, aspiração da vesícula e drenagem sub-hepática (p &lt; 0,001).</w:t>
            </w:r>
          </w:p>
        </w:tc>
      </w:tr>
      <w:tr>
        <w:trPr>
          <w:cantSplit/>
        </w:trPr>
        <w:tc>
          <w:tcPr>
            <w:tcW w:w="1605" w:type="dxa"/>
          </w:tcPr>
          <w:p>
            <w:pPr>
              <w:pStyle w:val="TabelaTexto"/>
            </w:pPr>
            <w:r>
              <w:t xml:space="preserve">Baskent et al., 2026 [31]</w:t>
            </w:r>
          </w:p>
        </w:tc>
        <w:tc>
          <w:tcPr>
            <w:tcW w:w="1130" w:type="dxa"/>
          </w:tcPr>
          <w:p>
            <w:pPr>
              <w:pStyle w:val="TabelaTexto"/>
            </w:pPr>
            <w:r>
              <w:t xml:space="preserve">Turquia</w:t>
            </w:r>
          </w:p>
        </w:tc>
        <w:tc>
          <w:tcPr>
            <w:tcW w:w="2497" w:type="dxa"/>
          </w:tcPr>
          <w:p>
            <w:pPr>
              <w:pStyle w:val="TabelaTexto"/>
            </w:pPr>
            <w:r>
              <w:t xml:space="preserve">coorte retrospectiva; 798 pacientes submetidos a CVL eletiva por um único cirurgião</w:t>
            </w:r>
          </w:p>
        </w:tc>
        <w:tc>
          <w:tcPr>
            <w:tcW w:w="2691" w:type="dxa"/>
          </w:tcPr>
          <w:p>
            <w:pPr>
              <w:pStyle w:val="TabelaTexto"/>
            </w:pPr>
            <w:r>
              <w:t xml:space="preserve">Escore intraoperatório de aderências da vesícula (0 a 4)</w:t>
            </w:r>
          </w:p>
        </w:tc>
        <w:tc>
          <w:tcPr>
            <w:tcW w:w="2195" w:type="dxa"/>
          </w:tcPr>
          <w:p>
            <w:pPr>
              <w:pStyle w:val="TabelaTexto"/>
            </w:pPr>
            <w:r>
              <w:t xml:space="preserve">Conversão para cirurgia aberta, uso de dreno e complicações pós-operatórias</w:t>
            </w:r>
          </w:p>
        </w:tc>
        <w:tc>
          <w:tcPr>
            <w:tcW w:w="3885" w:type="dxa"/>
          </w:tcPr>
          <w:p>
            <w:pPr>
              <w:pStyle w:val="TabelaTexto"/>
            </w:pPr>
            <w:r>
              <w:t xml:space="preserve">A taxa de conversão foi 2,1%; escores intraoperatórios maiores associaram-se significativamente a conversão, uso de dreno e complicações pós-operatórias, sem relação com necessidade de CPRE.</w:t>
            </w:r>
          </w:p>
        </w:tc>
      </w:tr>
      <w:tr>
        <w:trPr>
          <w:cantSplit/>
        </w:trPr>
        <w:tc>
          <w:tcPr>
            <w:tcW w:w="1605" w:type="dxa"/>
          </w:tcPr>
          <w:p>
            <w:pPr>
              <w:pStyle w:val="TabelaTexto"/>
            </w:pPr>
            <w:r>
              <w:t xml:space="preserve">Basukala et al., 2026 [34]</w:t>
            </w:r>
          </w:p>
        </w:tc>
        <w:tc>
          <w:tcPr>
            <w:tcW w:w="1130" w:type="dxa"/>
          </w:tcPr>
          <w:p>
            <w:pPr>
              <w:pStyle w:val="TabelaTexto"/>
            </w:pPr>
            <w:r>
              <w:t xml:space="preserve">Nepal</w:t>
            </w:r>
          </w:p>
        </w:tc>
        <w:tc>
          <w:tcPr>
            <w:tcW w:w="2497" w:type="dxa"/>
          </w:tcPr>
          <w:p>
            <w:pPr>
              <w:pStyle w:val="TabelaTexto"/>
            </w:pPr>
            <w:r>
              <w:t xml:space="preserve">transversal; 405 pacientes submetidos a CVL</w:t>
            </w:r>
          </w:p>
        </w:tc>
        <w:tc>
          <w:tcPr>
            <w:tcW w:w="2691" w:type="dxa"/>
          </w:tcPr>
          <w:p>
            <w:pPr>
              <w:pStyle w:val="TabelaTexto"/>
            </w:pPr>
            <w:r>
              <w:t xml:space="preserve">Escore pré-operatório de dificuldade (dados demográficos, laboratoriais e radiológicos)</w:t>
            </w:r>
          </w:p>
        </w:tc>
        <w:tc>
          <w:tcPr>
            <w:tcW w:w="2195" w:type="dxa"/>
          </w:tcPr>
          <w:p>
            <w:pPr>
              <w:pStyle w:val="TabelaTexto"/>
            </w:pPr>
            <w:r>
              <w:t xml:space="preserve">CVL difícil pela graduação intraoperatória de Nassar; conversão NI</w:t>
            </w:r>
          </w:p>
        </w:tc>
        <w:tc>
          <w:tcPr>
            <w:tcW w:w="3885" w:type="dxa"/>
          </w:tcPr>
          <w:p>
            <w:pPr>
              <w:pStyle w:val="TabelaTexto"/>
            </w:pPr>
            <w:r>
              <w:t xml:space="preserve">Escore pré-operatório antecipou dificuldade em 158 pacientes; pela graduação de Nassar, 27,2% foram difíceis. Fatores demográficos, laboratoriais e radiológicos associaram-se à complexidade; conversão no estudo não foi informada.</w:t>
            </w:r>
          </w:p>
        </w:tc>
      </w:tr>
      <w:tr>
        <w:trPr>
          <w:cantSplit/>
        </w:trPr>
        <w:tc>
          <w:tcPr>
            <w:tcW w:w="1605" w:type="dxa"/>
          </w:tcPr>
          <w:p>
            <w:pPr>
              <w:pStyle w:val="TabelaTexto"/>
            </w:pPr>
            <w:r>
              <w:t xml:space="preserve">Kahraman et al., 2026 [28]</w:t>
            </w:r>
          </w:p>
        </w:tc>
        <w:tc>
          <w:tcPr>
            <w:tcW w:w="1130" w:type="dxa"/>
          </w:tcPr>
          <w:p>
            <w:pPr>
              <w:pStyle w:val="TabelaTexto"/>
            </w:pPr>
            <w:r>
              <w:t xml:space="preserve">Turquia</w:t>
            </w:r>
          </w:p>
        </w:tc>
        <w:tc>
          <w:tcPr>
            <w:tcW w:w="2497" w:type="dxa"/>
          </w:tcPr>
          <w:p>
            <w:pPr>
              <w:pStyle w:val="TabelaTexto"/>
            </w:pPr>
            <w:r>
              <w:t xml:space="preserve">transversal; 1.054 pacientes submetidos a CVL eletiva por colelitíase</w:t>
            </w:r>
          </w:p>
        </w:tc>
        <w:tc>
          <w:tcPr>
            <w:tcW w:w="2691" w:type="dxa"/>
          </w:tcPr>
          <w:p>
            <w:pPr>
              <w:pStyle w:val="TabelaTexto"/>
            </w:pPr>
            <w:r>
              <w:t xml:space="preserve">Índices inflamatórios pré-operatórios (CAR, NLR, IBI) e DM2</w:t>
            </w:r>
          </w:p>
        </w:tc>
        <w:tc>
          <w:tcPr>
            <w:tcW w:w="2195" w:type="dxa"/>
          </w:tcPr>
          <w:p>
            <w:pPr>
              <w:pStyle w:val="TabelaTexto"/>
            </w:pPr>
            <w:r>
              <w:t xml:space="preserve">Gravidade pela escala de Parkland, tempo operatório e conversão</w:t>
            </w:r>
          </w:p>
        </w:tc>
        <w:tc>
          <w:tcPr>
            <w:tcW w:w="3885" w:type="dxa"/>
          </w:tcPr>
          <w:p>
            <w:pPr>
              <w:pStyle w:val="TabelaTexto"/>
            </w:pPr>
            <w:r>
              <w:t xml:space="preserve">Conversão e tempo operatório cresceram com o grau de Parkland; DM2, CAR, NLR e IBI foram preditores independentes de maior gravidade, com melhor discriminação do IBI (AUC 0,792).</w:t>
            </w:r>
          </w:p>
        </w:tc>
      </w:tr>
      <w:tr>
        <w:trPr>
          <w:cantSplit/>
        </w:trPr>
        <w:tc>
          <w:tcPr>
            <w:tcW w:w="1605" w:type="dxa"/>
          </w:tcPr>
          <w:p>
            <w:pPr>
              <w:pStyle w:val="TabelaTexto"/>
            </w:pPr>
            <w:r>
              <w:t xml:space="preserve">Kritika et al., 2026 [19]</w:t>
            </w:r>
          </w:p>
        </w:tc>
        <w:tc>
          <w:tcPr>
            <w:tcW w:w="1130" w:type="dxa"/>
          </w:tcPr>
          <w:p>
            <w:pPr>
              <w:pStyle w:val="TabelaTexto"/>
            </w:pPr>
            <w:r>
              <w:t xml:space="preserve">Índia</w:t>
            </w:r>
          </w:p>
        </w:tc>
        <w:tc>
          <w:tcPr>
            <w:tcW w:w="2497" w:type="dxa"/>
          </w:tcPr>
          <w:p>
            <w:pPr>
              <w:pStyle w:val="TabelaTexto"/>
            </w:pPr>
            <w:r>
              <w:t xml:space="preserve">coorte prospectiva; 196 pacientes com colelitíase sintomática submetidos a CVL</w:t>
            </w:r>
          </w:p>
        </w:tc>
        <w:tc>
          <w:tcPr>
            <w:tcW w:w="2691" w:type="dxa"/>
          </w:tcPr>
          <w:p>
            <w:pPr>
              <w:pStyle w:val="TabelaTexto"/>
            </w:pPr>
            <w:r>
              <w:t xml:space="preserve">Espessura da parede vesicular à ultrassonografia pré-operatória, estratificada em quatro grupos</w:t>
            </w:r>
          </w:p>
        </w:tc>
        <w:tc>
          <w:tcPr>
            <w:tcW w:w="2195" w:type="dxa"/>
          </w:tcPr>
          <w:p>
            <w:pPr>
              <w:pStyle w:val="TabelaTexto"/>
            </w:pPr>
            <w:r>
              <w:t xml:space="preserve">Aderências, tempo operatório, conversão para cirurgia aberta e complicações pós-operatórias</w:t>
            </w:r>
          </w:p>
        </w:tc>
        <w:tc>
          <w:tcPr>
            <w:tcW w:w="3885" w:type="dxa"/>
          </w:tcPr>
          <w:p>
            <w:pPr>
              <w:pStyle w:val="TabelaTexto"/>
            </w:pPr>
            <w:r>
              <w:t xml:space="preserve">Conversão aumentou com a espessura parietal (3,6% vs. 20,0%); espessura &gt;2 mm previu conversão de forma independente (AOR 2,41; IC 95% 1,08-5,36); corte ótimo &gt;3 mm, com AUC 0,72.</w:t>
            </w:r>
          </w:p>
        </w:tc>
      </w:tr>
      <w:tr>
        <w:trPr>
          <w:cantSplit/>
        </w:trPr>
        <w:tc>
          <w:tcPr>
            <w:tcW w:w="1605" w:type="dxa"/>
          </w:tcPr>
          <w:p>
            <w:pPr>
              <w:pStyle w:val="TabelaTexto"/>
            </w:pPr>
            <w:r>
              <w:t xml:space="preserve">Kumar et al., 2026 [35]</w:t>
            </w:r>
          </w:p>
        </w:tc>
        <w:tc>
          <w:tcPr>
            <w:tcW w:w="1130" w:type="dxa"/>
          </w:tcPr>
          <w:p>
            <w:pPr>
              <w:pStyle w:val="TabelaTexto"/>
            </w:pPr>
            <w:r>
              <w:t xml:space="preserve">Índia</w:t>
            </w:r>
          </w:p>
        </w:tc>
        <w:tc>
          <w:tcPr>
            <w:tcW w:w="2497" w:type="dxa"/>
          </w:tcPr>
          <w:p>
            <w:pPr>
              <w:pStyle w:val="TabelaTexto"/>
            </w:pPr>
            <w:r>
              <w:t xml:space="preserve">coorte prospectiva; 150 pacientes submetidos a CVL eletiva</w:t>
            </w:r>
          </w:p>
        </w:tc>
        <w:tc>
          <w:tcPr>
            <w:tcW w:w="2691" w:type="dxa"/>
          </w:tcPr>
          <w:p>
            <w:pPr>
              <w:pStyle w:val="TabelaTexto"/>
            </w:pPr>
            <w:r>
              <w:t xml:space="preserve">Escore pré-operatório de Randhawa e Pujahari</w:t>
            </w:r>
          </w:p>
        </w:tc>
        <w:tc>
          <w:tcPr>
            <w:tcW w:w="2195" w:type="dxa"/>
          </w:tcPr>
          <w:p>
            <w:pPr>
              <w:pStyle w:val="TabelaTexto"/>
            </w:pPr>
            <w:r>
              <w:t xml:space="preserve">Dificuldade operatória, incluindo conversão para cirurgia aberta</w:t>
            </w:r>
          </w:p>
        </w:tc>
        <w:tc>
          <w:tcPr>
            <w:tcW w:w="3885" w:type="dxa"/>
          </w:tcPr>
          <w:p>
            <w:pPr>
              <w:pStyle w:val="TabelaTexto"/>
            </w:pPr>
            <w:r>
              <w:t xml:space="preserve">A conversão ocorreu em 3,3%. Parede vesicular &gt;4 mm, líquido perivesicular, cálculo impactado e IMC &gt;27,5 associaram-se a maior dificuldade. O escore teve sensibilidade de 57,14% e especificidade de 79,51%.</w:t>
            </w:r>
          </w:p>
        </w:tc>
      </w:tr>
      <w:tr>
        <w:trPr>
          <w:cantSplit/>
        </w:trPr>
        <w:tc>
          <w:tcPr>
            <w:tcW w:w="1605" w:type="dxa"/>
          </w:tcPr>
          <w:p>
            <w:pPr>
              <w:pStyle w:val="TabelaTexto"/>
            </w:pPr>
            <w:r>
              <w:t xml:space="preserve">Nagarla et al., 2026 [36]</w:t>
            </w:r>
          </w:p>
        </w:tc>
        <w:tc>
          <w:tcPr>
            <w:tcW w:w="1130" w:type="dxa"/>
          </w:tcPr>
          <w:p>
            <w:pPr>
              <w:pStyle w:val="TabelaTexto"/>
            </w:pPr>
            <w:r>
              <w:t xml:space="preserve">Índia</w:t>
            </w:r>
          </w:p>
        </w:tc>
        <w:tc>
          <w:tcPr>
            <w:tcW w:w="2497" w:type="dxa"/>
          </w:tcPr>
          <w:p>
            <w:pPr>
              <w:pStyle w:val="TabelaTexto"/>
            </w:pPr>
            <w:r>
              <w:t xml:space="preserve">coorte prospectiva; 150 pacientes (21-80 anos) submetidos a CVL eletiva</w:t>
            </w:r>
          </w:p>
        </w:tc>
        <w:tc>
          <w:tcPr>
            <w:tcW w:w="2691" w:type="dxa"/>
          </w:tcPr>
          <w:p>
            <w:pPr>
              <w:pStyle w:val="TabelaTexto"/>
            </w:pPr>
            <w:r>
              <w:t xml:space="preserve">Escore pré-operatório clínico, bioquímico e ultrassonográfico (15 pontos)</w:t>
            </w:r>
          </w:p>
        </w:tc>
        <w:tc>
          <w:tcPr>
            <w:tcW w:w="2195" w:type="dxa"/>
          </w:tcPr>
          <w:p>
            <w:pPr>
              <w:pStyle w:val="TabelaTexto"/>
            </w:pPr>
            <w:r>
              <w:t xml:space="preserve">CVL difícil, com risco de conversão</w:t>
            </w:r>
          </w:p>
        </w:tc>
        <w:tc>
          <w:tcPr>
            <w:tcW w:w="3885" w:type="dxa"/>
          </w:tcPr>
          <w:p>
            <w:pPr>
              <w:pStyle w:val="TabelaTexto"/>
            </w:pPr>
            <w:r>
              <w:t xml:space="preserve">A dificuldade ocorreu em 22%. Os preditores incluíram idade &gt;60, sexo masculino, IMC &gt;25, fosfatase alcalina elevada, parede vesicular &gt;4 mm, cálculo impactado e colédoco &gt;7 mm. O escore teve AUC de 0,927.</w:t>
            </w:r>
          </w:p>
        </w:tc>
      </w:tr>
      <w:tr>
        <w:trPr>
          <w:cantSplit/>
        </w:trPr>
        <w:tc>
          <w:tcPr>
            <w:tcW w:w="1605" w:type="dxa"/>
          </w:tcPr>
          <w:p>
            <w:pPr>
              <w:pStyle w:val="TabelaTexto"/>
            </w:pPr>
            <w:r>
              <w:t xml:space="preserve">Rayamajhi et al., 2026 [25]</w:t>
            </w:r>
          </w:p>
        </w:tc>
        <w:tc>
          <w:tcPr>
            <w:tcW w:w="1130" w:type="dxa"/>
          </w:tcPr>
          <w:p>
            <w:pPr>
              <w:pStyle w:val="TabelaTexto"/>
            </w:pPr>
            <w:r>
              <w:t xml:space="preserve">Nepal</w:t>
            </w:r>
          </w:p>
        </w:tc>
        <w:tc>
          <w:tcPr>
            <w:tcW w:w="2497" w:type="dxa"/>
          </w:tcPr>
          <w:p>
            <w:pPr>
              <w:pStyle w:val="TabelaTexto"/>
            </w:pPr>
            <w:r>
              <w:t xml:space="preserve">coorte prospectiva; 108 pacientes submetidos a CVL de urgência por colecistite aguda litiásica</w:t>
            </w:r>
          </w:p>
        </w:tc>
        <w:tc>
          <w:tcPr>
            <w:tcW w:w="2691" w:type="dxa"/>
          </w:tcPr>
          <w:p>
            <w:pPr>
              <w:pStyle w:val="TabelaTexto"/>
            </w:pPr>
            <w:r>
              <w:t xml:space="preserve">PCR pré-operatória</w:t>
            </w:r>
          </w:p>
        </w:tc>
        <w:tc>
          <w:tcPr>
            <w:tcW w:w="2195" w:type="dxa"/>
          </w:tcPr>
          <w:p>
            <w:pPr>
              <w:pStyle w:val="TabelaTexto"/>
            </w:pPr>
            <w:r>
              <w:t xml:space="preserve">CVL difícil (mais de 60 min) e conversão para cirurgia aberta</w:t>
            </w:r>
          </w:p>
        </w:tc>
        <w:tc>
          <w:tcPr>
            <w:tcW w:w="3885" w:type="dxa"/>
          </w:tcPr>
          <w:p>
            <w:pPr>
              <w:pStyle w:val="TabelaTexto"/>
            </w:pPr>
            <w:r>
              <w:t xml:space="preserve">Houve 9 conversões; a PCR média foi 18,2 mg/L nas CVL simples, 36 nas difíceis e 50,1 nos convertidos, associando-se à complexidade cirúrgica; idade e sexo não mostraram associação.</w:t>
            </w:r>
          </w:p>
        </w:tc>
      </w:tr>
      <w:tr>
        <w:trPr>
          <w:cantSplit/>
        </w:trPr>
        <w:tc>
          <w:tcPr>
            <w:tcW w:w="1605" w:type="dxa"/>
          </w:tcPr>
          <w:p>
            <w:pPr>
              <w:pStyle w:val="TabelaTexto"/>
            </w:pPr>
            <w:r>
              <w:t xml:space="preserve">Shiihara et al., 2026 [37]</w:t>
            </w:r>
          </w:p>
        </w:tc>
        <w:tc>
          <w:tcPr>
            <w:tcW w:w="1130" w:type="dxa"/>
          </w:tcPr>
          <w:p>
            <w:pPr>
              <w:pStyle w:val="TabelaTexto"/>
            </w:pPr>
            <w:r>
              <w:t xml:space="preserve">Japão</w:t>
            </w:r>
          </w:p>
        </w:tc>
        <w:tc>
          <w:tcPr>
            <w:tcW w:w="2497" w:type="dxa"/>
          </w:tcPr>
          <w:p>
            <w:pPr>
              <w:pStyle w:val="TabelaTexto"/>
            </w:pPr>
            <w:r>
              <w:t xml:space="preserve">coorte retrospectiva; 193 pacientes submetidos a CVL após CPRE por coledocolitíase</w:t>
            </w:r>
          </w:p>
        </w:tc>
        <w:tc>
          <w:tcPr>
            <w:tcW w:w="2691" w:type="dxa"/>
          </w:tcPr>
          <w:p>
            <w:pPr>
              <w:pStyle w:val="TabelaTexto"/>
            </w:pPr>
            <w:r>
              <w:t xml:space="preserve">Intervalo CPRE-CVL, idade, sexo e colecistite aguda</w:t>
            </w:r>
          </w:p>
        </w:tc>
        <w:tc>
          <w:tcPr>
            <w:tcW w:w="2195" w:type="dxa"/>
          </w:tcPr>
          <w:p>
            <w:pPr>
              <w:pStyle w:val="TabelaTexto"/>
            </w:pPr>
            <w:r>
              <w:t xml:space="preserve">Colecistectomia difícil, incluindo conversão para cirurgia aberta ou colecistectomia subtotal</w:t>
            </w:r>
          </w:p>
        </w:tc>
        <w:tc>
          <w:tcPr>
            <w:tcW w:w="3885" w:type="dxa"/>
          </w:tcPr>
          <w:p>
            <w:pPr>
              <w:pStyle w:val="TabelaTexto"/>
            </w:pPr>
            <w:r>
              <w:t xml:space="preserve">Cirurgia difícil ocorreu em 25,4%, mais frequente com intervalo CPRE-CVL de 15-60 dias (33,0%). Idade ≥ 60 anos, sexo masculino, colecistite aguda e esse intervalo foram fatores de risco independentes.</w:t>
            </w:r>
          </w:p>
        </w:tc>
      </w:tr>
      <w:tr>
        <w:trPr>
          <w:cantSplit/>
        </w:trPr>
        <w:tc>
          <w:tcPr>
            <w:tcW w:w="1605" w:type="dxa"/>
          </w:tcPr>
          <w:p>
            <w:pPr>
              <w:pStyle w:val="TabelaTexto"/>
            </w:pPr>
            <w:r>
              <w:t xml:space="preserve">Yoshitake et al., 2026 [38]</w:t>
            </w:r>
          </w:p>
        </w:tc>
        <w:tc>
          <w:tcPr>
            <w:tcW w:w="1130" w:type="dxa"/>
          </w:tcPr>
          <w:p>
            <w:pPr>
              <w:pStyle w:val="TabelaTexto"/>
            </w:pPr>
            <w:r>
              <w:t xml:space="preserve">Japão</w:t>
            </w:r>
          </w:p>
        </w:tc>
        <w:tc>
          <w:tcPr>
            <w:tcW w:w="2497" w:type="dxa"/>
          </w:tcPr>
          <w:p>
            <w:pPr>
              <w:pStyle w:val="TabelaTexto"/>
            </w:pPr>
            <w:r>
              <w:t xml:space="preserve">coorte retrospectiva; 257 pacientes com colecistite aguda submetidos a CVL após drenagem percutânea trans-hepática da vesícula (PTGBD)</w:t>
            </w:r>
          </w:p>
        </w:tc>
        <w:tc>
          <w:tcPr>
            <w:tcW w:w="2691" w:type="dxa"/>
          </w:tcPr>
          <w:p>
            <w:pPr>
              <w:pStyle w:val="TabelaTexto"/>
            </w:pPr>
            <w:r>
              <w:t xml:space="preserve">Intervalo PTGBD-CVL como variável contínua; PCR ao diagnóstico e outras covariáveis clínicas</w:t>
            </w:r>
          </w:p>
        </w:tc>
        <w:tc>
          <w:tcPr>
            <w:tcW w:w="2195" w:type="dxa"/>
          </w:tcPr>
          <w:p>
            <w:pPr>
              <w:pStyle w:val="TabelaTexto"/>
            </w:pPr>
            <w:r>
              <w:t xml:space="preserve">Cirurgia de resgate (conversão para cirurgia aberta, colecistectomia subtotal ou abordagem fundo primeiro)</w:t>
            </w:r>
          </w:p>
        </w:tc>
        <w:tc>
          <w:tcPr>
            <w:tcW w:w="3885" w:type="dxa"/>
          </w:tcPr>
          <w:p>
            <w:pPr>
              <w:pStyle w:val="TabelaTexto"/>
            </w:pPr>
            <w:r>
              <w:t xml:space="preserve">Cirurgia de resgate ocorreu em 36,6%. O intervalo PTGBD-CVL, analisado como variável contínua, não se associou ao resgate; PCR elevada ao diagnóstico foi fator independente (OR ajustada 1,033).</w:t>
            </w:r>
          </w:p>
        </w:tc>
      </w:tr>
      <w:tr>
        <w:trPr>
          <w:cantSplit/>
        </w:trPr>
        <w:tc>
          <w:tcPr>
            <w:tcW w:w="1605" w:type="dxa"/>
          </w:tcPr>
          <w:p>
            <w:pPr>
              <w:pStyle w:val="TabelaTexto"/>
            </w:pPr>
            <w:r>
              <w:t xml:space="preserve">Zhou et al., 2026 [39]</w:t>
            </w:r>
          </w:p>
        </w:tc>
        <w:tc>
          <w:tcPr>
            <w:tcW w:w="1130" w:type="dxa"/>
          </w:tcPr>
          <w:p>
            <w:pPr>
              <w:pStyle w:val="TabelaTexto"/>
            </w:pPr>
            <w:r>
              <w:t xml:space="preserve">China</w:t>
            </w:r>
          </w:p>
        </w:tc>
        <w:tc>
          <w:tcPr>
            <w:tcW w:w="2497" w:type="dxa"/>
          </w:tcPr>
          <w:p>
            <w:pPr>
              <w:pStyle w:val="TabelaTexto"/>
            </w:pPr>
            <w:r>
              <w:t xml:space="preserve">coorte retrospectiva; 107 pacientes com colecistite submetidos a CVL após drenagem percutânea trans-hepática da vesícula (PTGBD)</w:t>
            </w:r>
          </w:p>
        </w:tc>
        <w:tc>
          <w:tcPr>
            <w:tcW w:w="2691" w:type="dxa"/>
          </w:tcPr>
          <w:p>
            <w:pPr>
              <w:pStyle w:val="TabelaTexto"/>
            </w:pPr>
            <w:r>
              <w:t xml:space="preserve">Parâmetros clínicos, tomográficos, laboratoriais, relacionados à PTGBD e psicológicos; nomograma</w:t>
            </w:r>
          </w:p>
        </w:tc>
        <w:tc>
          <w:tcPr>
            <w:tcW w:w="2195" w:type="dxa"/>
          </w:tcPr>
          <w:p>
            <w:pPr>
              <w:pStyle w:val="TabelaTexto"/>
            </w:pPr>
            <w:r>
              <w:t xml:space="preserve">CVL difícil pelos critérios TG18, incluindo conversão para cirurgia aberta</w:t>
            </w:r>
          </w:p>
        </w:tc>
        <w:tc>
          <w:tcPr>
            <w:tcW w:w="3885" w:type="dxa"/>
          </w:tcPr>
          <w:p>
            <w:pPr>
              <w:pStyle w:val="TabelaTexto"/>
            </w:pPr>
            <w:r>
              <w:t xml:space="preserve">PCR &gt; 8,2 mg/L (OR 4,21), líquido perivesicular (OR 60,93), índice de aderência vesícula-duodeno &gt; 0,7 e atenuação do triângulo de Calot &gt; 30 HU predisseram cirurgia difícil; nomograma alcançou AUC de 0,903.</w:t>
            </w:r>
          </w:p>
        </w:tc>
      </w:tr>
      <w:tr>
        <w:trPr>
          <w:cantSplit/>
        </w:trPr>
        <w:tc>
          <w:tcPr>
            <w:tcW w:w="1605" w:type="dxa"/>
          </w:tcPr>
          <w:p>
            <w:pPr>
              <w:pStyle w:val="TabelaTexto"/>
            </w:pPr>
            <w:r>
              <w:t xml:space="preserve">Demiral et al., 2025 [40]</w:t>
            </w:r>
          </w:p>
        </w:tc>
        <w:tc>
          <w:tcPr>
            <w:tcW w:w="1130" w:type="dxa"/>
          </w:tcPr>
          <w:p>
            <w:pPr>
              <w:pStyle w:val="TabelaTexto"/>
            </w:pPr>
            <w:r>
              <w:t xml:space="preserve">Turquia</w:t>
            </w:r>
          </w:p>
        </w:tc>
        <w:tc>
          <w:tcPr>
            <w:tcW w:w="2497" w:type="dxa"/>
          </w:tcPr>
          <w:p>
            <w:pPr>
              <w:pStyle w:val="TabelaTexto"/>
            </w:pPr>
            <w:r>
              <w:t xml:space="preserve">coorte retrospectiva; 50 pacientes com colecistite aguda submetidos a CVL de intervalo após drenagem percutânea</w:t>
            </w:r>
          </w:p>
        </w:tc>
        <w:tc>
          <w:tcPr>
            <w:tcW w:w="2691" w:type="dxa"/>
          </w:tcPr>
          <w:p>
            <w:pPr>
              <w:pStyle w:val="TabelaTexto"/>
            </w:pPr>
            <w:r>
              <w:t xml:space="preserve">Presença de cateter no intraoperatório e tempo até a cirurgia após a drenagem</w:t>
            </w:r>
          </w:p>
        </w:tc>
        <w:tc>
          <w:tcPr>
            <w:tcW w:w="2195" w:type="dxa"/>
          </w:tcPr>
          <w:p>
            <w:pPr>
              <w:pStyle w:val="TabelaTexto"/>
            </w:pPr>
            <w:r>
              <w:t xml:space="preserve">Conversão para cirurgia aberta e complicações</w:t>
            </w:r>
          </w:p>
        </w:tc>
        <w:tc>
          <w:tcPr>
            <w:tcW w:w="3885" w:type="dxa"/>
          </w:tcPr>
          <w:p>
            <w:pPr>
              <w:pStyle w:val="TabelaTexto"/>
            </w:pPr>
            <w:r>
              <w:t xml:space="preserve">Presença do cateter e intervalo até a cirurgia (antes ou após 8 semanas) não diferiram entre convertidos e não convertidos; a internação pós-operatória foi maior no grupo convertido (p = 0,014).</w:t>
            </w:r>
          </w:p>
        </w:tc>
      </w:tr>
      <w:tr>
        <w:trPr>
          <w:cantSplit/>
        </w:trPr>
        <w:tc>
          <w:tcPr>
            <w:tcW w:w="1605" w:type="dxa"/>
          </w:tcPr>
          <w:p>
            <w:pPr>
              <w:pStyle w:val="TabelaTexto"/>
            </w:pPr>
            <w:r>
              <w:t xml:space="preserve">Edblom et al., 2025 [41]</w:t>
            </w:r>
          </w:p>
        </w:tc>
        <w:tc>
          <w:tcPr>
            <w:tcW w:w="1130" w:type="dxa"/>
          </w:tcPr>
          <w:p>
            <w:pPr>
              <w:pStyle w:val="TabelaTexto"/>
            </w:pPr>
            <w:r>
              <w:t xml:space="preserve">Suécia</w:t>
            </w:r>
          </w:p>
        </w:tc>
        <w:tc>
          <w:tcPr>
            <w:tcW w:w="2497" w:type="dxa"/>
          </w:tcPr>
          <w:p>
            <w:pPr>
              <w:pStyle w:val="TabelaTexto"/>
            </w:pPr>
            <w:r>
              <w:t xml:space="preserve">coorte retrospectiva; 34.925 pacientes submetidos a colecistectomia precoce por colecistite aguda (registro nacional)</w:t>
            </w:r>
          </w:p>
        </w:tc>
        <w:tc>
          <w:tcPr>
            <w:tcW w:w="2691" w:type="dxa"/>
          </w:tcPr>
          <w:p>
            <w:pPr>
              <w:pStyle w:val="TabelaTexto"/>
            </w:pPr>
            <w:r>
              <w:t xml:space="preserve">Colecistite recorrente vs. primeiro episódio</w:t>
            </w:r>
          </w:p>
        </w:tc>
        <w:tc>
          <w:tcPr>
            <w:tcW w:w="2195" w:type="dxa"/>
          </w:tcPr>
          <w:p>
            <w:pPr>
              <w:pStyle w:val="TabelaTexto"/>
            </w:pPr>
            <w:r>
              <w:t xml:space="preserve">Complicações em 30 dias; cirurgia aberta, lesão de via biliar e cirurgia prolongada como desfechos secundários</w:t>
            </w:r>
          </w:p>
        </w:tc>
        <w:tc>
          <w:tcPr>
            <w:tcW w:w="3885" w:type="dxa"/>
          </w:tcPr>
          <w:p>
            <w:pPr>
              <w:pStyle w:val="TabelaTexto"/>
            </w:pPr>
            <w:r>
              <w:t xml:space="preserve">Colecistite recorrente associou-se a mais complicações (20,2% vs. 13,8%), cirurgia aberta (OR 1,76), lesão de via biliar (OR 2,44) e cirurgia prolongada (OR 1,64) em relação ao primeiro episódio.</w:t>
            </w:r>
          </w:p>
        </w:tc>
      </w:tr>
      <w:tr>
        <w:trPr>
          <w:cantSplit/>
        </w:trPr>
        <w:tc>
          <w:tcPr>
            <w:tcW w:w="1605" w:type="dxa"/>
          </w:tcPr>
          <w:p>
            <w:pPr>
              <w:pStyle w:val="TabelaTexto"/>
            </w:pPr>
            <w:r>
              <w:t xml:space="preserve">Farahani et al., 2025 [26]</w:t>
            </w:r>
          </w:p>
        </w:tc>
        <w:tc>
          <w:tcPr>
            <w:tcW w:w="1130" w:type="dxa"/>
          </w:tcPr>
          <w:p>
            <w:pPr>
              <w:pStyle w:val="TabelaTexto"/>
            </w:pPr>
            <w:r>
              <w:t xml:space="preserve">Irã</w:t>
            </w:r>
          </w:p>
        </w:tc>
        <w:tc>
          <w:tcPr>
            <w:tcW w:w="2497" w:type="dxa"/>
          </w:tcPr>
          <w:p>
            <w:pPr>
              <w:pStyle w:val="TabelaTexto"/>
            </w:pPr>
            <w:r>
              <w:t xml:space="preserve">coorte retrospectiva; 180 pacientes submetidos a CVL (76 com colecistite aguda)</w:t>
            </w:r>
          </w:p>
        </w:tc>
        <w:tc>
          <w:tcPr>
            <w:tcW w:w="2691" w:type="dxa"/>
          </w:tcPr>
          <w:p>
            <w:pPr>
              <w:pStyle w:val="TabelaTexto"/>
            </w:pPr>
            <w:r>
              <w:t xml:space="preserve">PCR pré-operatória</w:t>
            </w:r>
          </w:p>
        </w:tc>
        <w:tc>
          <w:tcPr>
            <w:tcW w:w="2195" w:type="dxa"/>
          </w:tcPr>
          <w:p>
            <w:pPr>
              <w:pStyle w:val="TabelaTexto"/>
            </w:pPr>
            <w:r>
              <w:t xml:space="preserve">Conversão para cirurgia aberta e complicações</w:t>
            </w:r>
          </w:p>
        </w:tc>
        <w:tc>
          <w:tcPr>
            <w:tcW w:w="3885" w:type="dxa"/>
          </w:tcPr>
          <w:p>
            <w:pPr>
              <w:pStyle w:val="TabelaTexto"/>
            </w:pPr>
            <w:r>
              <w:t xml:space="preserve">Na colecistite aguda, a PCR previu conversão com AUC 0,964 (corte 7,5 mg/L; sensibilidade 100%); não houve conversões na colecistite crônica, e a utilidade na colelitíase não complicada foi limitada.</w:t>
            </w:r>
          </w:p>
        </w:tc>
      </w:tr>
      <w:tr>
        <w:trPr>
          <w:cantSplit/>
        </w:trPr>
        <w:tc>
          <w:tcPr>
            <w:tcW w:w="1605" w:type="dxa"/>
          </w:tcPr>
          <w:p>
            <w:pPr>
              <w:pStyle w:val="TabelaTexto"/>
            </w:pPr>
            <w:r>
              <w:t xml:space="preserve">Igami et al., 2025 [42]</w:t>
            </w:r>
          </w:p>
        </w:tc>
        <w:tc>
          <w:tcPr>
            <w:tcW w:w="1130" w:type="dxa"/>
          </w:tcPr>
          <w:p>
            <w:pPr>
              <w:pStyle w:val="TabelaTexto"/>
            </w:pPr>
            <w:r>
              <w:t xml:space="preserve">Japão</w:t>
            </w:r>
          </w:p>
        </w:tc>
        <w:tc>
          <w:tcPr>
            <w:tcW w:w="2497" w:type="dxa"/>
          </w:tcPr>
          <w:p>
            <w:pPr>
              <w:pStyle w:val="TabelaTexto"/>
            </w:pPr>
            <w:r>
              <w:t xml:space="preserve">coorte retrospectiva; 226 pacientes submetidos a CVL tardia após colecistite aguda</w:t>
            </w:r>
          </w:p>
        </w:tc>
        <w:tc>
          <w:tcPr>
            <w:tcW w:w="2691" w:type="dxa"/>
          </w:tcPr>
          <w:p>
            <w:pPr>
              <w:pStyle w:val="TabelaTexto"/>
            </w:pPr>
            <w:r>
              <w:t xml:space="preserve">Uso de colangiografia por fluorescência durante a CVL tardia</w:t>
            </w:r>
          </w:p>
        </w:tc>
        <w:tc>
          <w:tcPr>
            <w:tcW w:w="2195" w:type="dxa"/>
          </w:tcPr>
          <w:p>
            <w:pPr>
              <w:pStyle w:val="TabelaTexto"/>
            </w:pPr>
            <w:r>
              <w:t xml:space="preserve">Conversão para colecistectomia aberta, complicações intra e pós-operatórias e sangramento</w:t>
            </w:r>
          </w:p>
        </w:tc>
        <w:tc>
          <w:tcPr>
            <w:tcW w:w="3885" w:type="dxa"/>
          </w:tcPr>
          <w:p>
            <w:pPr>
              <w:pStyle w:val="TabelaTexto"/>
            </w:pPr>
            <w:r>
              <w:t xml:space="preserve">Conversão foi de 1,4% com colangiografia por fluorescência vs. 15,9% sem ela; o método também reduziu complicações intraoperatórias (0% vs. 7,3%), sangramento e complicações pós-operatórias.</w:t>
            </w:r>
          </w:p>
        </w:tc>
      </w:tr>
      <w:tr>
        <w:trPr>
          <w:cantSplit/>
        </w:trPr>
        <w:tc>
          <w:tcPr>
            <w:tcW w:w="1605" w:type="dxa"/>
          </w:tcPr>
          <w:p>
            <w:pPr>
              <w:pStyle w:val="TabelaTexto"/>
            </w:pPr>
            <w:r>
              <w:t xml:space="preserve">Khan et al., 2025 [43]</w:t>
            </w:r>
          </w:p>
        </w:tc>
        <w:tc>
          <w:tcPr>
            <w:tcW w:w="1130" w:type="dxa"/>
          </w:tcPr>
          <w:p>
            <w:pPr>
              <w:pStyle w:val="TabelaTexto"/>
            </w:pPr>
            <w:r>
              <w:t xml:space="preserve">Paquistão</w:t>
            </w:r>
          </w:p>
        </w:tc>
        <w:tc>
          <w:tcPr>
            <w:tcW w:w="2497" w:type="dxa"/>
          </w:tcPr>
          <w:p>
            <w:pPr>
              <w:pStyle w:val="TabelaTexto"/>
            </w:pPr>
            <w:r>
              <w:t xml:space="preserve">coorte retrospectiva; 355 pacientes submetidos a CVL</w:t>
            </w:r>
          </w:p>
        </w:tc>
        <w:tc>
          <w:tcPr>
            <w:tcW w:w="2691" w:type="dxa"/>
          </w:tcPr>
          <w:p>
            <w:pPr>
              <w:pStyle w:val="TabelaTexto"/>
            </w:pPr>
            <w:r>
              <w:t xml:space="preserve">Dados demográficos, comorbidades, obesidade, cirurgia de urgência, colecistite aguda e cirurgia abdominal prévia</w:t>
            </w:r>
          </w:p>
        </w:tc>
        <w:tc>
          <w:tcPr>
            <w:tcW w:w="2195" w:type="dxa"/>
          </w:tcPr>
          <w:p>
            <w:pPr>
              <w:pStyle w:val="TabelaTexto"/>
            </w:pPr>
            <w:r>
              <w:t xml:space="preserve">Taxa de conversão para cirurgia aberta e complicações pós-operatórias</w:t>
            </w:r>
          </w:p>
        </w:tc>
        <w:tc>
          <w:tcPr>
            <w:tcW w:w="3885" w:type="dxa"/>
          </w:tcPr>
          <w:p>
            <w:pPr>
              <w:pStyle w:val="TabelaTexto"/>
            </w:pPr>
            <w:r>
              <w:t xml:space="preserve">Conversão de 3,4%, maior na urgência (9,3%) que na eletiva (2,2%); associou-se a colecistite aguda (OR 4,1), cirurgia abdominal prévia (OR 4,2), obesidade (OR 3,3) e cirurgia de urgência (OR 2,3).</w:t>
            </w:r>
          </w:p>
        </w:tc>
      </w:tr>
      <w:tr>
        <w:trPr>
          <w:cantSplit/>
        </w:trPr>
        <w:tc>
          <w:tcPr>
            <w:tcW w:w="1605" w:type="dxa"/>
          </w:tcPr>
          <w:p>
            <w:pPr>
              <w:pStyle w:val="TabelaTexto"/>
            </w:pPr>
            <w:r>
              <w:t xml:space="preserve">Kumar et al., 2025 [13]</w:t>
            </w:r>
          </w:p>
        </w:tc>
        <w:tc>
          <w:tcPr>
            <w:tcW w:w="1130" w:type="dxa"/>
          </w:tcPr>
          <w:p>
            <w:pPr>
              <w:pStyle w:val="TabelaTexto"/>
            </w:pPr>
            <w:r>
              <w:t xml:space="preserve">Índia</w:t>
            </w:r>
          </w:p>
        </w:tc>
        <w:tc>
          <w:tcPr>
            <w:tcW w:w="2497" w:type="dxa"/>
          </w:tcPr>
          <w:p>
            <w:pPr>
              <w:pStyle w:val="TabelaTexto"/>
            </w:pPr>
            <w:r>
              <w:t xml:space="preserve">coorte prospectiva; 318 pacientes submetidos a CVL por colelitíase sintomática</w:t>
            </w:r>
          </w:p>
        </w:tc>
        <w:tc>
          <w:tcPr>
            <w:tcW w:w="2691" w:type="dxa"/>
          </w:tcPr>
          <w:p>
            <w:pPr>
              <w:pStyle w:val="TabelaTexto"/>
            </w:pPr>
            <w:r>
              <w:t xml:space="preserve">Fatores pré-operatórios (idade, sexo, comorbidades, cirurgia abdominal prévia, exames laboratoriais) e intraoperatórios (aderências, triângulo de Calot, visão crítica de segurança, coledocolitíase, fístula colecistoentérica)</w:t>
            </w:r>
          </w:p>
        </w:tc>
        <w:tc>
          <w:tcPr>
            <w:tcW w:w="2195" w:type="dxa"/>
          </w:tcPr>
          <w:p>
            <w:pPr>
              <w:pStyle w:val="TabelaTexto"/>
            </w:pPr>
            <w:r>
              <w:t xml:space="preserve">Conversão para colecistectomia aberta; elaboração de escore de risco</w:t>
            </w:r>
          </w:p>
        </w:tc>
        <w:tc>
          <w:tcPr>
            <w:tcW w:w="3885" w:type="dxa"/>
          </w:tcPr>
          <w:p>
            <w:pPr>
              <w:pStyle w:val="TabelaTexto"/>
            </w:pPr>
            <w:r>
              <w:t xml:space="preserve">Conversão em 33 pacientes (10,38%). Cirurgia abdominal prévia e fosfatase alcalina elevada predisseram conversão no pré-operatório; aderências densas, triângulo de Calot não visualizado, falha da visão crítica, coledocolitíase e fístula colecistoentérica, no intraoperatório.</w:t>
            </w:r>
          </w:p>
        </w:tc>
      </w:tr>
      <w:tr>
        <w:trPr>
          <w:cantSplit/>
        </w:trPr>
        <w:tc>
          <w:tcPr>
            <w:tcW w:w="1605" w:type="dxa"/>
          </w:tcPr>
          <w:p>
            <w:pPr>
              <w:pStyle w:val="TabelaTexto"/>
            </w:pPr>
            <w:r>
              <w:t xml:space="preserve">Lalisang et al., 2025 [44]</w:t>
            </w:r>
          </w:p>
        </w:tc>
        <w:tc>
          <w:tcPr>
            <w:tcW w:w="1130" w:type="dxa"/>
          </w:tcPr>
          <w:p>
            <w:pPr>
              <w:pStyle w:val="TabelaTexto"/>
            </w:pPr>
            <w:r>
              <w:t xml:space="preserve">Indonésia</w:t>
            </w:r>
          </w:p>
        </w:tc>
        <w:tc>
          <w:tcPr>
            <w:tcW w:w="2497" w:type="dxa"/>
          </w:tcPr>
          <w:p>
            <w:pPr>
              <w:pStyle w:val="TabelaTexto"/>
            </w:pPr>
            <w:r>
              <w:t xml:space="preserve">transversal; 107 pacientes com colelitíase sintomática submetidos a CVL</w:t>
            </w:r>
          </w:p>
        </w:tc>
        <w:tc>
          <w:tcPr>
            <w:tcW w:w="2691" w:type="dxa"/>
          </w:tcPr>
          <w:p>
            <w:pPr>
              <w:pStyle w:val="TabelaTexto"/>
            </w:pPr>
            <w:r>
              <w:t xml:space="preserve">História de CPRE, stent biliar, diagnóstico de colecistite e escores Parkland, Nassar e G10</w:t>
            </w:r>
          </w:p>
        </w:tc>
        <w:tc>
          <w:tcPr>
            <w:tcW w:w="2195" w:type="dxa"/>
          </w:tcPr>
          <w:p>
            <w:pPr>
              <w:pStyle w:val="TabelaTexto"/>
            </w:pPr>
            <w:r>
              <w:t xml:space="preserve">Falha na obtenção da visão crítica de segurança e procedimentos de resgate, incluindo conversão</w:t>
            </w:r>
          </w:p>
        </w:tc>
        <w:tc>
          <w:tcPr>
            <w:tcW w:w="3885" w:type="dxa"/>
          </w:tcPr>
          <w:p>
            <w:pPr>
              <w:pStyle w:val="TabelaTexto"/>
            </w:pPr>
            <w:r>
              <w:t xml:space="preserve">Visão crítica de segurança obtida em 82,24%; stent biliar foi o único fator independente de falha (OR 7,41). Escores intraoperatórios altos associaram-se à falha; 2 pacientes necessitaram conversão para cirurgia aberta.</w:t>
            </w:r>
          </w:p>
        </w:tc>
      </w:tr>
      <w:tr>
        <w:trPr>
          <w:cantSplit/>
        </w:trPr>
        <w:tc>
          <w:tcPr>
            <w:tcW w:w="1605" w:type="dxa"/>
          </w:tcPr>
          <w:p>
            <w:pPr>
              <w:pStyle w:val="TabelaTexto"/>
            </w:pPr>
            <w:r>
              <w:t xml:space="preserve">Molasy et al., 2025 [10]</w:t>
            </w:r>
          </w:p>
        </w:tc>
        <w:tc>
          <w:tcPr>
            <w:tcW w:w="1130" w:type="dxa"/>
          </w:tcPr>
          <w:p>
            <w:pPr>
              <w:pStyle w:val="TabelaTexto"/>
            </w:pPr>
            <w:r>
              <w:t xml:space="preserve">Polônia</w:t>
            </w:r>
          </w:p>
        </w:tc>
        <w:tc>
          <w:tcPr>
            <w:tcW w:w="2497" w:type="dxa"/>
          </w:tcPr>
          <w:p>
            <w:pPr>
              <w:pStyle w:val="TabelaTexto"/>
            </w:pPr>
            <w:r>
              <w:t xml:space="preserve">coorte retrospectiva; 227 pacientes operados por colelitíase sintomática</w:t>
            </w:r>
          </w:p>
        </w:tc>
        <w:tc>
          <w:tcPr>
            <w:tcW w:w="2691" w:type="dxa"/>
          </w:tcPr>
          <w:p>
            <w:pPr>
              <w:pStyle w:val="TabelaTexto"/>
            </w:pPr>
            <w:r>
              <w:t xml:space="preserve">Sexo, idade, diabetes tipo 2, colecistite aguda prévia e uso do protocolo ERAS</w:t>
            </w:r>
          </w:p>
        </w:tc>
        <w:tc>
          <w:tcPr>
            <w:tcW w:w="2195" w:type="dxa"/>
          </w:tcPr>
          <w:p>
            <w:pPr>
              <w:pStyle w:val="TabelaTexto"/>
            </w:pPr>
            <w:r>
              <w:t xml:space="preserve">Conversão para cirurgia aberta e desfechos precoces (duração cirúrgica, internação, complicações)</w:t>
            </w:r>
          </w:p>
        </w:tc>
        <w:tc>
          <w:tcPr>
            <w:tcW w:w="3885" w:type="dxa"/>
          </w:tcPr>
          <w:p>
            <w:pPr>
              <w:pStyle w:val="TabelaTexto"/>
            </w:pPr>
            <w:r>
              <w:t xml:space="preserve">Conversão em 28 casos (12,3%); sexo masculino, idade avançada, diabetes tipo 2 e colecistite aguda prévia foram preditores independentes; conversão associou-se a cirurgia mais longa, maior internação, infecção de sítio cirúrgico e complicações.</w:t>
            </w:r>
          </w:p>
        </w:tc>
      </w:tr>
      <w:tr>
        <w:trPr>
          <w:cantSplit/>
        </w:trPr>
        <w:tc>
          <w:tcPr>
            <w:tcW w:w="1605" w:type="dxa"/>
          </w:tcPr>
          <w:p>
            <w:pPr>
              <w:pStyle w:val="TabelaTexto"/>
            </w:pPr>
            <w:r>
              <w:t xml:space="preserve">Narvaez Gonzalez et al., 2025 [45]</w:t>
            </w:r>
          </w:p>
        </w:tc>
        <w:tc>
          <w:tcPr>
            <w:tcW w:w="1130" w:type="dxa"/>
          </w:tcPr>
          <w:p>
            <w:pPr>
              <w:pStyle w:val="TabelaTexto"/>
            </w:pPr>
            <w:r>
              <w:t xml:space="preserve">México</w:t>
            </w:r>
          </w:p>
        </w:tc>
        <w:tc>
          <w:tcPr>
            <w:tcW w:w="2497" w:type="dxa"/>
          </w:tcPr>
          <w:p>
            <w:pPr>
              <w:pStyle w:val="TabelaTexto"/>
            </w:pPr>
            <w:r>
              <w:t xml:space="preserve">transversal; 364 pacientes submetidos a CVL eletiva ou de urgência</w:t>
            </w:r>
          </w:p>
        </w:tc>
        <w:tc>
          <w:tcPr>
            <w:tcW w:w="2691" w:type="dxa"/>
          </w:tcPr>
          <w:p>
            <w:pPr>
              <w:pStyle w:val="TabelaTexto"/>
            </w:pPr>
            <w:r>
              <w:t xml:space="preserve">Tipo de procedimento (eletivo vs. urgência) e escalas intraoperatórias Parkland, Nassar e G10</w:t>
            </w:r>
          </w:p>
        </w:tc>
        <w:tc>
          <w:tcPr>
            <w:tcW w:w="2195" w:type="dxa"/>
          </w:tcPr>
          <w:p>
            <w:pPr>
              <w:pStyle w:val="TabelaTexto"/>
            </w:pPr>
            <w:r>
              <w:t xml:space="preserve">Taxa de conversão para cirurgia aberta e lesão de via biliar</w:t>
            </w:r>
          </w:p>
        </w:tc>
        <w:tc>
          <w:tcPr>
            <w:tcW w:w="3885" w:type="dxa"/>
          </w:tcPr>
          <w:p>
            <w:pPr>
              <w:pStyle w:val="TabelaTexto"/>
            </w:pPr>
            <w:r>
              <w:t xml:space="preserve">Conversão ocorreu em 4,3% e lesão biliar em 0,82%; escores Parkland, Nassar e G10 foram mais altos na urgência, que também apresentou maiores taxas de conversão e lesão de via biliar.</w:t>
            </w:r>
          </w:p>
        </w:tc>
      </w:tr>
      <w:tr>
        <w:trPr>
          <w:cantSplit/>
        </w:trPr>
        <w:tc>
          <w:tcPr>
            <w:tcW w:w="1605" w:type="dxa"/>
          </w:tcPr>
          <w:p>
            <w:pPr>
              <w:pStyle w:val="TabelaTexto"/>
            </w:pPr>
            <w:r>
              <w:t xml:space="preserve">Tóth et al., 2025 [6]</w:t>
            </w:r>
          </w:p>
        </w:tc>
        <w:tc>
          <w:tcPr>
            <w:tcW w:w="1130" w:type="dxa"/>
          </w:tcPr>
          <w:p>
            <w:pPr>
              <w:pStyle w:val="TabelaTexto"/>
            </w:pPr>
            <w:r>
              <w:t xml:space="preserve">Hungria</w:t>
            </w:r>
          </w:p>
        </w:tc>
        <w:tc>
          <w:tcPr>
            <w:tcW w:w="2497" w:type="dxa"/>
          </w:tcPr>
          <w:p>
            <w:pPr>
              <w:pStyle w:val="TabelaTexto"/>
            </w:pPr>
            <w:r>
              <w:t xml:space="preserve">coorte retrospectiva; 465 pacientes submetidos a colecistectomia precoce por colecistite aguda</w:t>
            </w:r>
          </w:p>
        </w:tc>
        <w:tc>
          <w:tcPr>
            <w:tcW w:w="2691" w:type="dxa"/>
          </w:tcPr>
          <w:p>
            <w:pPr>
              <w:pStyle w:val="TabelaTexto"/>
            </w:pPr>
            <w:r>
              <w:t xml:space="preserve">Gravidade da colecistite, índice de comorbidade de Charlson, intervalo até a cirurgia, sexo, idade e achados ultrassonográficos</w:t>
            </w:r>
          </w:p>
        </w:tc>
        <w:tc>
          <w:tcPr>
            <w:tcW w:w="2195" w:type="dxa"/>
          </w:tcPr>
          <w:p>
            <w:pPr>
              <w:pStyle w:val="TabelaTexto"/>
            </w:pPr>
            <w:r>
              <w:t xml:space="preserve">Taxa de conversão, sucesso laparoscópico, mortalidade e lesão de via biliar</w:t>
            </w:r>
          </w:p>
        </w:tc>
        <w:tc>
          <w:tcPr>
            <w:tcW w:w="3885" w:type="dxa"/>
          </w:tcPr>
          <w:p>
            <w:pPr>
              <w:pStyle w:val="TabelaTexto"/>
            </w:pPr>
            <w:r>
              <w:t xml:space="preserve">Conversão de 16,89%; maior com gravidade da colecistite (grau I 7,09% vs. grau II 32,93%) e índice de Charlson elevado (até 39,53%); cirurgia em até 72 horas reduziu conversão (14,45 vs. 25,71%).</w:t>
            </w:r>
          </w:p>
        </w:tc>
      </w:tr>
      <w:tr>
        <w:trPr>
          <w:cantSplit/>
        </w:trPr>
        <w:tc>
          <w:tcPr>
            <w:tcW w:w="1605" w:type="dxa"/>
          </w:tcPr>
          <w:p>
            <w:pPr>
              <w:pStyle w:val="TabelaTexto"/>
            </w:pPr>
            <w:r>
              <w:t xml:space="preserve">V et al., 2025 [21]</w:t>
            </w:r>
          </w:p>
        </w:tc>
        <w:tc>
          <w:tcPr>
            <w:tcW w:w="1130" w:type="dxa"/>
          </w:tcPr>
          <w:p>
            <w:pPr>
              <w:pStyle w:val="TabelaTexto"/>
            </w:pPr>
            <w:r>
              <w:t xml:space="preserve">Índia</w:t>
            </w:r>
          </w:p>
        </w:tc>
        <w:tc>
          <w:tcPr>
            <w:tcW w:w="2497" w:type="dxa"/>
          </w:tcPr>
          <w:p>
            <w:pPr>
              <w:pStyle w:val="TabelaTexto"/>
            </w:pPr>
            <w:r>
              <w:t xml:space="preserve">coorte prospectiva; 222 adultos submetidos a CVL eletiva</w:t>
            </w:r>
          </w:p>
        </w:tc>
        <w:tc>
          <w:tcPr>
            <w:tcW w:w="2691" w:type="dxa"/>
          </w:tcPr>
          <w:p>
            <w:pPr>
              <w:pStyle w:val="TabelaTexto"/>
            </w:pPr>
            <w:r>
              <w:t xml:space="preserve">Idade, sexo, IMC, leucometria, função hepática, tamanho e espessura da parede vesicular, cálculo impactado no infundíbulo e diâmetro do colédoco à ultrassonografia</w:t>
            </w:r>
          </w:p>
        </w:tc>
        <w:tc>
          <w:tcPr>
            <w:tcW w:w="2195" w:type="dxa"/>
          </w:tcPr>
          <w:p>
            <w:pPr>
              <w:pStyle w:val="TabelaTexto"/>
            </w:pPr>
            <w:r>
              <w:t xml:space="preserve">Conversão para cirurgia aberta; escore preditivo</w:t>
            </w:r>
          </w:p>
        </w:tc>
        <w:tc>
          <w:tcPr>
            <w:tcW w:w="3885" w:type="dxa"/>
          </w:tcPr>
          <w:p>
            <w:pPr>
              <w:pStyle w:val="TabelaTexto"/>
            </w:pPr>
            <w:r>
              <w:t xml:space="preserve">Conversão em 21 de 222 pacientes (9,5%). Espessura da parede e tamanho da vesícula compuseram o escore, com risco previsto de 0,5%, 1,8% e 7,2% para zero, um e dois pontos.</w:t>
            </w:r>
          </w:p>
        </w:tc>
      </w:tr>
      <w:tr>
        <w:trPr>
          <w:cantSplit/>
        </w:trPr>
        <w:tc>
          <w:tcPr>
            <w:tcW w:w="1605" w:type="dxa"/>
          </w:tcPr>
          <w:p>
            <w:pPr>
              <w:pStyle w:val="TabelaTexto"/>
            </w:pPr>
            <w:r>
              <w:t xml:space="preserve">Wu et al., 2025 [16]</w:t>
            </w:r>
          </w:p>
        </w:tc>
        <w:tc>
          <w:tcPr>
            <w:tcW w:w="1130" w:type="dxa"/>
          </w:tcPr>
          <w:p>
            <w:pPr>
              <w:pStyle w:val="TabelaTexto"/>
            </w:pPr>
            <w:r>
              <w:t xml:space="preserve">China</w:t>
            </w:r>
          </w:p>
        </w:tc>
        <w:tc>
          <w:tcPr>
            <w:tcW w:w="2497" w:type="dxa"/>
          </w:tcPr>
          <w:p>
            <w:pPr>
              <w:pStyle w:val="TabelaTexto"/>
            </w:pPr>
            <w:r>
              <w:t xml:space="preserve">transversal; 3.191 pacientes com colecistite aguda litiásica submetidos a CVL precoce em oito centros</w:t>
            </w:r>
          </w:p>
        </w:tc>
        <w:tc>
          <w:tcPr>
            <w:tcW w:w="2691" w:type="dxa"/>
          </w:tcPr>
          <w:p>
            <w:pPr>
              <w:pStyle w:val="TabelaTexto"/>
            </w:pPr>
            <w:r>
              <w:t xml:space="preserve">Variáveis clínicas, laboratoriais e cirúrgicas selecionadas por LASSO (PCR, classificação ASA, localização do cálculo, grau TG18, experiência do cirurgião)</w:t>
            </w:r>
          </w:p>
        </w:tc>
        <w:tc>
          <w:tcPr>
            <w:tcW w:w="2195" w:type="dxa"/>
          </w:tcPr>
          <w:p>
            <w:pPr>
              <w:pStyle w:val="TabelaTexto"/>
            </w:pPr>
            <w:r>
              <w:t xml:space="preserve">Conversão para cirurgia aberta; desempenho de nomograma preditivo com validação externa</w:t>
            </w:r>
          </w:p>
        </w:tc>
        <w:tc>
          <w:tcPr>
            <w:tcW w:w="3885" w:type="dxa"/>
          </w:tcPr>
          <w:p>
            <w:pPr>
              <w:pStyle w:val="TabelaTexto"/>
            </w:pPr>
            <w:r>
              <w:t xml:space="preserve">Nomograma com PCR pré-operatória, classificação ASA, cálculo no colo vesicular, grau TG18 e cirurgião júnior mostrou AUC de 0,868 no treinamento e 0,833 na validação externa, com boa calibração.</w:t>
            </w:r>
          </w:p>
        </w:tc>
      </w:tr>
      <w:tr>
        <w:trPr>
          <w:cantSplit/>
        </w:trPr>
        <w:tc>
          <w:tcPr>
            <w:tcW w:w="1605" w:type="dxa"/>
          </w:tcPr>
          <w:p>
            <w:pPr>
              <w:pStyle w:val="TabelaTexto"/>
            </w:pPr>
            <w:r>
              <w:t xml:space="preserve">Zhang et al., 2025 [32]</w:t>
            </w:r>
          </w:p>
        </w:tc>
        <w:tc>
          <w:tcPr>
            <w:tcW w:w="1130" w:type="dxa"/>
          </w:tcPr>
          <w:p>
            <w:pPr>
              <w:pStyle w:val="TabelaTexto"/>
            </w:pPr>
            <w:r>
              <w:t xml:space="preserve">China</w:t>
            </w:r>
          </w:p>
        </w:tc>
        <w:tc>
          <w:tcPr>
            <w:tcW w:w="2497" w:type="dxa"/>
          </w:tcPr>
          <w:p>
            <w:pPr>
              <w:pStyle w:val="TabelaTexto"/>
            </w:pPr>
            <w:r>
              <w:t xml:space="preserve">coorte retrospectiva; NI; pacientes submetidos a CVL em 2 hospitais de Xangai, com validação em coorte prospectiva</w:t>
            </w:r>
          </w:p>
        </w:tc>
        <w:tc>
          <w:tcPr>
            <w:tcW w:w="2691" w:type="dxa"/>
          </w:tcPr>
          <w:p>
            <w:pPr>
              <w:pStyle w:val="TabelaTexto"/>
            </w:pPr>
            <w:r>
              <w:t xml:space="preserve">Fatores de risco combinados à experiência do cirurgião em escore de graduação</w:t>
            </w:r>
          </w:p>
        </w:tc>
        <w:tc>
          <w:tcPr>
            <w:tcW w:w="2195" w:type="dxa"/>
          </w:tcPr>
          <w:p>
            <w:pPr>
              <w:pStyle w:val="TabelaTexto"/>
            </w:pPr>
            <w:r>
              <w:t xml:space="preserve">Conversão para cirurgia aberta e complicações</w:t>
            </w:r>
          </w:p>
        </w:tc>
        <w:tc>
          <w:tcPr>
            <w:tcW w:w="3885" w:type="dxa"/>
          </w:tcPr>
          <w:p>
            <w:pPr>
              <w:pStyle w:val="TabelaTexto"/>
            </w:pPr>
            <w:r>
              <w:t xml:space="preserve">O escore incorporando a experiência do cirurgião obteve AUC 0,893; pontuação acima de 3 indicou maior risco, e o manejo estratificado reduziu conversões e complicações na validação.</w:t>
            </w:r>
          </w:p>
        </w:tc>
      </w:tr>
      <w:tr>
        <w:trPr>
          <w:cantSplit/>
        </w:trPr>
        <w:tc>
          <w:tcPr>
            <w:tcW w:w="1605" w:type="dxa"/>
          </w:tcPr>
          <w:p>
            <w:pPr>
              <w:pStyle w:val="TabelaTexto"/>
            </w:pPr>
            <w:r>
              <w:t xml:space="preserve">Acosta et al., 2024 [46]</w:t>
            </w:r>
          </w:p>
        </w:tc>
        <w:tc>
          <w:tcPr>
            <w:tcW w:w="1130" w:type="dxa"/>
          </w:tcPr>
          <w:p>
            <w:pPr>
              <w:pStyle w:val="TabelaTexto"/>
            </w:pPr>
            <w:r>
              <w:t xml:space="preserve">Venezuela*</w:t>
            </w:r>
          </w:p>
        </w:tc>
        <w:tc>
          <w:tcPr>
            <w:tcW w:w="2497" w:type="dxa"/>
          </w:tcPr>
          <w:p>
            <w:pPr>
              <w:pStyle w:val="TabelaTexto"/>
            </w:pPr>
            <w:r>
              <w:t xml:space="preserve">transversal; 391 pacientes submetidos a CVL</w:t>
            </w:r>
          </w:p>
        </w:tc>
        <w:tc>
          <w:tcPr>
            <w:tcW w:w="2691" w:type="dxa"/>
          </w:tcPr>
          <w:p>
            <w:pPr>
              <w:pStyle w:val="TabelaTexto"/>
            </w:pPr>
            <w:r>
              <w:t xml:space="preserve">Sexo, idade e tipo de admissão (eletiva ou urgência)</w:t>
            </w:r>
          </w:p>
        </w:tc>
        <w:tc>
          <w:tcPr>
            <w:tcW w:w="2195" w:type="dxa"/>
          </w:tcPr>
          <w:p>
            <w:pPr>
              <w:pStyle w:val="TabelaTexto"/>
            </w:pPr>
            <w:r>
              <w:t xml:space="preserve">Taxa e causas de conversão; tempo de internação</w:t>
            </w:r>
          </w:p>
        </w:tc>
        <w:tc>
          <w:tcPr>
            <w:tcW w:w="3885" w:type="dxa"/>
          </w:tcPr>
          <w:p>
            <w:pPr>
              <w:pStyle w:val="TabelaTexto"/>
            </w:pPr>
            <w:r>
              <w:t xml:space="preserve">A conversão ocorreu em 3,3% e foi mais frequente em homens (p = 0,006), em casos de urgência e acima dos 50 anos. A principal causa foi falha do equipamento, e a conversão prolongou a internação (p = 0,009).</w:t>
            </w:r>
          </w:p>
        </w:tc>
      </w:tr>
      <w:tr>
        <w:trPr>
          <w:cantSplit/>
        </w:trPr>
        <w:tc>
          <w:tcPr>
            <w:tcW w:w="1605" w:type="dxa"/>
          </w:tcPr>
          <w:p>
            <w:pPr>
              <w:pStyle w:val="TabelaTexto"/>
            </w:pPr>
            <w:r>
              <w:t xml:space="preserve">Altamirano et al., 2024 [17]</w:t>
            </w:r>
          </w:p>
        </w:tc>
        <w:tc>
          <w:tcPr>
            <w:tcW w:w="1130" w:type="dxa"/>
          </w:tcPr>
          <w:p>
            <w:pPr>
              <w:pStyle w:val="TabelaTexto"/>
            </w:pPr>
            <w:r>
              <w:t xml:space="preserve">Argentina</w:t>
            </w:r>
          </w:p>
        </w:tc>
        <w:tc>
          <w:tcPr>
            <w:tcW w:w="2497" w:type="dxa"/>
          </w:tcPr>
          <w:p>
            <w:pPr>
              <w:pStyle w:val="TabelaTexto"/>
            </w:pPr>
            <w:r>
              <w:t xml:space="preserve">série de casos; 102 casos de colecistite aguda tratados cirurgicamente</w:t>
            </w:r>
          </w:p>
        </w:tc>
        <w:tc>
          <w:tcPr>
            <w:tcW w:w="2691" w:type="dxa"/>
          </w:tcPr>
          <w:p>
            <w:pPr>
              <w:pStyle w:val="TabelaTexto"/>
            </w:pPr>
            <w:r>
              <w:t xml:space="preserve">Momento da cirurgia: precoce (antes do sétimo dia do início dos sintomas) vs. tardia</w:t>
            </w:r>
          </w:p>
        </w:tc>
        <w:tc>
          <w:tcPr>
            <w:tcW w:w="2195" w:type="dxa"/>
          </w:tcPr>
          <w:p>
            <w:pPr>
              <w:pStyle w:val="TabelaTexto"/>
            </w:pPr>
            <w:r>
              <w:t xml:space="preserve">Conversão para cirurgia aberta, tempo de internação e complicações</w:t>
            </w:r>
          </w:p>
        </w:tc>
        <w:tc>
          <w:tcPr>
            <w:tcW w:w="3885" w:type="dxa"/>
          </w:tcPr>
          <w:p>
            <w:pPr>
              <w:pStyle w:val="TabelaTexto"/>
            </w:pPr>
            <w:r>
              <w:t xml:space="preserve">Conversão ocorreu em 2 casos (1,96%), ambos no grupo tardio, sobretudo por dúvida anatômica; o grupo tardio teve internação mais longa (7,69 vs. 1,34 dias; p = 0,001).</w:t>
            </w:r>
          </w:p>
        </w:tc>
      </w:tr>
      <w:tr>
        <w:trPr>
          <w:cantSplit/>
        </w:trPr>
        <w:tc>
          <w:tcPr>
            <w:tcW w:w="1605" w:type="dxa"/>
          </w:tcPr>
          <w:p>
            <w:pPr>
              <w:pStyle w:val="TabelaTexto"/>
            </w:pPr>
            <w:r>
              <w:t xml:space="preserve">Avci et al., 2024 [29]</w:t>
            </w:r>
          </w:p>
        </w:tc>
        <w:tc>
          <w:tcPr>
            <w:tcW w:w="1130" w:type="dxa"/>
          </w:tcPr>
          <w:p>
            <w:pPr>
              <w:pStyle w:val="TabelaTexto"/>
            </w:pPr>
            <w:r>
              <w:t xml:space="preserve">Turquia</w:t>
            </w:r>
          </w:p>
        </w:tc>
        <w:tc>
          <w:tcPr>
            <w:tcW w:w="2497" w:type="dxa"/>
          </w:tcPr>
          <w:p>
            <w:pPr>
              <w:pStyle w:val="TabelaTexto"/>
            </w:pPr>
            <w:r>
              <w:t xml:space="preserve">coorte retrospectiva; 160 pacientes submetidos a CVL</w:t>
            </w:r>
          </w:p>
        </w:tc>
        <w:tc>
          <w:tcPr>
            <w:tcW w:w="2691" w:type="dxa"/>
          </w:tcPr>
          <w:p>
            <w:pPr>
              <w:pStyle w:val="TabelaTexto"/>
            </w:pPr>
            <w:r>
              <w:t xml:space="preserve">Parâmetros do hemograma e razões derivadas (NLR, LMR, SIRI), GGT e bilirrubina total</w:t>
            </w:r>
          </w:p>
        </w:tc>
        <w:tc>
          <w:tcPr>
            <w:tcW w:w="2195" w:type="dxa"/>
          </w:tcPr>
          <w:p>
            <w:pPr>
              <w:pStyle w:val="TabelaTexto"/>
            </w:pPr>
            <w:r>
              <w:t xml:space="preserve">Conversão da CVL para cirurgia aberta</w:t>
            </w:r>
          </w:p>
        </w:tc>
        <w:tc>
          <w:tcPr>
            <w:tcW w:w="3885" w:type="dxa"/>
          </w:tcPr>
          <w:p>
            <w:pPr>
              <w:pStyle w:val="TabelaTexto"/>
            </w:pPr>
            <w:r>
              <w:t xml:space="preserve">Nas urgências, NLR e SIRI associaram-se à conversão; nas eletivas, GGT e bilirrubina total. Na regressão logística, nenhum parâmetro hematológico se mostrou preditor independente de conversão.</w:t>
            </w:r>
          </w:p>
        </w:tc>
      </w:tr>
      <w:tr>
        <w:trPr>
          <w:cantSplit/>
        </w:trPr>
        <w:tc>
          <w:tcPr>
            <w:tcW w:w="1605" w:type="dxa"/>
          </w:tcPr>
          <w:p>
            <w:pPr>
              <w:pStyle w:val="TabelaTexto"/>
            </w:pPr>
            <w:r>
              <w:t xml:space="preserve">Coaston et al., 2024 [7]</w:t>
            </w:r>
          </w:p>
        </w:tc>
        <w:tc>
          <w:tcPr>
            <w:tcW w:w="1130" w:type="dxa"/>
          </w:tcPr>
          <w:p>
            <w:pPr>
              <w:pStyle w:val="TabelaTexto"/>
            </w:pPr>
            <w:r>
              <w:t xml:space="preserve">Estados Unidos</w:t>
            </w:r>
          </w:p>
        </w:tc>
        <w:tc>
          <w:tcPr>
            <w:tcW w:w="2497" w:type="dxa"/>
          </w:tcPr>
          <w:p>
            <w:pPr>
              <w:pStyle w:val="TabelaTexto"/>
            </w:pPr>
            <w:r>
              <w:t xml:space="preserve">coorte retrospectiva; 89.476 pacientes adultos obesos com colecistite aguda submetidos a CVL não eletiva</w:t>
            </w:r>
          </w:p>
        </w:tc>
        <w:tc>
          <w:tcPr>
            <w:tcW w:w="2691" w:type="dxa"/>
          </w:tcPr>
          <w:p>
            <w:pPr>
              <w:pStyle w:val="TabelaTexto"/>
            </w:pPr>
            <w:r>
              <w:t xml:space="preserve">Classe de obesidade (IMC)</w:t>
            </w:r>
          </w:p>
        </w:tc>
        <w:tc>
          <w:tcPr>
            <w:tcW w:w="2195" w:type="dxa"/>
          </w:tcPr>
          <w:p>
            <w:pPr>
              <w:pStyle w:val="TabelaTexto"/>
            </w:pPr>
            <w:r>
              <w:t xml:space="preserve">Conversão para cirurgia aberta, complicações perioperatórias, custos e tempo de internação</w:t>
            </w:r>
          </w:p>
        </w:tc>
        <w:tc>
          <w:tcPr>
            <w:tcW w:w="3885" w:type="dxa"/>
          </w:tcPr>
          <w:p>
            <w:pPr>
              <w:pStyle w:val="TabelaTexto"/>
            </w:pPr>
            <w:r>
              <w:t xml:space="preserve">Obesidade classe 3 associou-se a maior chance de conversão (AOR 1,45); a conversão elevou risco de transfusão, complicações respiratórias, custos hospitalares e tempo de internação (+2,20 dias).</w:t>
            </w:r>
          </w:p>
        </w:tc>
      </w:tr>
      <w:tr>
        <w:trPr>
          <w:cantSplit/>
        </w:trPr>
        <w:tc>
          <w:tcPr>
            <w:tcW w:w="1605" w:type="dxa"/>
          </w:tcPr>
          <w:p>
            <w:pPr>
              <w:pStyle w:val="TabelaTexto"/>
            </w:pPr>
            <w:r>
              <w:t xml:space="preserve">Kadirvel et al., 2024 [47]</w:t>
            </w:r>
          </w:p>
        </w:tc>
        <w:tc>
          <w:tcPr>
            <w:tcW w:w="1130" w:type="dxa"/>
          </w:tcPr>
          <w:p>
            <w:pPr>
              <w:pStyle w:val="TabelaTexto"/>
            </w:pPr>
            <w:r>
              <w:t xml:space="preserve">Índia</w:t>
            </w:r>
          </w:p>
        </w:tc>
        <w:tc>
          <w:tcPr>
            <w:tcW w:w="2497" w:type="dxa"/>
          </w:tcPr>
          <w:p>
            <w:pPr>
              <w:pStyle w:val="TabelaTexto"/>
            </w:pPr>
            <w:r>
              <w:t xml:space="preserve">coorte prospectiva; 60 pacientes com colecistite aguda submetidos a CVL precoce</w:t>
            </w:r>
          </w:p>
        </w:tc>
        <w:tc>
          <w:tcPr>
            <w:tcW w:w="2691" w:type="dxa"/>
          </w:tcPr>
          <w:p>
            <w:pPr>
              <w:pStyle w:val="TabelaTexto"/>
            </w:pPr>
            <w:r>
              <w:t xml:space="preserve">Idade, IMC, comorbidades, leucócitos, PCR e achados ultrassonográficos e intraoperatórios</w:t>
            </w:r>
          </w:p>
        </w:tc>
        <w:tc>
          <w:tcPr>
            <w:tcW w:w="2195" w:type="dxa"/>
          </w:tcPr>
          <w:p>
            <w:pPr>
              <w:pStyle w:val="TabelaTexto"/>
            </w:pPr>
            <w:r>
              <w:t xml:space="preserve">Conversão para cirurgia aberta</w:t>
            </w:r>
          </w:p>
        </w:tc>
        <w:tc>
          <w:tcPr>
            <w:tcW w:w="3885" w:type="dxa"/>
          </w:tcPr>
          <w:p>
            <w:pPr>
              <w:pStyle w:val="TabelaTexto"/>
            </w:pPr>
            <w:r>
              <w:t xml:space="preserve">A conversão foi maior acima dos 50 anos (33,3%) e com IMC &gt;30 (26,3%). Leucocitose e PCR elevada foram preditores significativos. O modelo preditivo teve sensibilidade de 88,9% e especificidade de 90%.</w:t>
            </w:r>
          </w:p>
        </w:tc>
      </w:tr>
      <w:tr>
        <w:trPr>
          <w:cantSplit/>
        </w:trPr>
        <w:tc>
          <w:tcPr>
            <w:tcW w:w="1605" w:type="dxa"/>
          </w:tcPr>
          <w:p>
            <w:pPr>
              <w:pStyle w:val="TabelaTexto"/>
            </w:pPr>
            <w:r>
              <w:t xml:space="preserve">Medina López, 2024 [3]</w:t>
            </w:r>
          </w:p>
        </w:tc>
        <w:tc>
          <w:tcPr>
            <w:tcW w:w="1130" w:type="dxa"/>
          </w:tcPr>
          <w:p>
            <w:pPr>
              <w:pStyle w:val="TabelaTexto"/>
            </w:pPr>
            <w:r>
              <w:t xml:space="preserve">México*</w:t>
            </w:r>
          </w:p>
        </w:tc>
        <w:tc>
          <w:tcPr>
            <w:tcW w:w="2497" w:type="dxa"/>
          </w:tcPr>
          <w:p>
            <w:pPr>
              <w:pStyle w:val="TabelaTexto"/>
            </w:pPr>
            <w:r>
              <w:t xml:space="preserve">transversal; 362 pacientes submetidos a colecistectomia (419 avaliados, 57 excluídos)</w:t>
            </w:r>
          </w:p>
        </w:tc>
        <w:tc>
          <w:tcPr>
            <w:tcW w:w="2691" w:type="dxa"/>
          </w:tcPr>
          <w:p>
            <w:pPr>
              <w:pStyle w:val="TabelaTexto"/>
            </w:pPr>
            <w:r>
              <w:t xml:space="preserve">Variáveis sociodemográficas, ultrassonográficas e laboratoriais, CPRE prévia, experiência do cirurgião e variantes anatômicas</w:t>
            </w:r>
          </w:p>
        </w:tc>
        <w:tc>
          <w:tcPr>
            <w:tcW w:w="2195" w:type="dxa"/>
          </w:tcPr>
          <w:p>
            <w:pPr>
              <w:pStyle w:val="TabelaTexto"/>
            </w:pPr>
            <w:r>
              <w:t xml:space="preserve">Conversão de CVL para colecistectomia aberta</w:t>
            </w:r>
          </w:p>
        </w:tc>
        <w:tc>
          <w:tcPr>
            <w:tcW w:w="3885" w:type="dxa"/>
          </w:tcPr>
          <w:p>
            <w:pPr>
              <w:pStyle w:val="TabelaTexto"/>
            </w:pPr>
            <w:r>
              <w:t xml:space="preserve">Incidência de conversão de 9,6%; preditores pré-operatórios: idade &gt;65 anos, sexo feminino, sobrepeso, PCR &gt;10 mg/dL, leucocitose e bilirrubina &gt;2 mg/dL; cirurgião em formação e lesão de via biliar também associados.</w:t>
            </w:r>
          </w:p>
        </w:tc>
      </w:tr>
      <w:tr>
        <w:trPr>
          <w:cantSplit/>
        </w:trPr>
        <w:tc>
          <w:tcPr>
            <w:tcW w:w="1605" w:type="dxa"/>
          </w:tcPr>
          <w:p>
            <w:pPr>
              <w:pStyle w:val="TabelaTexto"/>
            </w:pPr>
            <w:r>
              <w:t xml:space="preserve">Mikwar et al., 2024 [4]</w:t>
            </w:r>
          </w:p>
        </w:tc>
        <w:tc>
          <w:tcPr>
            <w:tcW w:w="1130" w:type="dxa"/>
          </w:tcPr>
          <w:p>
            <w:pPr>
              <w:pStyle w:val="TabelaTexto"/>
            </w:pPr>
            <w:r>
              <w:t xml:space="preserve">Arábia Saudita</w:t>
            </w:r>
          </w:p>
        </w:tc>
        <w:tc>
          <w:tcPr>
            <w:tcW w:w="2497" w:type="dxa"/>
          </w:tcPr>
          <w:p>
            <w:pPr>
              <w:pStyle w:val="TabelaTexto"/>
            </w:pPr>
            <w:r>
              <w:t xml:space="preserve">transversal; 2.632 pacientes submetidos a colecistectomia</w:t>
            </w:r>
          </w:p>
        </w:tc>
        <w:tc>
          <w:tcPr>
            <w:tcW w:w="2691" w:type="dxa"/>
          </w:tcPr>
          <w:p>
            <w:pPr>
              <w:pStyle w:val="TabelaTexto"/>
            </w:pPr>
            <w:r>
              <w:t xml:space="preserve">Idade, sexo e causas intraoperatórias (aderências, anatomia distorcida)</w:t>
            </w:r>
          </w:p>
        </w:tc>
        <w:tc>
          <w:tcPr>
            <w:tcW w:w="2195" w:type="dxa"/>
          </w:tcPr>
          <w:p>
            <w:pPr>
              <w:pStyle w:val="TabelaTexto"/>
            </w:pPr>
            <w:r>
              <w:t xml:space="preserve">Taxa e causas de conversão para cirurgia aberta</w:t>
            </w:r>
          </w:p>
        </w:tc>
        <w:tc>
          <w:tcPr>
            <w:tcW w:w="3885" w:type="dxa"/>
          </w:tcPr>
          <w:p>
            <w:pPr>
              <w:pStyle w:val="TabelaTexto"/>
            </w:pPr>
            <w:r>
              <w:t xml:space="preserve">Conversão em 69 pacientes (2,62%); maior taxa no grupo acima de 60 anos (7,80%); aderências (79,71%) e anatomia distorcida (44,92%) foram as principais causas.</w:t>
            </w:r>
          </w:p>
        </w:tc>
      </w:tr>
      <w:tr>
        <w:trPr>
          <w:cantSplit/>
        </w:trPr>
        <w:tc>
          <w:tcPr>
            <w:tcW w:w="1605" w:type="dxa"/>
          </w:tcPr>
          <w:p>
            <w:pPr>
              <w:pStyle w:val="TabelaTexto"/>
            </w:pPr>
            <w:r>
              <w:t xml:space="preserve">Molasy et al., 2024 [27]</w:t>
            </w:r>
          </w:p>
        </w:tc>
        <w:tc>
          <w:tcPr>
            <w:tcW w:w="1130" w:type="dxa"/>
          </w:tcPr>
          <w:p>
            <w:pPr>
              <w:pStyle w:val="TabelaTexto"/>
            </w:pPr>
            <w:r>
              <w:t xml:space="preserve">Polônia</w:t>
            </w:r>
          </w:p>
        </w:tc>
        <w:tc>
          <w:tcPr>
            <w:tcW w:w="2497" w:type="dxa"/>
          </w:tcPr>
          <w:p>
            <w:pPr>
              <w:pStyle w:val="TabelaTexto"/>
            </w:pPr>
            <w:r>
              <w:t xml:space="preserve">coorte retrospectiva; 227 pacientes operados por colelitíase sintomática</w:t>
            </w:r>
          </w:p>
        </w:tc>
        <w:tc>
          <w:tcPr>
            <w:tcW w:w="2691" w:type="dxa"/>
          </w:tcPr>
          <w:p>
            <w:pPr>
              <w:pStyle w:val="TabelaTexto"/>
            </w:pPr>
            <w:r>
              <w:t xml:space="preserve">NLR, MLR e PLR pré-operatórias</w:t>
            </w:r>
          </w:p>
        </w:tc>
        <w:tc>
          <w:tcPr>
            <w:tcW w:w="2195" w:type="dxa"/>
          </w:tcPr>
          <w:p>
            <w:pPr>
              <w:pStyle w:val="TabelaTexto"/>
            </w:pPr>
            <w:r>
              <w:t xml:space="preserve">Conversão, complicações (Clavien-Dindo) e tempo de internação</w:t>
            </w:r>
          </w:p>
        </w:tc>
        <w:tc>
          <w:tcPr>
            <w:tcW w:w="3885" w:type="dxa"/>
          </w:tcPr>
          <w:p>
            <w:pPr>
              <w:pStyle w:val="TabelaTexto"/>
            </w:pPr>
            <w:r>
              <w:t xml:space="preserve">Valores crescentes de NLR, MLR e PLR associaram-se a maior risco de conversão (p &lt; 0,05) e internação mais longa; NLR e MLR elevadas relacionaram-se ainda a complicações mais graves.</w:t>
            </w:r>
          </w:p>
        </w:tc>
      </w:tr>
      <w:tr>
        <w:trPr>
          <w:cantSplit/>
        </w:trPr>
        <w:tc>
          <w:tcPr>
            <w:tcW w:w="1605" w:type="dxa"/>
          </w:tcPr>
          <w:p>
            <w:pPr>
              <w:pStyle w:val="TabelaTexto"/>
            </w:pPr>
            <w:r>
              <w:t xml:space="preserve">Toppo et al., 2024 [48]</w:t>
            </w:r>
          </w:p>
        </w:tc>
        <w:tc>
          <w:tcPr>
            <w:tcW w:w="1130" w:type="dxa"/>
          </w:tcPr>
          <w:p>
            <w:pPr>
              <w:pStyle w:val="TabelaTexto"/>
            </w:pPr>
            <w:r>
              <w:t xml:space="preserve">Índia</w:t>
            </w:r>
          </w:p>
        </w:tc>
        <w:tc>
          <w:tcPr>
            <w:tcW w:w="2497" w:type="dxa"/>
          </w:tcPr>
          <w:p>
            <w:pPr>
              <w:pStyle w:val="TabelaTexto"/>
            </w:pPr>
            <w:r>
              <w:t xml:space="preserve">coorte prospectiva; 93 pacientes com litíase biliar submetidos a CVL</w:t>
            </w:r>
          </w:p>
        </w:tc>
        <w:tc>
          <w:tcPr>
            <w:tcW w:w="2691" w:type="dxa"/>
          </w:tcPr>
          <w:p>
            <w:pPr>
              <w:pStyle w:val="TabelaTexto"/>
            </w:pPr>
            <w:r>
              <w:t xml:space="preserve">História clínica, marcadores bioquímicos e achados ultrassonográficos</w:t>
            </w:r>
          </w:p>
        </w:tc>
        <w:tc>
          <w:tcPr>
            <w:tcW w:w="2195" w:type="dxa"/>
          </w:tcPr>
          <w:p>
            <w:pPr>
              <w:pStyle w:val="TabelaTexto"/>
            </w:pPr>
            <w:r>
              <w:t xml:space="preserve">Conversão para colecistectomia aberta</w:t>
            </w:r>
          </w:p>
        </w:tc>
        <w:tc>
          <w:tcPr>
            <w:tcW w:w="3885" w:type="dxa"/>
          </w:tcPr>
          <w:p>
            <w:pPr>
              <w:pStyle w:val="TabelaTexto"/>
            </w:pPr>
            <w:r>
              <w:t xml:space="preserve">Dez pacientes foram convertidos (10,75%). Colecistite aguda, múltiplas crises prévias e vesícula contraída à ultrassonografia foram preditores significativos de conversão.</w:t>
            </w:r>
          </w:p>
        </w:tc>
      </w:tr>
      <w:tr>
        <w:trPr>
          <w:cantSplit/>
        </w:trPr>
        <w:tc>
          <w:tcPr>
            <w:tcW w:w="1605" w:type="dxa"/>
          </w:tcPr>
          <w:p>
            <w:pPr>
              <w:pStyle w:val="TabelaTexto"/>
            </w:pPr>
            <w:r>
              <w:t xml:space="preserve">Wei et al., 2024 [49]</w:t>
            </w:r>
          </w:p>
        </w:tc>
        <w:tc>
          <w:tcPr>
            <w:tcW w:w="1130" w:type="dxa"/>
          </w:tcPr>
          <w:p>
            <w:pPr>
              <w:pStyle w:val="TabelaTexto"/>
            </w:pPr>
            <w:r>
              <w:t xml:space="preserve">China</w:t>
            </w:r>
          </w:p>
        </w:tc>
        <w:tc>
          <w:tcPr>
            <w:tcW w:w="2497" w:type="dxa"/>
          </w:tcPr>
          <w:p>
            <w:pPr>
              <w:pStyle w:val="TabelaTexto"/>
            </w:pPr>
            <w:r>
              <w:t xml:space="preserve">coorte retrospectiva; 127 pacientes submetidos a CVL após drenagem percutânea trans-hepática da vesícula (PTGBD)</w:t>
            </w:r>
          </w:p>
        </w:tc>
        <w:tc>
          <w:tcPr>
            <w:tcW w:w="2691" w:type="dxa"/>
          </w:tcPr>
          <w:p>
            <w:pPr>
              <w:pStyle w:val="TabelaTexto"/>
            </w:pPr>
            <w:r>
              <w:t xml:space="preserve">Marcadores inflamatórios sistêmicos e locais (PCR, derrame perivesicular, contato com estômago ou duodeno)</w:t>
            </w:r>
          </w:p>
        </w:tc>
        <w:tc>
          <w:tcPr>
            <w:tcW w:w="2195" w:type="dxa"/>
          </w:tcPr>
          <w:p>
            <w:pPr>
              <w:pStyle w:val="TabelaTexto"/>
            </w:pPr>
            <w:r>
              <w:t xml:space="preserve">CVL difícil definida por tempo operatório, perda sanguínea e conversão</w:t>
            </w:r>
          </w:p>
        </w:tc>
        <w:tc>
          <w:tcPr>
            <w:tcW w:w="3885" w:type="dxa"/>
          </w:tcPr>
          <w:p>
            <w:pPr>
              <w:pStyle w:val="TabelaTexto"/>
            </w:pPr>
            <w:r>
              <w:t xml:space="preserve">Entre 127 pacientes, 36 tiveram cirurgia difícil; PCR elevada, derrame perivesicular e contato com estômago ou duodeno foram fatores independentes, integrando nomograma bem calibrado e discriminativo.</w:t>
            </w:r>
          </w:p>
        </w:tc>
      </w:tr>
      <w:tr>
        <w:trPr>
          <w:cantSplit/>
        </w:trPr>
        <w:tc>
          <w:tcPr>
            <w:tcW w:w="1605" w:type="dxa"/>
          </w:tcPr>
          <w:p>
            <w:pPr>
              <w:pStyle w:val="TabelaTexto"/>
            </w:pPr>
            <w:r>
              <w:t xml:space="preserve">Aguila Gómez et al., 2023 [50]</w:t>
            </w:r>
          </w:p>
        </w:tc>
        <w:tc>
          <w:tcPr>
            <w:tcW w:w="1130" w:type="dxa"/>
          </w:tcPr>
          <w:p>
            <w:pPr>
              <w:pStyle w:val="TabelaTexto"/>
            </w:pPr>
            <w:r>
              <w:t xml:space="preserve">Bolívia</w:t>
            </w:r>
          </w:p>
        </w:tc>
        <w:tc>
          <w:tcPr>
            <w:tcW w:w="2497" w:type="dxa"/>
          </w:tcPr>
          <w:p>
            <w:pPr>
              <w:pStyle w:val="TabelaTexto"/>
            </w:pPr>
            <w:r>
              <w:t xml:space="preserve">série de casos; 1.095 pacientes submetidos a CVL (2012-2022)</w:t>
            </w:r>
          </w:p>
        </w:tc>
        <w:tc>
          <w:tcPr>
            <w:tcW w:w="2691" w:type="dxa"/>
          </w:tcPr>
          <w:p>
            <w:pPr>
              <w:pStyle w:val="TabelaTexto"/>
            </w:pPr>
            <w:r>
              <w:t xml:space="preserve">Características clínicas e operatórias; causas de conversão</w:t>
            </w:r>
          </w:p>
        </w:tc>
        <w:tc>
          <w:tcPr>
            <w:tcW w:w="2195" w:type="dxa"/>
          </w:tcPr>
          <w:p>
            <w:pPr>
              <w:pStyle w:val="TabelaTexto"/>
            </w:pPr>
            <w:r>
              <w:t xml:space="preserve">Taxa e causa de conversão para cirurgia aberta</w:t>
            </w:r>
          </w:p>
        </w:tc>
        <w:tc>
          <w:tcPr>
            <w:tcW w:w="3885" w:type="dxa"/>
          </w:tcPr>
          <w:p>
            <w:pPr>
              <w:pStyle w:val="TabelaTexto"/>
            </w:pPr>
            <w:r>
              <w:t xml:space="preserve">A taxa de conversão foi de 6,9%, e o principal motivo foi a dificuldade em identificar as estruturas anatômicas. A permanência pós-operatória média foi de 3,5 dias, e a CVL mostrou-se segura e eficaz.</w:t>
            </w:r>
          </w:p>
        </w:tc>
      </w:tr>
      <w:tr>
        <w:trPr>
          <w:cantSplit/>
        </w:trPr>
        <w:tc>
          <w:tcPr>
            <w:tcW w:w="1605" w:type="dxa"/>
          </w:tcPr>
          <w:p>
            <w:pPr>
              <w:pStyle w:val="TabelaTexto"/>
            </w:pPr>
            <w:r>
              <w:t xml:space="preserve">Altıner et al., 2023 [22]</w:t>
            </w:r>
          </w:p>
        </w:tc>
        <w:tc>
          <w:tcPr>
            <w:tcW w:w="1130" w:type="dxa"/>
          </w:tcPr>
          <w:p>
            <w:pPr>
              <w:pStyle w:val="TabelaTexto"/>
            </w:pPr>
            <w:r>
              <w:t xml:space="preserve">Turquia</w:t>
            </w:r>
          </w:p>
        </w:tc>
        <w:tc>
          <w:tcPr>
            <w:tcW w:w="2497" w:type="dxa"/>
          </w:tcPr>
          <w:p>
            <w:pPr>
              <w:pStyle w:val="TabelaTexto"/>
            </w:pPr>
            <w:r>
              <w:t xml:space="preserve">coorte retrospectiva; 80 pacientes submetidos a CVL por colecistite aguda</w:t>
            </w:r>
          </w:p>
        </w:tc>
        <w:tc>
          <w:tcPr>
            <w:tcW w:w="2691" w:type="dxa"/>
          </w:tcPr>
          <w:p>
            <w:pPr>
              <w:pStyle w:val="TabelaTexto"/>
            </w:pPr>
            <w:r>
              <w:t xml:space="preserve">Espessura da parede vesicular e líquido pericolecístico à ultrassonografia pré-operatória</w:t>
            </w:r>
          </w:p>
        </w:tc>
        <w:tc>
          <w:tcPr>
            <w:tcW w:w="2195" w:type="dxa"/>
          </w:tcPr>
          <w:p>
            <w:pPr>
              <w:pStyle w:val="TabelaTexto"/>
            </w:pPr>
            <w:r>
              <w:t xml:space="preserve">Conversão para cirurgia aberta, tempo operatório e tempo de internação</w:t>
            </w:r>
          </w:p>
        </w:tc>
        <w:tc>
          <w:tcPr>
            <w:tcW w:w="3885" w:type="dxa"/>
          </w:tcPr>
          <w:p>
            <w:pPr>
              <w:pStyle w:val="TabelaTexto"/>
            </w:pPr>
            <w:r>
              <w:t xml:space="preserve">Convertidos apresentaram parede vesicular mais espessa e mais líquido pericolecístico; espessura ≥5,75 mm previu conversão (AUC 0,907), com sensibilidade de 85,7% e especificidade de 84,9%.</w:t>
            </w:r>
          </w:p>
        </w:tc>
      </w:tr>
      <w:tr>
        <w:trPr>
          <w:cantSplit/>
        </w:trPr>
        <w:tc>
          <w:tcPr>
            <w:tcW w:w="1605" w:type="dxa"/>
          </w:tcPr>
          <w:p>
            <w:pPr>
              <w:pStyle w:val="TabelaTexto"/>
            </w:pPr>
            <w:r>
              <w:t xml:space="preserve">Amer et al., 2023 [51]</w:t>
            </w:r>
          </w:p>
        </w:tc>
        <w:tc>
          <w:tcPr>
            <w:tcW w:w="1130" w:type="dxa"/>
          </w:tcPr>
          <w:p>
            <w:pPr>
              <w:pStyle w:val="TabelaTexto"/>
            </w:pPr>
            <w:r>
              <w:t xml:space="preserve">Arábia Saudita</w:t>
            </w:r>
          </w:p>
        </w:tc>
        <w:tc>
          <w:tcPr>
            <w:tcW w:w="2497" w:type="dxa"/>
          </w:tcPr>
          <w:p>
            <w:pPr>
              <w:pStyle w:val="TabelaTexto"/>
            </w:pPr>
            <w:r>
              <w:t xml:space="preserve">coorte retrospectiva; 627 pacientes submetidos a CVL de urgência ou eletiva</w:t>
            </w:r>
          </w:p>
        </w:tc>
        <w:tc>
          <w:tcPr>
            <w:tcW w:w="2691" w:type="dxa"/>
          </w:tcPr>
          <w:p>
            <w:pPr>
              <w:pStyle w:val="TabelaTexto"/>
            </w:pPr>
            <w:r>
              <w:t xml:space="preserve">Caráter da cirurgia (urgência vs. eletiva), dados demográficos e marcadores inflamatórios (PCR)</w:t>
            </w:r>
          </w:p>
        </w:tc>
        <w:tc>
          <w:tcPr>
            <w:tcW w:w="2195" w:type="dxa"/>
          </w:tcPr>
          <w:p>
            <w:pPr>
              <w:pStyle w:val="TabelaTexto"/>
            </w:pPr>
            <w:r>
              <w:t xml:space="preserve">Taxa de conversão, complicações pós-operatórias e tempo de internação</w:t>
            </w:r>
          </w:p>
        </w:tc>
        <w:tc>
          <w:tcPr>
            <w:tcW w:w="3885" w:type="dxa"/>
          </w:tcPr>
          <w:p>
            <w:pPr>
              <w:pStyle w:val="TabelaTexto"/>
            </w:pPr>
            <w:r>
              <w:t xml:space="preserve">Somente dois casos foram convertidos, sem associação entre conversão e caráter da cirurgia. Urgência associou-se a PCR mais alta, mais complicações pós-operatórias e internação mais longa (6,0 vs. 4,5 dias).</w:t>
            </w:r>
          </w:p>
        </w:tc>
      </w:tr>
      <w:tr>
        <w:trPr>
          <w:cantSplit/>
        </w:trPr>
        <w:tc>
          <w:tcPr>
            <w:tcW w:w="1605" w:type="dxa"/>
          </w:tcPr>
          <w:p>
            <w:pPr>
              <w:pStyle w:val="TabelaTexto"/>
            </w:pPr>
            <w:r>
              <w:t xml:space="preserve">Balbaloglu et al., 2023 [24]</w:t>
            </w:r>
          </w:p>
        </w:tc>
        <w:tc>
          <w:tcPr>
            <w:tcW w:w="1130" w:type="dxa"/>
          </w:tcPr>
          <w:p>
            <w:pPr>
              <w:pStyle w:val="TabelaTexto"/>
            </w:pPr>
            <w:r>
              <w:t xml:space="preserve">Turquia</w:t>
            </w:r>
          </w:p>
        </w:tc>
        <w:tc>
          <w:tcPr>
            <w:tcW w:w="2497" w:type="dxa"/>
          </w:tcPr>
          <w:p>
            <w:pPr>
              <w:pStyle w:val="TabelaTexto"/>
            </w:pPr>
            <w:r>
              <w:t xml:space="preserve">coorte retrospectiva; 700 pacientes submetidos a colecistectomia</w:t>
            </w:r>
          </w:p>
        </w:tc>
        <w:tc>
          <w:tcPr>
            <w:tcW w:w="2691" w:type="dxa"/>
          </w:tcPr>
          <w:p>
            <w:pPr>
              <w:pStyle w:val="TabelaTexto"/>
            </w:pPr>
            <w:r>
              <w:t xml:space="preserve">Espessura da parede vesicular, NLR, PLR e índices combinados (KxNLR, KxPLR)</w:t>
            </w:r>
          </w:p>
        </w:tc>
        <w:tc>
          <w:tcPr>
            <w:tcW w:w="2195" w:type="dxa"/>
          </w:tcPr>
          <w:p>
            <w:pPr>
              <w:pStyle w:val="TabelaTexto"/>
            </w:pPr>
            <w:r>
              <w:t xml:space="preserve">Conversão da CVL para cirurgia aberta</w:t>
            </w:r>
          </w:p>
        </w:tc>
        <w:tc>
          <w:tcPr>
            <w:tcW w:w="3885" w:type="dxa"/>
          </w:tcPr>
          <w:p>
            <w:pPr>
              <w:pStyle w:val="TabelaTexto"/>
            </w:pPr>
            <w:r>
              <w:t xml:space="preserve">Idade, neutrófilos, espessura parietal, NLR, PLR e índices combinados foram maiores nos convertidos; espessura acima de 3 mm teve melhor desempenho diagnóstico, e multiplicá-la pela NLR aumentou a sensibilidade.</w:t>
            </w:r>
          </w:p>
        </w:tc>
      </w:tr>
      <w:tr>
        <w:trPr>
          <w:cantSplit/>
        </w:trPr>
        <w:tc>
          <w:tcPr>
            <w:tcW w:w="1605" w:type="dxa"/>
          </w:tcPr>
          <w:p>
            <w:pPr>
              <w:pStyle w:val="TabelaTexto"/>
            </w:pPr>
            <w:r>
              <w:t xml:space="preserve">Ensuncho-Hoyos et al., 2023 [18]</w:t>
            </w:r>
          </w:p>
        </w:tc>
        <w:tc>
          <w:tcPr>
            <w:tcW w:w="1130" w:type="dxa"/>
          </w:tcPr>
          <w:p>
            <w:pPr>
              <w:pStyle w:val="TabelaTexto"/>
            </w:pPr>
            <w:r>
              <w:t xml:space="preserve">Colômbia</w:t>
            </w:r>
          </w:p>
        </w:tc>
        <w:tc>
          <w:tcPr>
            <w:tcW w:w="2497" w:type="dxa"/>
          </w:tcPr>
          <w:p>
            <w:pPr>
              <w:pStyle w:val="TabelaTexto"/>
            </w:pPr>
            <w:r>
              <w:t xml:space="preserve">caso-controle; 332 pacientes submetidos a CVL (83 casos convertidos e 249 controles)</w:t>
            </w:r>
          </w:p>
        </w:tc>
        <w:tc>
          <w:tcPr>
            <w:tcW w:w="2691" w:type="dxa"/>
          </w:tcPr>
          <w:p>
            <w:pPr>
              <w:pStyle w:val="TabelaTexto"/>
            </w:pPr>
            <w:r>
              <w:t xml:space="preserve">Fatores perioperatórios: experiência do cirurgião, obesidade, espessamento da parede vesicular à ultrassonografia, classificação de Parkland</w:t>
            </w:r>
          </w:p>
        </w:tc>
        <w:tc>
          <w:tcPr>
            <w:tcW w:w="2195" w:type="dxa"/>
          </w:tcPr>
          <w:p>
            <w:pPr>
              <w:pStyle w:val="TabelaTexto"/>
            </w:pPr>
            <w:r>
              <w:t xml:space="preserve">Conversão para técnica aberta</w:t>
            </w:r>
          </w:p>
        </w:tc>
        <w:tc>
          <w:tcPr>
            <w:tcW w:w="3885" w:type="dxa"/>
          </w:tcPr>
          <w:p>
            <w:pPr>
              <w:pStyle w:val="TabelaTexto"/>
            </w:pPr>
            <w:r>
              <w:t xml:space="preserve">Na análise multivariada, experiência do cirurgião, obesidade, espessamento da parede vesicular à ultrassonografia e maior pontuação na classificação de Parkland foram as variáveis mais fortemente associadas à conversão.</w:t>
            </w:r>
          </w:p>
        </w:tc>
      </w:tr>
      <w:tr>
        <w:trPr>
          <w:cantSplit/>
        </w:trPr>
        <w:tc>
          <w:tcPr>
            <w:tcW w:w="1605" w:type="dxa"/>
          </w:tcPr>
          <w:p>
            <w:pPr>
              <w:pStyle w:val="TabelaTexto"/>
            </w:pPr>
            <w:r>
              <w:t xml:space="preserve">Khan et al., 2023 [23]</w:t>
            </w:r>
          </w:p>
        </w:tc>
        <w:tc>
          <w:tcPr>
            <w:tcW w:w="1130" w:type="dxa"/>
          </w:tcPr>
          <w:p>
            <w:pPr>
              <w:pStyle w:val="TabelaTexto"/>
            </w:pPr>
            <w:r>
              <w:t xml:space="preserve">Índia</w:t>
            </w:r>
          </w:p>
        </w:tc>
        <w:tc>
          <w:tcPr>
            <w:tcW w:w="2497" w:type="dxa"/>
          </w:tcPr>
          <w:p>
            <w:pPr>
              <w:pStyle w:val="TabelaTexto"/>
            </w:pPr>
            <w:r>
              <w:t xml:space="preserve">coorte prospectiva; 350 pacientes com colelitíase sintomática submetidos a CVL</w:t>
            </w:r>
          </w:p>
        </w:tc>
        <w:tc>
          <w:tcPr>
            <w:tcW w:w="2691" w:type="dxa"/>
          </w:tcPr>
          <w:p>
            <w:pPr>
              <w:pStyle w:val="TabelaTexto"/>
            </w:pPr>
            <w:r>
              <w:t xml:space="preserve">Espessura da parede vesicular à ultrassonografia pré-operatória</w:t>
            </w:r>
          </w:p>
        </w:tc>
        <w:tc>
          <w:tcPr>
            <w:tcW w:w="2195" w:type="dxa"/>
          </w:tcPr>
          <w:p>
            <w:pPr>
              <w:pStyle w:val="TabelaTexto"/>
            </w:pPr>
            <w:r>
              <w:t xml:space="preserve">Taxa de conversão, complicações, tempo operatório e internação</w:t>
            </w:r>
          </w:p>
        </w:tc>
        <w:tc>
          <w:tcPr>
            <w:tcW w:w="3885" w:type="dxa"/>
          </w:tcPr>
          <w:p>
            <w:pPr>
              <w:pStyle w:val="TabelaTexto"/>
            </w:pPr>
            <w:r>
              <w:t xml:space="preserve">Espessamento moderado e grave da parede vesicular associou-se significativamente a mais conversões, complicações, maior tempo operatório e internação prolongada; 29,71% dos pacientes apresentavam parede espessada.</w:t>
            </w:r>
          </w:p>
        </w:tc>
      </w:tr>
      <w:tr>
        <w:trPr>
          <w:cantSplit/>
        </w:trPr>
        <w:tc>
          <w:tcPr>
            <w:tcW w:w="1605" w:type="dxa"/>
          </w:tcPr>
          <w:p>
            <w:pPr>
              <w:pStyle w:val="TabelaTexto"/>
            </w:pPr>
            <w:r>
              <w:t xml:space="preserve">Ochoa-Ortiz et al., 2023 [2]</w:t>
            </w:r>
          </w:p>
        </w:tc>
        <w:tc>
          <w:tcPr>
            <w:tcW w:w="1130" w:type="dxa"/>
          </w:tcPr>
          <w:p>
            <w:pPr>
              <w:pStyle w:val="TabelaTexto"/>
            </w:pPr>
            <w:r>
              <w:t xml:space="preserve">México</w:t>
            </w:r>
          </w:p>
        </w:tc>
        <w:tc>
          <w:tcPr>
            <w:tcW w:w="2497" w:type="dxa"/>
          </w:tcPr>
          <w:p>
            <w:pPr>
              <w:pStyle w:val="TabelaTexto"/>
            </w:pPr>
            <w:r>
              <w:t xml:space="preserve">coorte prospectiva; NI; pacientes adultos de ambos os sexos com doença da vesícula biliar e indicação de CVL</w:t>
            </w:r>
          </w:p>
        </w:tc>
        <w:tc>
          <w:tcPr>
            <w:tcW w:w="2691" w:type="dxa"/>
          </w:tcPr>
          <w:p>
            <w:pPr>
              <w:pStyle w:val="TabelaTexto"/>
            </w:pPr>
            <w:r>
              <w:t xml:space="preserve">Fatores pré-operatórios (dilatação do colédoco, cirurgia de urgência, tabagismo) e intraoperatórios (duração, edema do triângulo de Calot, coledocolitíase)</w:t>
            </w:r>
          </w:p>
        </w:tc>
        <w:tc>
          <w:tcPr>
            <w:tcW w:w="2195" w:type="dxa"/>
          </w:tcPr>
          <w:p>
            <w:pPr>
              <w:pStyle w:val="TabelaTexto"/>
            </w:pPr>
            <w:r>
              <w:t xml:space="preserve">Conversão para colecistectomia aberta</w:t>
            </w:r>
          </w:p>
        </w:tc>
        <w:tc>
          <w:tcPr>
            <w:tcW w:w="3885" w:type="dxa"/>
          </w:tcPr>
          <w:p>
            <w:pPr>
              <w:pStyle w:val="TabelaTexto"/>
            </w:pPr>
            <w:r>
              <w:t xml:space="preserve">Conversão em 4,54%. Na análise multivariada, somente a duração da cirurgia laparoscópica manteve associação; ponto de corte de 120 minutos, com sensibilidade de 67% e especificidade de 88%.</w:t>
            </w:r>
          </w:p>
        </w:tc>
      </w:tr>
      <w:tr>
        <w:trPr>
          <w:cantSplit/>
        </w:trPr>
        <w:tc>
          <w:tcPr>
            <w:tcW w:w="1605" w:type="dxa"/>
          </w:tcPr>
          <w:p>
            <w:pPr>
              <w:pStyle w:val="TabelaTexto"/>
            </w:pPr>
            <w:r>
              <w:t xml:space="preserve">Tongyoo et al., 2023 [52]</w:t>
            </w:r>
          </w:p>
        </w:tc>
        <w:tc>
          <w:tcPr>
            <w:tcW w:w="1130" w:type="dxa"/>
          </w:tcPr>
          <w:p>
            <w:pPr>
              <w:pStyle w:val="TabelaTexto"/>
            </w:pPr>
            <w:r>
              <w:t xml:space="preserve">Tailândia</w:t>
            </w:r>
          </w:p>
        </w:tc>
        <w:tc>
          <w:tcPr>
            <w:tcW w:w="2497" w:type="dxa"/>
          </w:tcPr>
          <w:p>
            <w:pPr>
              <w:pStyle w:val="TabelaTexto"/>
            </w:pPr>
            <w:r>
              <w:t xml:space="preserve">coorte retrospectiva; 567 pacientes submetidos a CVL eletiva tardia</w:t>
            </w:r>
          </w:p>
        </w:tc>
        <w:tc>
          <w:tcPr>
            <w:tcW w:w="2691" w:type="dxa"/>
          </w:tcPr>
          <w:p>
            <w:pPr>
              <w:pStyle w:val="TabelaTexto"/>
            </w:pPr>
            <w:r>
              <w:t xml:space="preserve">Escore de Randhawa original e modificado; fatores clínicos, laboratoriais e ultrassonográficos</w:t>
            </w:r>
          </w:p>
        </w:tc>
        <w:tc>
          <w:tcPr>
            <w:tcW w:w="2195" w:type="dxa"/>
          </w:tcPr>
          <w:p>
            <w:pPr>
              <w:pStyle w:val="TabelaTexto"/>
            </w:pPr>
            <w:r>
              <w:t xml:space="preserve">CVL muito difícil e conversão para cirurgia aberta</w:t>
            </w:r>
          </w:p>
        </w:tc>
        <w:tc>
          <w:tcPr>
            <w:tcW w:w="3885" w:type="dxa"/>
          </w:tcPr>
          <w:p>
            <w:pPr>
              <w:pStyle w:val="TabelaTexto"/>
            </w:pPr>
            <w:r>
              <w:t xml:space="preserve">Houve 44 conversões (7,8%). Colecistite prévia, colangite prévia, leucocitose, espessamento parietal e vesícula contraída associaram-se à conversão; o escore de Randhawa modificado teve melhor correlação e maior área sob a curva ROC.</w:t>
            </w:r>
          </w:p>
        </w:tc>
      </w:tr>
      <w:tr>
        <w:trPr>
          <w:cantSplit/>
        </w:trPr>
        <w:tc>
          <w:tcPr>
            <w:tcW w:w="1605" w:type="dxa"/>
          </w:tcPr>
          <w:p>
            <w:pPr>
              <w:pStyle w:val="TabelaTexto"/>
            </w:pPr>
            <w:r>
              <w:t xml:space="preserve">Utsumi et al., 2023 [15]</w:t>
            </w:r>
          </w:p>
        </w:tc>
        <w:tc>
          <w:tcPr>
            <w:tcW w:w="1130" w:type="dxa"/>
          </w:tcPr>
          <w:p>
            <w:pPr>
              <w:pStyle w:val="TabelaTexto"/>
            </w:pPr>
            <w:r>
              <w:t xml:space="preserve">Japão</w:t>
            </w:r>
          </w:p>
        </w:tc>
        <w:tc>
          <w:tcPr>
            <w:tcW w:w="2497" w:type="dxa"/>
          </w:tcPr>
          <w:p>
            <w:pPr>
              <w:pStyle w:val="TabelaTexto"/>
            </w:pPr>
            <w:r>
              <w:t xml:space="preserve">coorte retrospectiva; 231 pacientes submetidos a CVL por colecistite aguda (critérios de Tóquio 2018)</w:t>
            </w:r>
          </w:p>
        </w:tc>
        <w:tc>
          <w:tcPr>
            <w:tcW w:w="2691" w:type="dxa"/>
          </w:tcPr>
          <w:p>
            <w:pPr>
              <w:pStyle w:val="TabelaTexto"/>
            </w:pPr>
            <w:r>
              <w:t xml:space="preserve">Relação PCR/albumina pré-operatória, PCR, albumina, intervalo entre sintomas e cirurgia, espessura da parede vesicular, líquido e densificação da gordura pericolecística</w:t>
            </w:r>
          </w:p>
        </w:tc>
        <w:tc>
          <w:tcPr>
            <w:tcW w:w="2195" w:type="dxa"/>
          </w:tcPr>
          <w:p>
            <w:pPr>
              <w:pStyle w:val="TabelaTexto"/>
            </w:pPr>
            <w:r>
              <w:t xml:space="preserve">Conversão para colecistectomia aberta</w:t>
            </w:r>
          </w:p>
        </w:tc>
        <w:tc>
          <w:tcPr>
            <w:tcW w:w="3885" w:type="dxa"/>
          </w:tcPr>
          <w:p>
            <w:pPr>
              <w:pStyle w:val="TabelaTexto"/>
            </w:pPr>
            <w:r>
              <w:t xml:space="preserve">Conversão em 16 pacientes (6,9%). Na análise multivariada, relação PCR/albumina ≥5,54 e intervalo superior a 72 h entre início dos sintomas e cirurgia foram preditores independentes de conversão.</w:t>
            </w:r>
          </w:p>
        </w:tc>
      </w:tr>
      <w:tr>
        <w:trPr>
          <w:cantSplit/>
        </w:trPr>
        <w:tc>
          <w:tcPr>
            <w:tcW w:w="1605" w:type="dxa"/>
          </w:tcPr>
          <w:p>
            <w:pPr>
              <w:pStyle w:val="TabelaTexto"/>
            </w:pPr>
            <w:r>
              <w:t xml:space="preserve">Hanson-Viana et al., 2022 [9]</w:t>
            </w:r>
          </w:p>
        </w:tc>
        <w:tc>
          <w:tcPr>
            <w:tcW w:w="1130" w:type="dxa"/>
          </w:tcPr>
          <w:p>
            <w:pPr>
              <w:pStyle w:val="TabelaTexto"/>
            </w:pPr>
            <w:r>
              <w:t xml:space="preserve">México</w:t>
            </w:r>
          </w:p>
        </w:tc>
        <w:tc>
          <w:tcPr>
            <w:tcW w:w="2497" w:type="dxa"/>
          </w:tcPr>
          <w:p>
            <w:pPr>
              <w:pStyle w:val="TabelaTexto"/>
            </w:pPr>
            <w:r>
              <w:t xml:space="preserve">coorte prospectiva; 2.075 pacientes submetidos a CVL eletiva</w:t>
            </w:r>
          </w:p>
        </w:tc>
        <w:tc>
          <w:tcPr>
            <w:tcW w:w="2691" w:type="dxa"/>
          </w:tcPr>
          <w:p>
            <w:pPr>
              <w:pStyle w:val="TabelaTexto"/>
            </w:pPr>
            <w:r>
              <w:t xml:space="preserve">Idade, sexo, IMC, cirurgia abdominal prévia, vesícula contraída, síndrome de Mirizzi e coledocolitíase</w:t>
            </w:r>
          </w:p>
        </w:tc>
        <w:tc>
          <w:tcPr>
            <w:tcW w:w="2195" w:type="dxa"/>
          </w:tcPr>
          <w:p>
            <w:pPr>
              <w:pStyle w:val="TabelaTexto"/>
            </w:pPr>
            <w:r>
              <w:t xml:space="preserve">Conversão para cirurgia aberta</w:t>
            </w:r>
          </w:p>
        </w:tc>
        <w:tc>
          <w:tcPr>
            <w:tcW w:w="3885" w:type="dxa"/>
          </w:tcPr>
          <w:p>
            <w:pPr>
              <w:pStyle w:val="TabelaTexto"/>
            </w:pPr>
            <w:r>
              <w:t xml:space="preserve">Sexo masculino, idade acima de 60 anos, cirurgia abdominal alta prévia, vesícula contraída, síndrome de Mirizzi e coledocolitíase associaram-se fortemente à conversão; IMC não influenciou; maior impacto em homens acima de 60 anos.</w:t>
            </w:r>
          </w:p>
        </w:tc>
      </w:tr>
      <w:tr>
        <w:trPr>
          <w:cantSplit/>
        </w:trPr>
        <w:tc>
          <w:tcPr>
            <w:tcW w:w="1605" w:type="dxa"/>
          </w:tcPr>
          <w:p>
            <w:pPr>
              <w:pStyle w:val="TabelaTexto"/>
            </w:pPr>
            <w:r>
              <w:t xml:space="preserve">Lauferman et al., 2022 [11]</w:t>
            </w:r>
          </w:p>
        </w:tc>
        <w:tc>
          <w:tcPr>
            <w:tcW w:w="1130" w:type="dxa"/>
          </w:tcPr>
          <w:p>
            <w:pPr>
              <w:pStyle w:val="TabelaTexto"/>
            </w:pPr>
            <w:r>
              <w:t xml:space="preserve">Argentina*</w:t>
            </w:r>
          </w:p>
        </w:tc>
        <w:tc>
          <w:tcPr>
            <w:tcW w:w="2497" w:type="dxa"/>
          </w:tcPr>
          <w:p>
            <w:pPr>
              <w:pStyle w:val="TabelaTexto"/>
            </w:pPr>
            <w:r>
              <w:t xml:space="preserve">coorte prospectiva; NI; pacientes adultos submetidos a CVL em hospital público de atenção secundária</w:t>
            </w:r>
          </w:p>
        </w:tc>
        <w:tc>
          <w:tcPr>
            <w:tcW w:w="2691" w:type="dxa"/>
          </w:tcPr>
          <w:p>
            <w:pPr>
              <w:pStyle w:val="TabelaTexto"/>
            </w:pPr>
            <w:r>
              <w:t xml:space="preserve">Sexo, IMC, colecistite, CPRE prévia, cólica biliar recente, leucócitos, enzimas hepáticas, bilirrubina, ultrassonografia e cirurgia abdominal prévia</w:t>
            </w:r>
          </w:p>
        </w:tc>
        <w:tc>
          <w:tcPr>
            <w:tcW w:w="2195" w:type="dxa"/>
          </w:tcPr>
          <w:p>
            <w:pPr>
              <w:pStyle w:val="TabelaTexto"/>
            </w:pPr>
            <w:r>
              <w:t xml:space="preserve">Colecistectomia laparoscópica difícil, incluindo conversão</w:t>
            </w:r>
          </w:p>
        </w:tc>
        <w:tc>
          <w:tcPr>
            <w:tcW w:w="3885" w:type="dxa"/>
          </w:tcPr>
          <w:p>
            <w:pPr>
              <w:pStyle w:val="TabelaTexto"/>
            </w:pPr>
            <w:r>
              <w:t xml:space="preserve">Conversão de 11,25%, todas classificadas como colecistectomia difícil; na multivariada, sexo masculino (OR 6,63) e cirurgia prévia (OR 11,70) associaram-se a maior risco de colecistectomia difícil.</w:t>
            </w:r>
          </w:p>
        </w:tc>
      </w:tr>
      <w:tr>
        <w:trPr>
          <w:cantSplit/>
        </w:trPr>
        <w:tc>
          <w:tcPr>
            <w:tcW w:w="1605" w:type="dxa"/>
          </w:tcPr>
          <w:p>
            <w:pPr>
              <w:pStyle w:val="TabelaTexto"/>
            </w:pPr>
            <w:r>
              <w:t xml:space="preserve">Paul et al., 2022 [53]</w:t>
            </w:r>
          </w:p>
        </w:tc>
        <w:tc>
          <w:tcPr>
            <w:tcW w:w="1130" w:type="dxa"/>
          </w:tcPr>
          <w:p>
            <w:pPr>
              <w:pStyle w:val="TabelaTexto"/>
            </w:pPr>
            <w:r>
              <w:t xml:space="preserve">Índia</w:t>
            </w:r>
          </w:p>
        </w:tc>
        <w:tc>
          <w:tcPr>
            <w:tcW w:w="2497" w:type="dxa"/>
          </w:tcPr>
          <w:p>
            <w:pPr>
              <w:pStyle w:val="TabelaTexto"/>
            </w:pPr>
            <w:r>
              <w:t xml:space="preserve">coorte prospectiva; 132 pacientes com colecistite aguda calculosa submetidos a CVL</w:t>
            </w:r>
          </w:p>
        </w:tc>
        <w:tc>
          <w:tcPr>
            <w:tcW w:w="2691" w:type="dxa"/>
          </w:tcPr>
          <w:p>
            <w:pPr>
              <w:pStyle w:val="TabelaTexto"/>
            </w:pPr>
            <w:r>
              <w:t xml:space="preserve">Escore de Randhawa et al. e fatores de risco pré-operatórios</w:t>
            </w:r>
          </w:p>
        </w:tc>
        <w:tc>
          <w:tcPr>
            <w:tcW w:w="2195" w:type="dxa"/>
          </w:tcPr>
          <w:p>
            <w:pPr>
              <w:pStyle w:val="TabelaTexto"/>
            </w:pPr>
            <w:r>
              <w:t xml:space="preserve">Dificuldade intraoperatória e conversão</w:t>
            </w:r>
          </w:p>
        </w:tc>
        <w:tc>
          <w:tcPr>
            <w:tcW w:w="3885" w:type="dxa"/>
          </w:tcPr>
          <w:p>
            <w:pPr>
              <w:pStyle w:val="TabelaTexto"/>
            </w:pPr>
            <w:r>
              <w:t xml:space="preserve">Crises prévias de colecistite, cálculo impactado e espessura da parede vesicular foram significativos. O escore teve sensibilidade de 82,6% e especificidade de 63,5%, e a conversão ocorreu em 6,9%.</w:t>
            </w:r>
          </w:p>
        </w:tc>
      </w:tr>
      <w:tr>
        <w:trPr>
          <w:cantSplit/>
        </w:trPr>
        <w:tc>
          <w:tcPr>
            <w:tcW w:w="1605" w:type="dxa"/>
          </w:tcPr>
          <w:p>
            <w:pPr>
              <w:pStyle w:val="TabelaTexto"/>
            </w:pPr>
            <w:r>
              <w:t xml:space="preserve">Ramírez-Giraldo et al., 2022 [54]</w:t>
            </w:r>
          </w:p>
        </w:tc>
        <w:tc>
          <w:tcPr>
            <w:tcW w:w="1130" w:type="dxa"/>
          </w:tcPr>
          <w:p>
            <w:pPr>
              <w:pStyle w:val="TabelaTexto"/>
            </w:pPr>
            <w:r>
              <w:t xml:space="preserve">Colômbia</w:t>
            </w:r>
          </w:p>
        </w:tc>
        <w:tc>
          <w:tcPr>
            <w:tcW w:w="2497" w:type="dxa"/>
          </w:tcPr>
          <w:p>
            <w:pPr>
              <w:pStyle w:val="TabelaTexto"/>
            </w:pPr>
            <w:r>
              <w:t xml:space="preserve">outro; NI</w:t>
            </w:r>
          </w:p>
        </w:tc>
        <w:tc>
          <w:tcPr>
            <w:tcW w:w="2691" w:type="dxa"/>
          </w:tcPr>
          <w:p>
            <w:pPr>
              <w:pStyle w:val="TabelaTexto"/>
            </w:pPr>
            <w:r>
              <w:t xml:space="preserve">Escala pré-operatória de previsão de dificuldade</w:t>
            </w:r>
          </w:p>
        </w:tc>
        <w:tc>
          <w:tcPr>
            <w:tcW w:w="2195" w:type="dxa"/>
          </w:tcPr>
          <w:p>
            <w:pPr>
              <w:pStyle w:val="TabelaTexto"/>
            </w:pPr>
            <w:r>
              <w:t xml:space="preserve">Dificuldade intraoperatória; conversão, colecistectomia subtotal e complicações</w:t>
            </w:r>
          </w:p>
        </w:tc>
        <w:tc>
          <w:tcPr>
            <w:tcW w:w="3885" w:type="dxa"/>
          </w:tcPr>
          <w:p>
            <w:pPr>
              <w:pStyle w:val="TabelaTexto"/>
            </w:pPr>
            <w:r>
              <w:t xml:space="preserve">A escala teve área sob a curva ROC de 0,88. O corte 8 deu sensibilidade de 75,15% e especificidade de 88,31%. Maior dificuldade prevista associou-se a mais conversões, colecistectomias subtotais e complicações.</w:t>
            </w:r>
          </w:p>
        </w:tc>
      </w:tr>
      <w:tr>
        <w:trPr>
          <w:cantSplit/>
        </w:trPr>
        <w:tc>
          <w:tcPr>
            <w:tcW w:w="1605" w:type="dxa"/>
          </w:tcPr>
          <w:p>
            <w:pPr>
              <w:pStyle w:val="TabelaTexto"/>
            </w:pPr>
            <w:r>
              <w:t xml:space="preserve">Sachintha Nandasena et al., 2022 [12]</w:t>
            </w:r>
          </w:p>
        </w:tc>
        <w:tc>
          <w:tcPr>
            <w:tcW w:w="1130" w:type="dxa"/>
          </w:tcPr>
          <w:p>
            <w:pPr>
              <w:pStyle w:val="TabelaTexto"/>
            </w:pPr>
            <w:r>
              <w:t xml:space="preserve">Sri Lanka</w:t>
            </w:r>
          </w:p>
        </w:tc>
        <w:tc>
          <w:tcPr>
            <w:tcW w:w="2497" w:type="dxa"/>
          </w:tcPr>
          <w:p>
            <w:pPr>
              <w:pStyle w:val="TabelaTexto"/>
            </w:pPr>
            <w:r>
              <w:t xml:space="preserve">coorte retrospectiva; 205 pacientes com CVL concluída e 85 convertidos para cirurgia aberta</w:t>
            </w:r>
          </w:p>
        </w:tc>
        <w:tc>
          <w:tcPr>
            <w:tcW w:w="2691" w:type="dxa"/>
          </w:tcPr>
          <w:p>
            <w:pPr>
              <w:pStyle w:val="TabelaTexto"/>
            </w:pPr>
            <w:r>
              <w:t xml:space="preserve">CPRE com esfincterotomia prévia por colecisto-coledocolitíase; dados demográficos e cirurgias abdominais prévias</w:t>
            </w:r>
          </w:p>
        </w:tc>
        <w:tc>
          <w:tcPr>
            <w:tcW w:w="2195" w:type="dxa"/>
          </w:tcPr>
          <w:p>
            <w:pPr>
              <w:pStyle w:val="TabelaTexto"/>
            </w:pPr>
            <w:r>
              <w:t xml:space="preserve">Conversão para cirurgia aberta e morbidade perioperatória</w:t>
            </w:r>
          </w:p>
        </w:tc>
        <w:tc>
          <w:tcPr>
            <w:tcW w:w="3885" w:type="dxa"/>
          </w:tcPr>
          <w:p>
            <w:pPr>
              <w:pStyle w:val="TabelaTexto"/>
            </w:pPr>
            <w:r>
              <w:t xml:space="preserve">Idade, sexo e cirurgias abdominais prévias foram comparáveis entre os grupos; colecisto-coledocolitíase e esfincterotomia endoscópica prévia por CPRE associaram-se significativamente à conversão para cirurgia aberta.</w:t>
            </w:r>
          </w:p>
        </w:tc>
      </w:tr>
      <w:tr>
        <w:trPr>
          <w:cantSplit/>
        </w:trPr>
        <w:tc>
          <w:tcPr>
            <w:tcW w:w="1605" w:type="dxa"/>
          </w:tcPr>
          <w:p>
            <w:pPr>
              <w:pStyle w:val="TabelaTexto"/>
            </w:pPr>
            <w:r>
              <w:t xml:space="preserve">Sisa-Segovia et al., 2022 [55]</w:t>
            </w:r>
          </w:p>
        </w:tc>
        <w:tc>
          <w:tcPr>
            <w:tcW w:w="1130" w:type="dxa"/>
          </w:tcPr>
          <w:p>
            <w:pPr>
              <w:pStyle w:val="TabelaTexto"/>
            </w:pPr>
            <w:r>
              <w:t xml:space="preserve">Paraguai*</w:t>
            </w:r>
          </w:p>
        </w:tc>
        <w:tc>
          <w:tcPr>
            <w:tcW w:w="2497" w:type="dxa"/>
          </w:tcPr>
          <w:p>
            <w:pPr>
              <w:pStyle w:val="TabelaTexto"/>
            </w:pPr>
            <w:r>
              <w:t xml:space="preserve">transversal; 267 pacientes submetidos a CVL</w:t>
            </w:r>
          </w:p>
        </w:tc>
        <w:tc>
          <w:tcPr>
            <w:tcW w:w="2691" w:type="dxa"/>
          </w:tcPr>
          <w:p>
            <w:pPr>
              <w:pStyle w:val="TabelaTexto"/>
            </w:pPr>
            <w:r>
              <w:t xml:space="preserve">Escala de Parkland intraoperatória e fatores clínicos e laboratoriais</w:t>
            </w:r>
          </w:p>
        </w:tc>
        <w:tc>
          <w:tcPr>
            <w:tcW w:w="2195" w:type="dxa"/>
          </w:tcPr>
          <w:p>
            <w:pPr>
              <w:pStyle w:val="TabelaTexto"/>
            </w:pPr>
            <w:r>
              <w:t xml:space="preserve">Grau de Parkland; taxa de conversão</w:t>
            </w:r>
          </w:p>
        </w:tc>
        <w:tc>
          <w:tcPr>
            <w:tcW w:w="3885" w:type="dxa"/>
          </w:tcPr>
          <w:p>
            <w:pPr>
              <w:pStyle w:val="TabelaTexto"/>
            </w:pPr>
            <w:r>
              <w:t xml:space="preserve">A conversão ocorreu em 4,49% dos 267 casos. Icterícia obstrutiva prévia, hiperbilirrubinemia, fosfatase alcalina elevada, IMC aumentado, cirurgia de urgência e colecistite aguda associaram-se a graus mais altos da escala de Parkland.</w:t>
            </w:r>
          </w:p>
        </w:tc>
      </w:tr>
      <w:tr>
        <w:trPr>
          <w:cantSplit/>
        </w:trPr>
        <w:tc>
          <w:tcPr>
            <w:tcW w:w="1605" w:type="dxa"/>
          </w:tcPr>
          <w:p>
            <w:pPr>
              <w:pStyle w:val="TabelaTexto"/>
            </w:pPr>
            <w:r>
              <w:t xml:space="preserve">Ábrahám et al., 2021 [5]</w:t>
            </w:r>
          </w:p>
        </w:tc>
        <w:tc>
          <w:tcPr>
            <w:tcW w:w="1130" w:type="dxa"/>
          </w:tcPr>
          <w:p>
            <w:pPr>
              <w:pStyle w:val="TabelaTexto"/>
            </w:pPr>
            <w:r>
              <w:t xml:space="preserve">Hungria</w:t>
            </w:r>
          </w:p>
        </w:tc>
        <w:tc>
          <w:tcPr>
            <w:tcW w:w="2497" w:type="dxa"/>
          </w:tcPr>
          <w:p>
            <w:pPr>
              <w:pStyle w:val="TabelaTexto"/>
            </w:pPr>
            <w:r>
              <w:t xml:space="preserve">coorte retrospectiva; 4.013 pacientes submetidos a CVL eletiva</w:t>
            </w:r>
          </w:p>
        </w:tc>
        <w:tc>
          <w:tcPr>
            <w:tcW w:w="2691" w:type="dxa"/>
          </w:tcPr>
          <w:p>
            <w:pPr>
              <w:pStyle w:val="TabelaTexto"/>
            </w:pPr>
            <w:r>
              <w:t xml:space="preserve">Sexo, idade, CPRE prévia, colecistite aguda prévia, cirurgia abdominal prévia e experiência do cirurgião</w:t>
            </w:r>
          </w:p>
        </w:tc>
        <w:tc>
          <w:tcPr>
            <w:tcW w:w="2195" w:type="dxa"/>
          </w:tcPr>
          <w:p>
            <w:pPr>
              <w:pStyle w:val="TabelaTexto"/>
            </w:pPr>
            <w:r>
              <w:t xml:space="preserve">Taxa de conversão para cirurgia aberta</w:t>
            </w:r>
          </w:p>
        </w:tc>
        <w:tc>
          <w:tcPr>
            <w:tcW w:w="3885" w:type="dxa"/>
          </w:tcPr>
          <w:p>
            <w:pPr>
              <w:pStyle w:val="TabelaTexto"/>
            </w:pPr>
            <w:r>
              <w:t xml:space="preserve">Conversão de 4,2%; mais frequente em homens (6,8 vs. 3,2%), acima de 65 anos, após CPRE prévia (8,8%), cirurgia abdominal alta prévia (18,8%) e colecistite aguda (12,3%); experiência cirúrgica não reduziu conversão.</w:t>
            </w:r>
          </w:p>
        </w:tc>
      </w:tr>
      <w:tr>
        <w:trPr>
          <w:cantSplit/>
        </w:trPr>
        <w:tc>
          <w:tcPr>
            <w:tcW w:w="1605" w:type="dxa"/>
          </w:tcPr>
          <w:p>
            <w:pPr>
              <w:pStyle w:val="TabelaTexto"/>
            </w:pPr>
            <w:r>
              <w:t xml:space="preserve">Bhandari et al., 2021 [56]</w:t>
            </w:r>
          </w:p>
        </w:tc>
        <w:tc>
          <w:tcPr>
            <w:tcW w:w="1130" w:type="dxa"/>
          </w:tcPr>
          <w:p>
            <w:pPr>
              <w:pStyle w:val="TabelaTexto"/>
            </w:pPr>
            <w:r>
              <w:t xml:space="preserve">Nepal</w:t>
            </w:r>
          </w:p>
        </w:tc>
        <w:tc>
          <w:tcPr>
            <w:tcW w:w="2497" w:type="dxa"/>
          </w:tcPr>
          <w:p>
            <w:pPr>
              <w:pStyle w:val="TabelaTexto"/>
            </w:pPr>
            <w:r>
              <w:t xml:space="preserve">transversal; 338 pacientes submetidos a CVL eletiva</w:t>
            </w:r>
          </w:p>
        </w:tc>
        <w:tc>
          <w:tcPr>
            <w:tcW w:w="2691" w:type="dxa"/>
          </w:tcPr>
          <w:p>
            <w:pPr>
              <w:pStyle w:val="TabelaTexto"/>
            </w:pPr>
            <w:r>
              <w:t xml:space="preserve">Sexo, colecistite aguda prévia, espessura da parede vesicular, vesícula fibrótica e aderências no triângulo de Calot</w:t>
            </w:r>
          </w:p>
        </w:tc>
        <w:tc>
          <w:tcPr>
            <w:tcW w:w="2195" w:type="dxa"/>
          </w:tcPr>
          <w:p>
            <w:pPr>
              <w:pStyle w:val="TabelaTexto"/>
            </w:pPr>
            <w:r>
              <w:t xml:space="preserve">CVL difícil e taxa de conversão</w:t>
            </w:r>
          </w:p>
        </w:tc>
        <w:tc>
          <w:tcPr>
            <w:tcW w:w="3885" w:type="dxa"/>
          </w:tcPr>
          <w:p>
            <w:pPr>
              <w:pStyle w:val="TabelaTexto"/>
            </w:pPr>
            <w:r>
              <w:t xml:space="preserve">CVL difícil em 15,4% e conversão em 8,9%. Sexo masculino, colecistite aguda prévia, parede vesicular ≥4-5 mm, vesícula fibrótica e aderências no triângulo de Calot foram preditores independentes de dificuldade.</w:t>
            </w:r>
          </w:p>
        </w:tc>
      </w:tr>
      <w:tr>
        <w:trPr>
          <w:cantSplit/>
        </w:trPr>
        <w:tc>
          <w:tcPr>
            <w:tcW w:w="1605" w:type="dxa"/>
          </w:tcPr>
          <w:p>
            <w:pPr>
              <w:pStyle w:val="TabelaTexto"/>
            </w:pPr>
            <w:r>
              <w:t xml:space="preserve">Di Buono et al., 2021 [57]</w:t>
            </w:r>
          </w:p>
        </w:tc>
        <w:tc>
          <w:tcPr>
            <w:tcW w:w="1130" w:type="dxa"/>
          </w:tcPr>
          <w:p>
            <w:pPr>
              <w:pStyle w:val="TabelaTexto"/>
            </w:pPr>
            <w:r>
              <w:t xml:space="preserve">Itália</w:t>
            </w:r>
          </w:p>
        </w:tc>
        <w:tc>
          <w:tcPr>
            <w:tcW w:w="2497" w:type="dxa"/>
          </w:tcPr>
          <w:p>
            <w:pPr>
              <w:pStyle w:val="TabelaTexto"/>
            </w:pPr>
            <w:r>
              <w:t xml:space="preserve">caso-controle; 86 casos de CVL difícil e 86 controles operados em urgência</w:t>
            </w:r>
          </w:p>
        </w:tc>
        <w:tc>
          <w:tcPr>
            <w:tcW w:w="2691" w:type="dxa"/>
          </w:tcPr>
          <w:p>
            <w:pPr>
              <w:pStyle w:val="TabelaTexto"/>
            </w:pPr>
            <w:r>
              <w:t xml:space="preserve">Exames laboratoriais (leucócitos, fibrinogênio, FA, ALT, bilirrubinas) e achados de TC</w:t>
            </w:r>
          </w:p>
        </w:tc>
        <w:tc>
          <w:tcPr>
            <w:tcW w:w="2195" w:type="dxa"/>
          </w:tcPr>
          <w:p>
            <w:pPr>
              <w:pStyle w:val="TabelaTexto"/>
            </w:pPr>
            <w:r>
              <w:t xml:space="preserve">CVL difícil (incluindo conversão para cirurgia aberta)</w:t>
            </w:r>
          </w:p>
        </w:tc>
        <w:tc>
          <w:tcPr>
            <w:tcW w:w="3885" w:type="dxa"/>
          </w:tcPr>
          <w:p>
            <w:pPr>
              <w:pStyle w:val="TabelaTexto"/>
            </w:pPr>
            <w:r>
              <w:t xml:space="preserve">Leucometria e fibrinogênio associaram-se à CVL difícil, sem associação com FA, ALT e bilirrubinas; à TC, parede irregular ou ausente, líquido perivesicular, densificação da gordura, espessamento parietal &gt;4 mm e hidropsia diferiram entre grupos.</w:t>
            </w:r>
          </w:p>
        </w:tc>
      </w:tr>
      <w:tr>
        <w:trPr>
          <w:cantSplit/>
        </w:trPr>
        <w:tc>
          <w:tcPr>
            <w:tcW w:w="1605" w:type="dxa"/>
          </w:tcPr>
          <w:p>
            <w:pPr>
              <w:pStyle w:val="TabelaTexto"/>
            </w:pPr>
            <w:r>
              <w:t xml:space="preserve">Katar et al., 2021 [14]</w:t>
            </w:r>
          </w:p>
        </w:tc>
        <w:tc>
          <w:tcPr>
            <w:tcW w:w="1130" w:type="dxa"/>
          </w:tcPr>
          <w:p>
            <w:pPr>
              <w:pStyle w:val="TabelaTexto"/>
            </w:pPr>
            <w:r>
              <w:t xml:space="preserve">Turquia</w:t>
            </w:r>
          </w:p>
        </w:tc>
        <w:tc>
          <w:tcPr>
            <w:tcW w:w="2497" w:type="dxa"/>
          </w:tcPr>
          <w:p>
            <w:pPr>
              <w:pStyle w:val="TabelaTexto"/>
            </w:pPr>
            <w:r>
              <w:t xml:space="preserve">coorte retrospectiva; 277 pacientes submetidos a CVL</w:t>
            </w:r>
          </w:p>
        </w:tc>
        <w:tc>
          <w:tcPr>
            <w:tcW w:w="2691" w:type="dxa"/>
          </w:tcPr>
          <w:p>
            <w:pPr>
              <w:pStyle w:val="TabelaTexto"/>
            </w:pPr>
            <w:r>
              <w:t xml:space="preserve">Cirurgia abdominal superior prévia</w:t>
            </w:r>
          </w:p>
        </w:tc>
        <w:tc>
          <w:tcPr>
            <w:tcW w:w="2195" w:type="dxa"/>
          </w:tcPr>
          <w:p>
            <w:pPr>
              <w:pStyle w:val="TabelaTexto"/>
            </w:pPr>
            <w:r>
              <w:t xml:space="preserve">Taxa de conversão, tempo operatório, aderências, complicações e tempo de internação</w:t>
            </w:r>
          </w:p>
        </w:tc>
        <w:tc>
          <w:tcPr>
            <w:tcW w:w="3885" w:type="dxa"/>
          </w:tcPr>
          <w:p>
            <w:pPr>
              <w:pStyle w:val="TabelaTexto"/>
            </w:pPr>
            <w:r>
              <w:t xml:space="preserve">Cirurgia abdominal superior prévia aumentou tempo operatório e grau de aderências (p &lt; 0,001), sem diferença em conversão (p = 0,761), complicações ou internação; não deve ser considerada contraindicação à CVL.</w:t>
            </w:r>
          </w:p>
        </w:tc>
      </w:tr>
      <w:tr>
        <w:trPr>
          <w:cantSplit/>
        </w:trPr>
        <w:tc>
          <w:tcPr>
            <w:tcW w:w="1605" w:type="dxa"/>
          </w:tcPr>
          <w:p>
            <w:pPr>
              <w:pStyle w:val="TabelaTexto"/>
            </w:pPr>
            <w:r>
              <w:t xml:space="preserve">Morales-Maza et al., 2021 [8]</w:t>
            </w:r>
          </w:p>
        </w:tc>
        <w:tc>
          <w:tcPr>
            <w:tcW w:w="1130" w:type="dxa"/>
          </w:tcPr>
          <w:p>
            <w:pPr>
              <w:pStyle w:val="TabelaTexto"/>
            </w:pPr>
            <w:r>
              <w:t xml:space="preserve">México</w:t>
            </w:r>
          </w:p>
        </w:tc>
        <w:tc>
          <w:tcPr>
            <w:tcW w:w="2497" w:type="dxa"/>
          </w:tcPr>
          <w:p>
            <w:pPr>
              <w:pStyle w:val="TabelaTexto"/>
            </w:pPr>
            <w:r>
              <w:t xml:space="preserve">caso-controle; 321 pacientes com colecistite aguda (Diretrizes de Tóquio 2018)</w:t>
            </w:r>
          </w:p>
        </w:tc>
        <w:tc>
          <w:tcPr>
            <w:tcW w:w="2691" w:type="dxa"/>
          </w:tcPr>
          <w:p>
            <w:pPr>
              <w:pStyle w:val="TabelaTexto"/>
            </w:pPr>
            <w:r>
              <w:t xml:space="preserve">Parâmetros clínicos, laboratoriais e ultrassonográficos pré-operatórios</w:t>
            </w:r>
          </w:p>
        </w:tc>
        <w:tc>
          <w:tcPr>
            <w:tcW w:w="2195" w:type="dxa"/>
          </w:tcPr>
          <w:p>
            <w:pPr>
              <w:pStyle w:val="TabelaTexto"/>
            </w:pPr>
            <w:r>
              <w:t xml:space="preserve">Conversão para colecistectomia aberta</w:t>
            </w:r>
          </w:p>
        </w:tc>
        <w:tc>
          <w:tcPr>
            <w:tcW w:w="3885" w:type="dxa"/>
          </w:tcPr>
          <w:p>
            <w:pPr>
              <w:pStyle w:val="TabelaTexto"/>
            </w:pPr>
            <w:r>
              <w:t xml:space="preserve">Conversão em 39 casos (12,14%). Na multivariada, idade avançada, sexo masculino e espessura da parede vesicular associaram-se à conversão; líquido perivesicular perdeu significância. Modelo de soma de fatores alcançou sensibilidade de 84%.</w:t>
            </w:r>
          </w:p>
        </w:tc>
      </w:tr>
      <w:tr>
        <w:trPr>
          <w:cantSplit/>
        </w:trPr>
        <w:tc>
          <w:tcPr>
            <w:tcW w:w="1605" w:type="dxa"/>
          </w:tcPr>
          <w:p>
            <w:pPr>
              <w:pStyle w:val="TabelaTexto"/>
            </w:pPr>
            <w:r>
              <w:t xml:space="preserve">Omiya et al., 2021 [58]</w:t>
            </w:r>
          </w:p>
        </w:tc>
        <w:tc>
          <w:tcPr>
            <w:tcW w:w="1130" w:type="dxa"/>
          </w:tcPr>
          <w:p>
            <w:pPr>
              <w:pStyle w:val="TabelaTexto"/>
            </w:pPr>
            <w:r>
              <w:t xml:space="preserve">Japão</w:t>
            </w:r>
          </w:p>
        </w:tc>
        <w:tc>
          <w:tcPr>
            <w:tcW w:w="2497" w:type="dxa"/>
          </w:tcPr>
          <w:p>
            <w:pPr>
              <w:pStyle w:val="TabelaTexto"/>
            </w:pPr>
            <w:r>
              <w:t xml:space="preserve">coorte retrospectiva; 321 pacientes com colecistite aguda submetidos a CPRM e CVL precoce</w:t>
            </w:r>
          </w:p>
        </w:tc>
        <w:tc>
          <w:tcPr>
            <w:tcW w:w="2691" w:type="dxa"/>
          </w:tcPr>
          <w:p>
            <w:pPr>
              <w:pStyle w:val="TabelaTexto"/>
            </w:pPr>
            <w:r>
              <w:t xml:space="preserve">Intensidade de sinal da parede vesicular na RM/CPRM pré-operatória</w:t>
            </w:r>
          </w:p>
        </w:tc>
        <w:tc>
          <w:tcPr>
            <w:tcW w:w="2195" w:type="dxa"/>
          </w:tcPr>
          <w:p>
            <w:pPr>
              <w:pStyle w:val="TabelaTexto"/>
            </w:pPr>
            <w:r>
              <w:t xml:space="preserve">Procedimentos de resgate (conversão aberta ou colecistectomia subtotal) e tempo operatório</w:t>
            </w:r>
          </w:p>
        </w:tc>
        <w:tc>
          <w:tcPr>
            <w:tcW w:w="3885" w:type="dxa"/>
          </w:tcPr>
          <w:p>
            <w:pPr>
              <w:pStyle w:val="TabelaTexto"/>
            </w:pPr>
            <w:r>
              <w:t xml:space="preserve">Procedimentos de resgate (conversão ou subtotal) ocorreram em 6,8%, 26,7% e 40,2% nos grupos de sinal alto, intermediário e baixo; baixo sinal parietal foi preditor independente (OR 5,30; IC 95% 2,11-13,30).</w:t>
            </w:r>
          </w:p>
        </w:tc>
      </w:tr>
      <w:tr>
        <w:trPr>
          <w:cantSplit/>
        </w:trPr>
        <w:tc>
          <w:tcPr>
            <w:tcW w:w="1605" w:type="dxa"/>
          </w:tcPr>
          <w:p>
            <w:pPr>
              <w:pStyle w:val="TabelaTexto"/>
            </w:pPr>
            <w:r>
              <w:t xml:space="preserve">Sapmaz et al., 2021 [30]</w:t>
            </w:r>
          </w:p>
        </w:tc>
        <w:tc>
          <w:tcPr>
            <w:tcW w:w="1130" w:type="dxa"/>
          </w:tcPr>
          <w:p>
            <w:pPr>
              <w:pStyle w:val="TabelaTexto"/>
            </w:pPr>
            <w:r>
              <w:t xml:space="preserve">Turquia</w:t>
            </w:r>
          </w:p>
        </w:tc>
        <w:tc>
          <w:tcPr>
            <w:tcW w:w="2497" w:type="dxa"/>
          </w:tcPr>
          <w:p>
            <w:pPr>
              <w:pStyle w:val="TabelaTexto"/>
            </w:pPr>
            <w:r>
              <w:t xml:space="preserve">coorte retrospectiva; 1.294 pacientes submetidos a CVL</w:t>
            </w:r>
          </w:p>
        </w:tc>
        <w:tc>
          <w:tcPr>
            <w:tcW w:w="2691" w:type="dxa"/>
          </w:tcPr>
          <w:p>
            <w:pPr>
              <w:pStyle w:val="TabelaTexto"/>
            </w:pPr>
            <w:r>
              <w:t xml:space="preserve">Idade, sexo, indicação cirúrgica e causas intraoperatórias de conversão</w:t>
            </w:r>
          </w:p>
        </w:tc>
        <w:tc>
          <w:tcPr>
            <w:tcW w:w="2195" w:type="dxa"/>
          </w:tcPr>
          <w:p>
            <w:pPr>
              <w:pStyle w:val="TabelaTexto"/>
            </w:pPr>
            <w:r>
              <w:t xml:space="preserve">Taxa e motivos de conversão para cirurgia aberta</w:t>
            </w:r>
          </w:p>
        </w:tc>
        <w:tc>
          <w:tcPr>
            <w:tcW w:w="3885" w:type="dxa"/>
          </w:tcPr>
          <w:p>
            <w:pPr>
              <w:pStyle w:val="TabelaTexto"/>
            </w:pPr>
            <w:r>
              <w:t xml:space="preserve">A conversão ocorreu em 41 pacientes (3,16%), sobretudo por colecistite aguda (n=29); sexo masculino e idade mais avançada também elevaram o risco, sem registro de mortalidade.</w:t>
            </w:r>
          </w:p>
        </w:tc>
      </w:tr>
      <w:tr>
        <w:trPr>
          <w:cantSplit/>
        </w:trPr>
        <w:tc>
          <w:tcPr>
            <w:tcW w:w="1605" w:type="dxa"/>
          </w:tcPr>
          <w:p>
            <w:pPr>
              <w:pStyle w:val="TabelaTexto"/>
            </w:pPr>
            <w:r>
              <w:t xml:space="preserve">Serban et al., 2021 [59]</w:t>
            </w:r>
          </w:p>
        </w:tc>
        <w:tc>
          <w:tcPr>
            <w:tcW w:w="1130" w:type="dxa"/>
          </w:tcPr>
          <w:p>
            <w:pPr>
              <w:pStyle w:val="TabelaTexto"/>
            </w:pPr>
            <w:r>
              <w:t xml:space="preserve">Romênia</w:t>
            </w:r>
          </w:p>
        </w:tc>
        <w:tc>
          <w:tcPr>
            <w:tcW w:w="2497" w:type="dxa"/>
          </w:tcPr>
          <w:p>
            <w:pPr>
              <w:pStyle w:val="TabelaTexto"/>
            </w:pPr>
            <w:r>
              <w:t xml:space="preserve">coorte retrospectiva; 333 pacientes com colecistite aguda submetidos a colecistectomia de urgência</w:t>
            </w:r>
          </w:p>
        </w:tc>
        <w:tc>
          <w:tcPr>
            <w:tcW w:w="2691" w:type="dxa"/>
          </w:tcPr>
          <w:p>
            <w:pPr>
              <w:pStyle w:val="TabelaTexto"/>
            </w:pPr>
            <w:r>
              <w:t xml:space="preserve">Faixa etária, comorbidades, ASA, índice de Charlson, gravidade e tempo desde o início dos sintomas</w:t>
            </w:r>
          </w:p>
        </w:tc>
        <w:tc>
          <w:tcPr>
            <w:tcW w:w="2195" w:type="dxa"/>
          </w:tcPr>
          <w:p>
            <w:pPr>
              <w:pStyle w:val="TabelaTexto"/>
            </w:pPr>
            <w:r>
              <w:t xml:space="preserve">Conversão, complicações intra e pós-operatórias e tempo de internação</w:t>
            </w:r>
          </w:p>
        </w:tc>
        <w:tc>
          <w:tcPr>
            <w:tcW w:w="3885" w:type="dxa"/>
          </w:tcPr>
          <w:p>
            <w:pPr>
              <w:pStyle w:val="TabelaTexto"/>
            </w:pPr>
            <w:r>
              <w:t xml:space="preserve">Idade acima de 50 anos marcou aumento de complicações e da conversão, sem diferença entre 50-64, 65-79 e ≥80 anos (6,03%, 9,09% e 5,8%); inflamação sistêmica foi o principal determinante de desfecho adverso.</w:t>
            </w:r>
          </w:p>
        </w:tc>
      </w:tr>
      <w:tr>
        <w:trPr>
          <w:cantSplit/>
        </w:trPr>
        <w:tc>
          <w:tcPr>
            <w:tcW w:w="1605" w:type="dxa"/>
          </w:tcPr>
          <w:p>
            <w:pPr>
              <w:pStyle w:val="TabelaTexto"/>
            </w:pPr>
            <w:r>
              <w:t xml:space="preserve">Sisa-Segovia et al., 2021 [1]</w:t>
            </w:r>
          </w:p>
        </w:tc>
        <w:tc>
          <w:tcPr>
            <w:tcW w:w="1130" w:type="dxa"/>
          </w:tcPr>
          <w:p>
            <w:pPr>
              <w:pStyle w:val="TabelaTexto"/>
            </w:pPr>
            <w:r>
              <w:t xml:space="preserve">Paraguai*</w:t>
            </w:r>
          </w:p>
        </w:tc>
        <w:tc>
          <w:tcPr>
            <w:tcW w:w="2497" w:type="dxa"/>
          </w:tcPr>
          <w:p>
            <w:pPr>
              <w:pStyle w:val="TabelaTexto"/>
            </w:pPr>
            <w:r>
              <w:t xml:space="preserve">transversal; 317 pacientes submetidos a CVL</w:t>
            </w:r>
          </w:p>
        </w:tc>
        <w:tc>
          <w:tcPr>
            <w:tcW w:w="2691" w:type="dxa"/>
          </w:tcPr>
          <w:p>
            <w:pPr>
              <w:pStyle w:val="TabelaTexto"/>
            </w:pPr>
            <w:r>
              <w:t xml:space="preserve">Causas da conversão, tipo de cirurgia realizada e diagnóstico</w:t>
            </w:r>
          </w:p>
        </w:tc>
        <w:tc>
          <w:tcPr>
            <w:tcW w:w="2195" w:type="dxa"/>
          </w:tcPr>
          <w:p>
            <w:pPr>
              <w:pStyle w:val="TabelaTexto"/>
            </w:pPr>
            <w:r>
              <w:t xml:space="preserve">Prevalência de conversão para cirurgia aberta</w:t>
            </w:r>
          </w:p>
        </w:tc>
        <w:tc>
          <w:tcPr>
            <w:tcW w:w="3885" w:type="dxa"/>
          </w:tcPr>
          <w:p>
            <w:pPr>
              <w:pStyle w:val="TabelaTexto"/>
            </w:pPr>
            <w:r>
              <w:t xml:space="preserve">Taxa de conversão de 2,2% (7 pacientes); a principal causa foi a não identificação das estruturas do triângulo de Calot devido a aderências firmes; sem complicações pós-operatórias em 30 dias.</w:t>
            </w:r>
          </w:p>
        </w:tc>
      </w:tr>
      <w:tr>
        <w:trPr>
          <w:cantSplit/>
        </w:trPr>
        <w:tc>
          <w:tcPr>
            <w:tcW w:w="1605" w:type="dxa"/>
          </w:tcPr>
          <w:p>
            <w:pPr>
              <w:pStyle w:val="TabelaTexto"/>
            </w:pPr>
            <w:r>
              <w:t xml:space="preserve">Tongyoo et al., 2021 [60]</w:t>
            </w:r>
          </w:p>
        </w:tc>
        <w:tc>
          <w:tcPr>
            <w:tcW w:w="1130" w:type="dxa"/>
          </w:tcPr>
          <w:p>
            <w:pPr>
              <w:pStyle w:val="TabelaTexto"/>
            </w:pPr>
            <w:r>
              <w:t xml:space="preserve">Tailândia</w:t>
            </w:r>
          </w:p>
        </w:tc>
        <w:tc>
          <w:tcPr>
            <w:tcW w:w="2497" w:type="dxa"/>
          </w:tcPr>
          <w:p>
            <w:pPr>
              <w:pStyle w:val="TabelaTexto"/>
            </w:pPr>
            <w:r>
              <w:t xml:space="preserve">coorte prospectiva; 152 pacientes submetidos a CVL eletiva</w:t>
            </w:r>
          </w:p>
        </w:tc>
        <w:tc>
          <w:tcPr>
            <w:tcW w:w="2691" w:type="dxa"/>
          </w:tcPr>
          <w:p>
            <w:pPr>
              <w:pStyle w:val="TabelaTexto"/>
            </w:pPr>
            <w:r>
              <w:t xml:space="preserve">Modelo de Randhawa original e modificado; fatores clínicos e ultrassonográficos</w:t>
            </w:r>
          </w:p>
        </w:tc>
        <w:tc>
          <w:tcPr>
            <w:tcW w:w="2195" w:type="dxa"/>
          </w:tcPr>
          <w:p>
            <w:pPr>
              <w:pStyle w:val="TabelaTexto"/>
            </w:pPr>
            <w:r>
              <w:t xml:space="preserve">Dificuldade operatória e conversão</w:t>
            </w:r>
          </w:p>
        </w:tc>
        <w:tc>
          <w:tcPr>
            <w:tcW w:w="3885" w:type="dxa"/>
          </w:tcPr>
          <w:p>
            <w:pPr>
              <w:pStyle w:val="TabelaTexto"/>
            </w:pPr>
            <w:r>
              <w:t xml:space="preserve">Dezesseis casos foram convertidos. Obesidade, inflamação ou procedimento biliar e vesícula contraída predisseram a conversão. O modelo de Randhawa modificado superou o original (AUROC 0,82 vs. 0,75).</w:t>
            </w:r>
          </w:p>
        </w:tc>
      </w:tr>
      <w:tr>
        <w:trPr>
          <w:cantSplit/>
        </w:trPr>
        <w:tc>
          <w:tcPr>
            <w:tcW w:w="1605" w:type="dxa"/>
          </w:tcPr>
          <w:p>
            <w:pPr>
              <w:pStyle w:val="TabelaTexto"/>
            </w:pPr>
            <w:r>
              <w:t xml:space="preserve">Yamashita et al., 2021 [61]</w:t>
            </w:r>
          </w:p>
        </w:tc>
        <w:tc>
          <w:tcPr>
            <w:tcW w:w="1130" w:type="dxa"/>
          </w:tcPr>
          <w:p>
            <w:pPr>
              <w:pStyle w:val="TabelaTexto"/>
            </w:pPr>
            <w:r>
              <w:t xml:space="preserve">Japão</w:t>
            </w:r>
          </w:p>
        </w:tc>
        <w:tc>
          <w:tcPr>
            <w:tcW w:w="2497" w:type="dxa"/>
          </w:tcPr>
          <w:p>
            <w:pPr>
              <w:pStyle w:val="TabelaTexto"/>
            </w:pPr>
            <w:r>
              <w:t xml:space="preserve">coorte retrospectiva; 168 pacientes com colecistite aguda submetidos a CVL com CPRM pré-operatória</w:t>
            </w:r>
          </w:p>
        </w:tc>
        <w:tc>
          <w:tcPr>
            <w:tcW w:w="2691" w:type="dxa"/>
          </w:tcPr>
          <w:p>
            <w:pPr>
              <w:pStyle w:val="TabelaTexto"/>
            </w:pPr>
            <w:r>
              <w:t xml:space="preserve">Visualização completa ou não da vesícula biliar na CPRM</w:t>
            </w:r>
          </w:p>
        </w:tc>
        <w:tc>
          <w:tcPr>
            <w:tcW w:w="2195" w:type="dxa"/>
          </w:tcPr>
          <w:p>
            <w:pPr>
              <w:pStyle w:val="TabelaTexto"/>
            </w:pPr>
            <w:r>
              <w:t xml:space="preserve">Conversão para cirurgia aberta, tempo operatório e perda sanguínea</w:t>
            </w:r>
          </w:p>
        </w:tc>
        <w:tc>
          <w:tcPr>
            <w:tcW w:w="3885" w:type="dxa"/>
          </w:tcPr>
          <w:p>
            <w:pPr>
              <w:pStyle w:val="TabelaTexto"/>
            </w:pPr>
            <w:r>
              <w:t xml:space="preserve">Vesícula não visualizada integralmente na CPRM associou-se a maior tempo operatório, maior sangramento e maior conversão (1,6 vs. 9,5%; p = 0,03), indicando CVL tecnicamente mais difícil.</w:t>
            </w:r>
          </w:p>
        </w:tc>
      </w:tr>
    </w:tbl>
    <w:p>
      <w:pPr>
        <w:pStyle w:val="Fonte"/>
      </w:pPr>
      <w:r>
        <w:t xml:space="preserve">Fonte: Elaborado pelos autores (2026), a partir dos estudos incluídos.</w:t>
      </w:r>
    </w:p>
    <w:p>
      <w:pPr>
        <w:pStyle w:val="Fonte"/>
        <w:spacing w:after="240"/>
      </w:pPr>
      <w:r>
        <w:t xml:space="preserve">Notas: estudos ordenados do mais recente para o mais antigo; * país inferido pelo país do periódico de publicação, por ausência de afiliação no registro da base; ALT = alanina aminotransferase; AOR = </w:t>
      </w:r>
      <w:r>
        <w:rPr>
          <w:i/>
        </w:rPr>
        <w:t xml:space="preserve">odds ratio</w:t>
      </w:r>
      <w:r>
        <w:t xml:space="preserve"> ajustado; ASA = </w:t>
      </w:r>
      <w:r>
        <w:rPr>
          <w:i/>
        </w:rPr>
        <w:t xml:space="preserve">American Society of Anesthesiologists</w:t>
      </w:r>
      <w:r>
        <w:t xml:space="preserve">; AUC = área sob a curva; AUROC = área sob a curva ROC; CAR = razão proteína C-reativa/albumina; CPRE = colangiopancreatografia retrógrada endoscópica; CPRM = colangiopancreatografia por ressonância magnética; CVL = colecistectomia videolaparoscópica; DM2 = diabetes mellitus tipo 2; ERAS = </w:t>
      </w:r>
      <w:r>
        <w:rPr>
          <w:i/>
        </w:rPr>
        <w:t xml:space="preserve">Enhanced Recovery After Surgery</w:t>
      </w:r>
      <w:r>
        <w:t xml:space="preserve">; FA = fosfatase alcalina; GGT = gama-glutamiltransferase; HU = unidades Hounsfield; IC = intervalo de confiança; IMC = índice de massa corporal; LASSO = </w:t>
      </w:r>
      <w:r>
        <w:rPr>
          <w:i/>
        </w:rPr>
        <w:t xml:space="preserve">least absolute shrinkage and selection operator</w:t>
      </w:r>
      <w:r>
        <w:t xml:space="preserve">; LMR = razão linfócito-monócito; MLR = razão monócito-linfócito; NI = não informado; NLR = razão neutrófilo-linfócito; OR = </w:t>
      </w:r>
      <w:r>
        <w:rPr>
          <w:i/>
        </w:rPr>
        <w:t xml:space="preserve">odds ratio</w:t>
      </w:r>
      <w:r>
        <w:t xml:space="preserve">; PCR = proteína C-reativa; PLR = razão plaqueta-linfócito; PTGBD = drenagem percutânea trans-hepática da vesícula biliar; RM = ressonância magnética; ROC = </w:t>
      </w:r>
      <w:r>
        <w:rPr>
          <w:i/>
        </w:rPr>
        <w:t xml:space="preserve">receiver operating characteristic</w:t>
      </w:r>
      <w:r>
        <w:t xml:space="preserve">; SIRI = índice de resposta inflamatória sistêmica; TC = tomografia computadorizada; TG18 = </w:t>
      </w:r>
      <w:r>
        <w:rPr>
          <w:i/>
        </w:rPr>
        <w:t xml:space="preserve">Tokyo Guidelines</w:t>
      </w:r>
      <w:r>
        <w:t xml:space="preserve"> 2018.</w:t>
      </w:r>
    </w:p>
    <w:p>
      <w:pPr>
        <w:sectPr>
          <w:headerReference w:type="default" r:id="rIdCabecalho"/>
          <w:pgSz w:w="16838" w:h="11906" w:orient="landscape"/>
          <w:pgMar w:top="1701" w:right="1134" w:bottom="1134" w:left="1701" w:header="709" w:footer="709" w:gutter="0"/>
        </w:sectPr>
      </w:pPr>
    </w:p>
    <w:p>
      <w:pPr>
        <w:pStyle w:val="Titulo2"/>
      </w:pPr>
      <w:r>
        <w:t xml:space="preserve">3.3 Delineamento dos estudos</w:t>
      </w:r>
    </w:p>
    <w:p>
      <w:pPr>
        <w:pStyle w:val="Normal"/>
      </w:pPr>
      <w:r>
        <w:t xml:space="preserve">Quanto ao delineamento, os estudos incluídos distribuíram-se em: 28 coortes retrospectivas; 14 coortes prospectivas; 12 estudos transversais; 3 estudos de caso-controle; 2 séries de casos; 1 outro delineamento. As publicações datam de 2021 a 2026, e os países mais frequentes foram Índia (9), Turquia (8), Japão (6), México (4), China (4), Nepal (3).</w:t>
      </w:r>
    </w:p>
    <w:p>
      <w:pPr>
        <w:pStyle w:val="Titulo2"/>
      </w:pPr>
      <w:r>
        <w:t xml:space="preserve">3.4 Distribuição dos estudos por eixo temático</w:t>
      </w:r>
    </w:p>
    <w:p>
      <w:pPr>
        <w:pStyle w:val="Legenda"/>
      </w:pPr>
      <w:r>
        <w:rPr>
          <w:b/>
        </w:rPr>
        <w:t xml:space="preserve">Tabela 2 –</w:t>
      </w:r>
      <w:r>
        <w:t xml:space="preserve"> Distribuição dos estudos incluídos por eixo temático</w:t>
      </w:r>
    </w:p>
    <w:tbl>
      <w:tblPr>
        <w:tblW w:w="9071" w:type="dxa"/>
        <w:tblLayout w:type="fixed"/>
        <w:tblBorders>
          <w:top w:val="single" w:sz="8" w:space="0" w:color="000000"/>
          <w:left w:val="nil"/>
          <w:bottom w:val="single" w:sz="8" w:space="0" w:color="000000"/>
          <w:right w:val="nil"/>
          <w:insideH w:val="nil"/>
          <w:insideV w:val="nil"/>
        </w:tblBorders>
        <w:tblCellMar>
          <w:left w:w="70" w:type="dxa"/>
          <w:right w:w="70" w:type="dxa"/>
        </w:tblCellMar>
      </w:tblPr>
      <w:tblGrid>
        <w:gridCol w:w="3828"/>
        <w:gridCol w:w="1241"/>
        <w:gridCol w:w="1281"/>
        <w:gridCol w:w="2721"/>
      </w:tblGrid>
      <w:tr>
        <w:trPr>
          <w:cantSplit/>
          <w:tblHeader/>
        </w:trPr>
        <w:tc>
          <w:tcPr>
            <w:tcW w:w="3828" w:type="dxa"/>
            <w:tcBorders>
              <w:bottom w:val="single" w:sz="6" w:space="0" w:color="000000"/>
            </w:tcBorders>
          </w:tcPr>
          <w:p>
            <w:pPr>
              <w:pStyle w:val="TabelaCabecalho"/>
            </w:pPr>
            <w:r>
              <w:t xml:space="preserve">Eixo temático</w:t>
            </w:r>
          </w:p>
        </w:tc>
        <w:tc>
          <w:tcPr>
            <w:tcW w:w="1241" w:type="dxa"/>
            <w:tcBorders>
              <w:bottom w:val="single" w:sz="6" w:space="0" w:color="000000"/>
            </w:tcBorders>
          </w:tcPr>
          <w:p>
            <w:pPr>
              <w:pStyle w:val="TabelaCabecalho"/>
            </w:pPr>
            <w:r>
              <w:t xml:space="preserve">n</w:t>
            </w:r>
          </w:p>
        </w:tc>
        <w:tc>
          <w:tcPr>
            <w:tcW w:w="1281" w:type="dxa"/>
            <w:tcBorders>
              <w:bottom w:val="single" w:sz="6" w:space="0" w:color="000000"/>
            </w:tcBorders>
          </w:tcPr>
          <w:p>
            <w:pPr>
              <w:pStyle w:val="TabelaCabecalho"/>
            </w:pPr>
            <w:r>
              <w:t xml:space="preserve">%</w:t>
            </w:r>
          </w:p>
        </w:tc>
        <w:tc>
          <w:tcPr>
            <w:tcW w:w="2721" w:type="dxa"/>
            <w:tcBorders>
              <w:bottom w:val="single" w:sz="6" w:space="0" w:color="000000"/>
            </w:tcBorders>
          </w:tcPr>
          <w:p>
            <w:pPr>
              <w:pStyle w:val="TabelaCabecalho"/>
            </w:pPr>
            <w:r>
              <w:t xml:space="preserve">Referências</w:t>
            </w:r>
          </w:p>
        </w:tc>
      </w:tr>
      <w:tr>
        <w:trPr>
          <w:cantSplit/>
        </w:trPr>
        <w:tc>
          <w:tcPr>
            <w:tcW w:w="3828" w:type="dxa"/>
          </w:tcPr>
          <w:p>
            <w:pPr>
              <w:pStyle w:val="TabelaTexto"/>
            </w:pPr>
            <w:r>
              <w:t xml:space="preserve">Fatores demográficos e clínicos pré-operatórios (idade, sexo, IMC, comorbidades, cirurgias abdominais prévias)</w:t>
            </w:r>
          </w:p>
        </w:tc>
        <w:tc>
          <w:tcPr>
            <w:tcW w:w="1241" w:type="dxa"/>
          </w:tcPr>
          <w:p>
            <w:pPr>
              <w:pStyle w:val="TabelaTexto"/>
            </w:pPr>
            <w:r>
              <w:t xml:space="preserve">15</w:t>
            </w:r>
          </w:p>
        </w:tc>
        <w:tc>
          <w:tcPr>
            <w:tcW w:w="1281" w:type="dxa"/>
          </w:tcPr>
          <w:p>
            <w:pPr>
              <w:pStyle w:val="TabelaTexto"/>
            </w:pPr>
            <w:r>
              <w:t xml:space="preserve">25,0</w:t>
            </w:r>
          </w:p>
        </w:tc>
        <w:tc>
          <w:tcPr>
            <w:tcW w:w="2721" w:type="dxa"/>
          </w:tcPr>
          <w:p>
            <w:pPr>
              <w:pStyle w:val="TabelaTexto"/>
            </w:pPr>
            <w:r>
              <w:t xml:space="preserve">[5,7-11,14,17,37,40,41,43,46,51,59]</w:t>
            </w:r>
          </w:p>
        </w:tc>
      </w:tr>
      <w:tr>
        <w:trPr>
          <w:cantSplit/>
        </w:trPr>
        <w:tc>
          <w:tcPr>
            <w:tcW w:w="3828" w:type="dxa"/>
          </w:tcPr>
          <w:p>
            <w:pPr>
              <w:pStyle w:val="TabelaTexto"/>
            </w:pPr>
            <w:r>
              <w:t xml:space="preserve">Fatores laboratoriais e de imagem pré-operatórios (leucocitose, PCR, bilirrubinas, espessura da parede vesicular, líquido perivesicular, litíase de colédoco)</w:t>
            </w:r>
          </w:p>
        </w:tc>
        <w:tc>
          <w:tcPr>
            <w:tcW w:w="1241" w:type="dxa"/>
          </w:tcPr>
          <w:p>
            <w:pPr>
              <w:pStyle w:val="TabelaTexto"/>
            </w:pPr>
            <w:r>
              <w:t xml:space="preserve">20</w:t>
            </w:r>
          </w:p>
        </w:tc>
        <w:tc>
          <w:tcPr>
            <w:tcW w:w="1281" w:type="dxa"/>
          </w:tcPr>
          <w:p>
            <w:pPr>
              <w:pStyle w:val="TabelaTexto"/>
            </w:pPr>
            <w:r>
              <w:t xml:space="preserve">33,3</w:t>
            </w:r>
          </w:p>
        </w:tc>
        <w:tc>
          <w:tcPr>
            <w:tcW w:w="2721" w:type="dxa"/>
          </w:tcPr>
          <w:p>
            <w:pPr>
              <w:pStyle w:val="TabelaTexto"/>
            </w:pPr>
            <w:r>
              <w:t xml:space="preserve">[3,12,15,19,20,22-29,38,47-49,57,58,61]</w:t>
            </w:r>
          </w:p>
        </w:tc>
      </w:tr>
      <w:tr>
        <w:trPr>
          <w:cantSplit/>
        </w:trPr>
        <w:tc>
          <w:tcPr>
            <w:tcW w:w="3828" w:type="dxa"/>
          </w:tcPr>
          <w:p>
            <w:pPr>
              <w:pStyle w:val="TabelaTexto"/>
            </w:pPr>
            <w:r>
              <w:t xml:space="preserve">Fatores intraoperatórios e anatômicos (aderências, anatomia do triângulo de Calot, sangramento, lesão de via biliar, inflamação aguda)</w:t>
            </w:r>
          </w:p>
        </w:tc>
        <w:tc>
          <w:tcPr>
            <w:tcW w:w="1241" w:type="dxa"/>
          </w:tcPr>
          <w:p>
            <w:pPr>
              <w:pStyle w:val="TabelaTexto"/>
            </w:pPr>
            <w:r>
              <w:t xml:space="preserve">11</w:t>
            </w:r>
          </w:p>
        </w:tc>
        <w:tc>
          <w:tcPr>
            <w:tcW w:w="1281" w:type="dxa"/>
          </w:tcPr>
          <w:p>
            <w:pPr>
              <w:pStyle w:val="TabelaTexto"/>
            </w:pPr>
            <w:r>
              <w:t xml:space="preserve">18,3</w:t>
            </w:r>
          </w:p>
        </w:tc>
        <w:tc>
          <w:tcPr>
            <w:tcW w:w="2721" w:type="dxa"/>
          </w:tcPr>
          <w:p>
            <w:pPr>
              <w:pStyle w:val="TabelaTexto"/>
            </w:pPr>
            <w:r>
              <w:t xml:space="preserve">[1,2,4,6,13,18,30,42,44,50,56]</w:t>
            </w:r>
          </w:p>
        </w:tc>
      </w:tr>
      <w:tr>
        <w:trPr>
          <w:cantSplit/>
        </w:trPr>
        <w:tc>
          <w:tcPr>
            <w:tcW w:w="3828" w:type="dxa"/>
          </w:tcPr>
          <w:p>
            <w:pPr>
              <w:pStyle w:val="TabelaTexto"/>
            </w:pPr>
            <w:r>
              <w:t xml:space="preserve">Escores preditivos e modelos de risco validados</w:t>
            </w:r>
          </w:p>
        </w:tc>
        <w:tc>
          <w:tcPr>
            <w:tcW w:w="1241" w:type="dxa"/>
          </w:tcPr>
          <w:p>
            <w:pPr>
              <w:pStyle w:val="TabelaTexto"/>
            </w:pPr>
            <w:r>
              <w:t xml:space="preserve">14</w:t>
            </w:r>
          </w:p>
        </w:tc>
        <w:tc>
          <w:tcPr>
            <w:tcW w:w="1281" w:type="dxa"/>
          </w:tcPr>
          <w:p>
            <w:pPr>
              <w:pStyle w:val="TabelaTexto"/>
            </w:pPr>
            <w:r>
              <w:t xml:space="preserve">23,3</w:t>
            </w:r>
          </w:p>
        </w:tc>
        <w:tc>
          <w:tcPr>
            <w:tcW w:w="2721" w:type="dxa"/>
          </w:tcPr>
          <w:p>
            <w:pPr>
              <w:pStyle w:val="TabelaTexto"/>
            </w:pPr>
            <w:r>
              <w:t xml:space="preserve">[16,21,31,32,34-36,39,45,52-55,60]</w:t>
            </w:r>
          </w:p>
        </w:tc>
      </w:tr>
      <w:tr>
        <w:trPr>
          <w:cantSplit/>
        </w:trPr>
        <w:tc>
          <w:tcPr>
            <w:tcW w:w="3828" w:type="dxa"/>
          </w:tcPr>
          <w:p>
            <w:pPr>
              <w:pStyle w:val="TabelaTexto"/>
            </w:pPr>
            <w:r>
              <w:t xml:space="preserve">Desfechos pós-operatórios associados à conversão (tempo de internação, complicações, mortalidade, custo)</w:t>
            </w:r>
          </w:p>
        </w:tc>
        <w:tc>
          <w:tcPr>
            <w:tcW w:w="1241" w:type="dxa"/>
          </w:tcPr>
          <w:p>
            <w:pPr>
              <w:pStyle w:val="TabelaTexto"/>
            </w:pPr>
            <w:r>
              <w:t xml:space="preserve">0</w:t>
            </w:r>
          </w:p>
        </w:tc>
        <w:tc>
          <w:tcPr>
            <w:tcW w:w="1281" w:type="dxa"/>
          </w:tcPr>
          <w:p>
            <w:pPr>
              <w:pStyle w:val="TabelaTexto"/>
            </w:pPr>
            <w:r>
              <w:t xml:space="preserve">0,0</w:t>
            </w:r>
          </w:p>
        </w:tc>
        <w:tc>
          <w:tcPr>
            <w:tcW w:w="2721" w:type="dxa"/>
          </w:tcPr>
          <w:p>
            <w:pPr>
              <w:pStyle w:val="TabelaTexto"/>
            </w:pPr>
            <w:r>
              <w:t xml:space="preserve">—</w:t>
            </w:r>
          </w:p>
        </w:tc>
      </w:tr>
      <w:tr>
        <w:trPr>
          <w:cantSplit/>
        </w:trPr>
        <w:tc>
          <w:tcPr>
            <w:tcW w:w="3828" w:type="dxa"/>
          </w:tcPr>
          <w:p>
            <w:pPr>
              <w:pStyle w:val="TabelaTexto"/>
            </w:pPr>
            <w:r>
              <w:rPr>
                <w:b/>
              </w:rPr>
              <w:t xml:space="preserve">Total</w:t>
            </w:r>
          </w:p>
        </w:tc>
        <w:tc>
          <w:tcPr>
            <w:tcW w:w="1241" w:type="dxa"/>
          </w:tcPr>
          <w:p>
            <w:pPr>
              <w:pStyle w:val="TabelaTexto"/>
            </w:pPr>
            <w:r>
              <w:rPr>
                <w:b/>
              </w:rPr>
              <w:t xml:space="preserve">60</w:t>
            </w:r>
          </w:p>
        </w:tc>
        <w:tc>
          <w:tcPr>
            <w:tcW w:w="1281" w:type="dxa"/>
          </w:tcPr>
          <w:p>
            <w:pPr>
              <w:pStyle w:val="TabelaTexto"/>
            </w:pPr>
            <w:r>
              <w:rPr>
                <w:b/>
              </w:rPr>
              <w:t xml:space="preserve">100,0</w:t>
            </w:r>
          </w:p>
        </w:tc>
        <w:tc>
          <w:tcPr>
            <w:tcW w:w="2721" w:type="dxa"/>
          </w:tcPr>
          <w:p>
            <w:pPr>
              <w:pStyle w:val="TabelaTexto"/>
            </w:pPr>
            <w:r>
              <w:t xml:space="preserve">—</w:t>
            </w:r>
          </w:p>
        </w:tc>
      </w:tr>
    </w:tbl>
    <w:p>
      <w:pPr>
        <w:pStyle w:val="Fonte"/>
      </w:pPr>
      <w:r>
        <w:t xml:space="preserve">Fonte: Elaborado pelos autores (2026).</w:t>
      </w:r>
    </w:p>
    <w:p>
      <w:pPr>
        <w:pStyle w:val="Fonte"/>
        <w:spacing w:after="240"/>
      </w:pPr>
      <w:r>
        <w:t xml:space="preserve">Nota: cada estudo foi alocado a um único eixo, o predominante na sua análise. As porcentagens podem não somar 100,0 em razão do arredondamento.</w:t>
      </w:r>
    </w:p>
    <w:p>
      <w:pPr>
        <w:pStyle w:val="Titulo1"/>
      </w:pPr>
      <w:r>
        <w:t xml:space="preserve">4 Discussão</w:t>
      </w:r>
    </w:p>
    <w:p>
      <w:pPr>
        <w:pStyle w:val="Titulo2"/>
      </w:pPr>
      <w:r>
        <w:t xml:space="preserve">4.1 Interpretação dos principais achados</w:t>
      </w:r>
    </w:p>
    <w:p>
      <w:pPr>
        <w:pStyle w:val="Normal"/>
      </w:pPr>
      <w:r>
        <w:t xml:space="preserve">A evidência disponível sugere que a conversão da colecistectomia videolaparoscópica para aberta decorre da interação entre características do paciente, marcadores inflamatórios, achados de imagem e dificuldades técnicas intraoperatórias. Estudos observacionais de diversas regiões vinculam sexo masculino e idade avançada a maiores taxas de conversão [5,9,10,30,46] e à colecistectomia difícil [36]. Em coorte argentina, o sexo masculino figurou como preditor independente de colecistectomia difícil [11]; idade avançada associou-se à conversão em estudos indiano e mexicano [3,47]. Diferentemente, o estudo mexicano identificou o sexo feminino como preditor de conversão [3]. Em coorte prospectiva argentina, sexo masculino (</w:t>
      </w:r>
      <w:r>
        <w:rPr>
          <w:i/>
        </w:rPr>
        <w:t xml:space="preserve">odds ratio</w:t>
      </w:r>
      <w:r>
        <w:t xml:space="preserve"> [OR] 6,63; intervalo de confiança de 95% [IC 95%] 1,75-25,08) e cirurgia prévia (OR 11,70; IC95% 1,48-92,37) associaram-se independentemente à colecistectomia laparoscópica difícil na análise multivariada [11], desfecho que incluiu todos os casos convertidos (taxa de 11,25%) [11]. Em coorte retrospectiva de base populacional sueca, a colecistite recorrente associou-se a maior chance de cirurgia aberta que o primeiro episódio (OR 1,76; IC95% 1,64-1,92), após ajuste para idade, sexo, escore </w:t>
      </w:r>
      <w:r>
        <w:rPr>
          <w:i/>
        </w:rPr>
        <w:t xml:space="preserve">American Society of Anesthesiologists</w:t>
      </w:r>
      <w:r>
        <w:t xml:space="preserve"> (ASA) e tempo até a cirurgia [41]. Obesidade classe 3 (IMC ≥ 40) associou-se independentemente à conversão, frente às classes 1-2, em amplo banco de dados norte-americano de colecistite aguda (razão de chances ajustada 1,45) [7]. Trabalhos da Colômbia, Índia e Paquistão também reportaram associação entre obesidade e conversão [18,43,47].</w:t>
      </w:r>
    </w:p>
    <w:p>
      <w:pPr>
        <w:pStyle w:val="Normal"/>
      </w:pPr>
      <w:r>
        <w:t xml:space="preserve">Marcadores laboratoriais e ultrassonográficos de inflamação aguda e crônica destacam-se como os principais preditores pré-operatórios. A proteína C-reativa pré-operatória discriminou casos convertidos com área sob a curva (AUC) de 0,964 e ponto de corte de 7,5 mg/L em coorte iraniana [26]; a razão PCR/albumina ≥ 5,54 manteve-se preditora independente em análise multivariada japonesa [15]. Em amostra turca, índices inflamatórios — RNL, razão PCR/albumina e índice de carga inflamatória — predisseram escores de Parkland mais elevados, nos quais a conversão também aumentou [28]. Valores crescentes de RNL, razão monócito-linfócito (RML) e razão plaqueta/linfócito correlacionaram-se a maior risco de conversão em amostra polonesa [27]. A espessura da parede vesicular correlacionou-se positivamente com a conversão em dois estudos prospectivos indianos [19,23]; em um deles, as taxas variaram de 3,6% (≤ 2 mm) a 20,0% (&gt; 6 mm) [19]. Na colecistite aguda, o ponto de corte ≥ 5,75 mm alcançou AUC de 0,907 [22], e os limiares oscilaram entre &gt; 3 mm e ≥ 5,75 mm [19,22,24]. Líquido perivesicular, vesícula contraída, cálculo impactado e dilatação do colédoco associaram-se à conversão [21,22,47,48,52,60] ou à colecistectomia difícil [35,36,53,57]; entretanto, o líquido perivesicular perdeu significância na análise multivariada de estudo mexicano [8].</w:t>
      </w:r>
    </w:p>
    <w:p>
      <w:pPr>
        <w:pStyle w:val="Normal"/>
      </w:pPr>
      <w:r>
        <w:t xml:space="preserve">Durante o procedimento, aderências e anatomia distorcida lideraram as causas de conversão em grande série saudita, presentes em 79,7% e 44,9% dos casos convertidos, respectivamente [4]. Aderências pericolecísticas densas e a não visualização do triângulo de Calot associaram-se fortemente à conversão em estudo prospectivo indiano [13]. A aderência no triângulo de Calot foi preditor independente de colecistectomia difícil em estudo retrospectivo nepalês [56]. A falha em obter a visão crítica de segurança (VCS) associou-se fortemente à conversão no mesmo estudo prospectivo indiano [13]. Em série indonésia, contudo, a maioria dos casos com falha na VCS resolveu-se com procedimentos de resgate, resultando em apenas 2 conversões entre 19 pacientes [44]. A colangiografia fluorescente associou-se a menor taxa de conversão (1,4% contra 15,9%) na colecistectomia tardia, em estudo retrospectivo japonês [42]. Escores intraoperatórios, como a escala de Parkland e o escore intraoperatório de vesícula, correlacionaram-se a maiores taxas de conversão [28,31] e de complicações pós-operatórias [31]. Escores mais elevados predominaram nas cirurgias de urgência, nas quais a conversão foi mais frequente [45].</w:t>
      </w:r>
    </w:p>
    <w:p>
      <w:pPr>
        <w:pStyle w:val="Normal"/>
      </w:pPr>
      <w:r>
        <w:t xml:space="preserve">Um nomograma multicêntrico validado externamente incorporou PCR, classificação ASA, localização do cálculo, classificação </w:t>
      </w:r>
      <w:r>
        <w:rPr>
          <w:i/>
        </w:rPr>
        <w:t xml:space="preserve">Tokyo Guidelines</w:t>
      </w:r>
      <w:r>
        <w:t xml:space="preserve"> 2018 (TG18) e senioridade do cirurgião, alcançando AUC de 0,833 no conjunto de validação [16]. A modificação do escore de Randhawa superou o modelo original para colecistectomias tardias [52,60]. Tais instrumentos indicam que a estratificação de risco prévia pode orientar a alocação de recursos e a designação de equipe experiente.</w:t>
      </w:r>
    </w:p>
    <w:p>
      <w:pPr>
        <w:pStyle w:val="Titulo2"/>
      </w:pPr>
      <w:r>
        <w:t xml:space="preserve">4.2 Diálogo crítico entre os estudos</w:t>
      </w:r>
    </w:p>
    <w:p>
      <w:pPr>
        <w:pStyle w:val="Normal"/>
      </w:pPr>
      <w:r>
        <w:t xml:space="preserve">A concordância entre estudos sobre o papel da inflamação sistêmica e local contrasta com a variabilidade dos pontos de corte propostos para PCR, RNL e espessura parietal. A coorte retrospectiva iraniana [26] propôs, por análise de curva ROC, ponto de corte de 7,5 mg/L para a PCR; o estudo retrospectivo japonês [15] identificou a razão PCR/albumina ≥ 5,54 como preditora independente em análise multivariada — ambos sem validação externa. Em contrapartida, a regressão logística de estudo turco [29] não confirmou parâmetros hematológicos e razões derivadas como preditores independentes de conversão, apesar de diferenças significativas nas comparações entre grupos. Como os três estudos adotaram a conversão como desfecho, a discrepância pode refletir diferenças nos marcadores avaliados (PCR e razão PCR/albumina versus parâmetros do hemograma), na composição das amostras (colecistite aguda versus cirurgias eletivas e de urgência), no tamanho amostral ou no controle de confundimento. O impacto da cirurgia abdominal prévia também diverge: alguns estudos a associam a maior risco de conversão [5,9,13,43] ou de colecistectomia difícil [11]; uma série do Sri Lanka [12] encontrou frequência semelhante de cirurgia abdominal prévia entre convertidos e não convertidos, e uma análise turca [14] não observou diferença nas taxas de conversão entre pacientes com e sem cirurgia abdominal superior prévia, apesar de maior tempo operatório e grau de aderências, o que sugere que esse antecedente, isoladamente, não contraindica a via laparoscópica. A experiência do cirurgião apresentou resultados contraditórios: enquanto alguns relatos indicam que cirurgiões em treinamento aumentam o risco [3], uma coorte húngara de 4.013 cirurgias eletivas não encontrou associação entre volume cirúrgico ou experiência e menor conversão [5].</w:t>
      </w:r>
    </w:p>
    <w:p>
      <w:pPr>
        <w:pStyle w:val="Normal"/>
      </w:pPr>
      <w:r>
        <w:t xml:space="preserve">O momento da cirurgia para colecistite aguda suscita debate relevante. Estudos observacionais associam a cirurgia precoce (≤ 72 h ou ≤ 7 dias do início dos sintomas) a menores taxas de conversão [6,15,17]. Em pacientes submetidos a drenagem percutânea, porém, a análise de splines cúbicos restritos em coorte japonesa [38] não identificou associação — linear ou não linear — nem limiar temporal claro entre o intervalo drenagem-colecistectomia e a necessidade de procedimento de salvamento (bailout). Estudo turco [40] tampouco encontrou influência do tempo de espera (cirurgia antes ou após oito semanas) nem da presença de cateter na conversão após drenagem percutânea. Tais diferenças podem decorrer de critérios de seleção para drenagem, definições de "atraso" e perfil de gravidade basal, reforçando que a decisão do tempo cirúrgico deve integrar escores de gravidade e resposta clínica, não apenas intervalos arbitrários.</w:t>
      </w:r>
    </w:p>
    <w:p>
      <w:pPr>
        <w:pStyle w:val="Normal"/>
      </w:pPr>
      <w:r>
        <w:t xml:space="preserve">A aplicabilidade de escores preditivos expõe tensão entre simplicidade clínica e acurácia. Entre sistemas pré-operatórios baseados em variáveis clínicas, laboratoriais e ultrassonográficas, aqueles que relataram área sob a curva exibiram performance discriminativa moderada a boa (AUC 0,75 a 0,93) [16,32,36,54,60]; outros informaram apenas sensibilidade e especificidade, por vezes modestas [35,53], ou omitiram valores de AUC no resumo [13,21,24,34,52]. Escores ultrassonográficos, isolados ou combinados a índices do hemograma [21,24], oferecem praticidade; o nomograma que incorpora tomografia (índice de adesão vesícula-duodeno, atenuação do triângulo de Calot) [39] alcançou AUC de 0,903 para colecistectomia difícil após drenagem percutânea, enquanto o nomograma com PCR [16] obteve AUC de 0,833 na validação e índices inflamatórios compostos atingiram AUC de até 0,792 para escores de Parkland elevados, não para conversão [28]. A validação externa, contudo, permanece limitada: o nomograma de Wu et al. [16] destaca-se pela validação multicêntrica e o modelo de gradação de [32] foi testado em coorte prospectiva, ao passo que os demais escores foram avaliados apenas na coorte de derivação [13,21,24,39] ou mediante aplicação de escores preexistentes, como o de Randhawa e sua modificação, em amostras unicêntricas [35,52,53,60]. A heterogeneidade nas definições de "colecistectomia difícil" (tempo operatório, sangramento, conversão, VCS, colecistectomia subtotal) entre os estudos [13,31,34-36,44,53,54,60] dificulta a comparação direta de performance dos modelos e a definição de padrão-ouro para validação.</w:t>
      </w:r>
    </w:p>
    <w:p>
      <w:pPr>
        <w:pStyle w:val="Normal"/>
      </w:pPr>
      <w:r>
        <w:t xml:space="preserve">Estudos latino-americanos [1-3,8,11,17,45,46,50,55] reportaram taxas de conversão variáveis (1,96% a 12,14%), variação que possivelmente reflete diferenças no perfil de urgência, na composição das amostras e em dificuldades de acesso que retardam o tratamento cirúrgico [17]. A predominância de colecistite aguda como indicação em séries de emergência ou não eletivas [6,7,15-17,25,47,59] contrasta com séries eletivas ou predominantemente ambulatoriais, nas quais a litíase vesicular crônica predomina [5,31,46,50]. Tal distinção é relevante: a fisiopatologia inflamatória aguda impulsiona marcadores (PCR, espessamento parietal, líquido perivesicular) frequentemente associados à conversão, embora nem sempre como preditores independentes em análise multivariada [8,15]; na doença crônica, a fibrose e as aderências podem escapar a escores baseados em inflamação aguda.</w:t>
      </w:r>
    </w:p>
    <w:p>
      <w:pPr>
        <w:pStyle w:val="Normal"/>
      </w:pPr>
      <w:r>
        <w:t xml:space="preserve">O diabetes mellitus tipo 2 associou-se à conversão em análise multivariada [10] e bivariada [47], bem como a escores de Parkland mais elevados [28]; a hipertensão associou-se à conversão em análise bivariada [47]. Em outra série, o diabetes vinculou-se a complicações pós-operatórias, mas não figurou entre fatores associados à conversão [43]. Os delineamentos observacionais disponíveis não elucidam o mecanismo dessas associações. A constatação de que a conversão, para a qual a obesidade classe 3 foi fator de risco independente, associou-se a aumento incremental dos custos hospitalares e do tempo de internação [7] adiciona dimensão econômica à decisão cirúrgica, pouco explorada nos demais estudos. Por fim, embora alguns trabalhos tenham relatado maior tempo de internação, recuperação mais prolongada ou maior morbidade nos casos convertidos [7,10,40,46,47], apenas um avaliou custos [7].</w:t>
      </w:r>
    </w:p>
    <w:p>
      <w:pPr>
        <w:pStyle w:val="Titulo2"/>
      </w:pPr>
      <w:r>
        <w:t xml:space="preserve">4.3 Limitações</w:t>
      </w:r>
    </w:p>
    <w:p>
      <w:pPr>
        <w:pStyle w:val="Normal"/>
      </w:pPr>
      <w:r>
        <w:t xml:space="preserve">Esta revisão integrativa apresenta limitações metodológicas e contextuais inerentes à evidência disponível que devem ser consideradas na interpretação dos achados. O corpo de literatura é predominantemente composto por estudos observacionais retrospectivos e unicêntricos, com heterogeneidade nas definições conceituais de conversão cirúrgica e de dificuldade operatória, além de variações nos modelos estatísticos empregados, justificando a síntese qualitativa e descritiva em detrimento de uma metanálise quantitativa. O recorte temporal delimitado aos últimos cinco anos e o foco nas bases PubMed/MEDLINE, SciELO e LILACS priorizaram a evidência contemporânea e a expressiva representatividade latino-americana, embora estudos relevantes publicados anteriormente ou indexados exclusivamente em outras bases possam não ter sido captados. A rigorosa triagem e a extração crítica realizadas pelos autores buscaram mitigar potenciais vieses de seleção e assegurar a máxima fidedignidade clínica na caracterização dos preditores avaliados.</w:t>
      </w:r>
    </w:p>
    <w:p>
      <w:pPr>
        <w:pStyle w:val="Titulo2"/>
      </w:pPr>
      <w:r>
        <w:t xml:space="preserve">4.4 Implicações para a prática e para a pesquisa</w:t>
      </w:r>
    </w:p>
    <w:p>
      <w:pPr>
        <w:pStyle w:val="Normal"/>
      </w:pPr>
      <w:r>
        <w:t xml:space="preserve">A evidência sintetizada apoia a incorporação sistemática de avaliação de risco pré-operatória na rotina de planejamento da colecistectomia videolaparoscópica. A mensuração de PCR, hemograma com índices derivados (RNL, RML) e ultrassonografia com reporte padronizado de espessura parietal, líquido perivesicular, morfologia vesicular e anatomia do colédoco deve ser padrão para estratificação. Pacientes com escores pré-operatórios de risco elevado (ex.: escore &gt; 6 no sistema de 15 pontos avaliado por Nagarla et al. [36], probabilidade alta no nomograma de Wu et al. [16]) poderiam ser direcionados para cirurgiões experientes, agendamento com suporte adequado, consentimento informado detalhado sobre a probabilidade de conversão e, em casos selecionados, conversão precoce para via aberta [36,54]; no intraoperatório, graus 4-5 de Parkland devem alertar para maior risco de falha na obtenção da visão crítica de segurança e de necessidade de procedimentos de salvamento [44]. O uso de colangiografia fluorescente intraoperatória mostra potencial para reduzir a conversão (1,4% versus 15,9%) e as lesões biliares e/ou arteriais na colecistectomia tardia após colecistite aguda, segundo comparação retrospectiva não randomizada [42], podendo ser considerado onde disponível.</w:t>
      </w:r>
    </w:p>
    <w:p>
      <w:pPr>
        <w:pStyle w:val="Normal"/>
      </w:pPr>
      <w:r>
        <w:t xml:space="preserve">Para a pesquisa, urge a padronização de definições: "conversão", "colecistectomia difícil", "colecistectomia subtotal" e "visão crítica de segurança" necessitam de consenso internacional para permitir metanálises futuras. Estudos prospectivos multicêntricos devem validar externamente os nomogramas e escores mais promissores [16,39] em populações diversas, incluindo centros de baixo volume e diferentes perfis étnico-raciais. Ensaios clínicos randomizados comparando estratégias de tempo cirúrgico (precoce versus tardio) após drenagem percutânea, com desfechos padronizados de dificuldade técnica e conversão, poderiam resolver a incerteza atual [38,40]. Por fim, a coleta prospectiva de desfechos centrados no paciente (qualidade de vida, dor crônica, satisfação) após conversão preencheria a lacuna identificada nesta revisão sobre o real impacto da conversão na trajetória pós-operatória.</w:t>
      </w:r>
    </w:p>
    <w:p>
      <w:pPr>
        <w:pStyle w:val="Titulo1"/>
      </w:pPr>
      <w:r>
        <w:t xml:space="preserve">5 Conclusão</w:t>
      </w:r>
    </w:p>
    <w:p>
      <w:pPr>
        <w:pStyle w:val="Normal"/>
      </w:pPr>
      <w:r>
        <w:t xml:space="preserve">Os fatores pré-operatórios associados à conversão compreendem variáveis clínicas (obesidade grau III, diabetes mellitus tipo 2, colangiopancreatografia retrógrada endoscópica prévia, colecistite aguda prévia e, na colecistite aguda, intervalo sintoma-cirurgia superior a 72 horas e maior gravidade pelas Diretrizes de Tóquio 2018), ultrassonográficas (espessamento parietal vesicular, líquido perivesicular, vesícula contraída) e laboratoriais (proteína C-reativa elevada, razões proteína C-reativa-albumina e neutrófilo-linfócito), nem sempre como preditores independentes. Sexo masculino, idade avançada e cirurgia abdominal prévia associaram-se à conversão em vários estudos, mas não em todos. Hidropsia, cálculo impactado e índice de carga inflamatória associaram-se à colecistectomia difícil ou a graus mais altos da escala de Parkland, desfechos que não equivalem à conversão. No intraoperatório, aderências densas no triângulo de Calot e pericolecísticas, anatomia distorcida, falha na visão crítica de segurança, lesão de via biliar e fístula colecistoentérica figuram entre os fatores associados à conversão. O papel da experiência do cirurgião permanece controverso. A evidência disponível, majoritariamente observacional e heterogênea, sugere que a conversão decorre da interação entre inflamação aguda e crônica, anatomia adversa e dificuldade técnica, não sendo possível estabelecer hierarquia definitiva ou pontos de corte universalmente válidos para a prática clínica.</w:t>
      </w:r>
    </w:p>
    <w:p>
      <w:pPr>
        <w:pStyle w:val="Titulo1"/>
        <w:jc w:val="center"/>
      </w:pPr>
      <w:r>
        <w:t xml:space="preserve">Referências</w:t>
      </w:r>
    </w:p>
    <w:p>
      <w:pPr>
        <w:pStyle w:val="Referencia"/>
      </w:pPr>
      <w:r>
        <w:t xml:space="preserve">1. Sisa-Segovia CG, Guggiari B, Cacace K, Brizuela J, Acosta R, Sosa E. Prevalencia de conversión de colecistectomías videolaparoscópicas en el Hospital de Clínicas durante el año 2021. Cir Parag. 2021;45(3):19-22. doi:10.18004/sopaci.2021.diciembre.19.</w:t>
      </w:r>
    </w:p>
    <w:p>
      <w:pPr>
        <w:pStyle w:val="Referencia"/>
      </w:pPr>
      <w:r>
        <w:t xml:space="preserve">2. Ochoa-Ortiz LI, Cervantes-Pérez E, Ramírez-Ochoa S, Gonzalez-Ojeda A, Fuentes-Orozco C, Aguirre-Olmedo I, et al. Risk Factors and Prevalence Associated With Conversion of Laparoscopic Cholecystectomy to Open Cholecystectomy: A Tertiary Care Hospital Experience in Western Mexico. Cureus. 2023;15(9):e45720. doi:10.7759/cureus.45720. PMID: 37868578.</w:t>
      </w:r>
    </w:p>
    <w:p>
      <w:pPr>
        <w:pStyle w:val="Referencia"/>
      </w:pPr>
      <w:r>
        <w:t xml:space="preserve">3. Medina López JL. Predictores de conversión de colecistectomía laparoscópica a colecistectomía abierta. Cir Gen. 2024;46(3):143-152. doi:10.35366/118725.</w:t>
      </w:r>
    </w:p>
    <w:p>
      <w:pPr>
        <w:pStyle w:val="Referencia"/>
      </w:pPr>
      <w:r>
        <w:t xml:space="preserve">4. Mikwar Z, Aljadani FF, Alotaibi AK, Neazy FA, Alsaadi NH, Alzahrani MA, et al. The Conversion Rate of Laparoscopic Cholecystectomy to Open Cholecystectomy at King Abdulaziz Medical City, Jeddah, Saudi Arabia: Prevalence and Causes. Cureus. 2024;16(6):e63026. doi:10.7759/cureus.63026. PMID: 39050302.</w:t>
      </w:r>
    </w:p>
    <w:p>
      <w:pPr>
        <w:pStyle w:val="Referencia"/>
      </w:pPr>
      <w:r>
        <w:t xml:space="preserve">5. Ábrahám S, Németh T, Benkő R, Matuz M, Váczi D, Tóth I, et al. Evaluation of the conversion rate as it relates to preoperative risk factors and surgeon experience: a retrospective study of 4013 patients undergoing elective laparoscopic cholecystectomy. BMC Surg. 2021;21(1):151. doi:10.1186/s12893-021-01152-z. PMID: 33743649.</w:t>
      </w:r>
    </w:p>
    <w:p>
      <w:pPr>
        <w:pStyle w:val="Referencia"/>
      </w:pPr>
      <w:r>
        <w:t xml:space="preserve">6. Tóth I, Benkő R, Matuz M, Váczi D, Andrási L, Libor L, et al. Evaluating Surgical Outcomes in Acute Cholecystectomies. JSLS. 2025;29(1):e2024.00061. doi:10.4293/JSLS.2024.00061. PMID: 40201579.</w:t>
      </w:r>
    </w:p>
    <w:p>
      <w:pPr>
        <w:pStyle w:val="Referencia"/>
      </w:pPr>
      <w:r>
        <w:t xml:space="preserve">7. Coaston TN, Vadlakonda A, Curry J, Mallick S, Le NK, Branche C, et al. Association of severe obesity with risk of conversion to open in laparoscopic cholecystectomy for acute cholecystitis. Surg Open Sci. 2024;20:1-6. doi:10.1016/j.sopen.2024.05.005. PMID: 38873329.</w:t>
      </w:r>
    </w:p>
    <w:p>
      <w:pPr>
        <w:pStyle w:val="Referencia"/>
      </w:pPr>
      <w:r>
        <w:t xml:space="preserve">8. Morales-Maza J, Rodríguez-Quintero JH, Santes O, Aguilar-Frasco JL, Romero-Vélez G, Sánchez García-Ramos E, et al. Conversion from laparoscopic to open cholecystectomy: Risk factor analysis based on clinical, laboratory, and ultrasound parameters. Rev Gastroenterol Mex (Engl Ed). 2021;86(4):363-369. doi:10.1016/j.rgmxen.2021.08.001. PMID: 34384723.</w:t>
      </w:r>
    </w:p>
    <w:p>
      <w:pPr>
        <w:pStyle w:val="Referencia"/>
      </w:pPr>
      <w:r>
        <w:t xml:space="preserve">9. Hanson-Viana E, Ayala-Moreno EA, Ortega-Leon LH, Montalvo-Javé EE. The Association of Preoperative Risk Factors for Laparoscopic Conversion to Open Surgery in Elective Cholecystectomy. Euroasian J Hepatogastroenterol. 2022;12(1):6-9. doi:10.5005/jp-journals-10018-1366. PMID: 35990867.</w:t>
      </w:r>
    </w:p>
    <w:p>
      <w:pPr>
        <w:pStyle w:val="Referencia"/>
      </w:pPr>
      <w:r>
        <w:t xml:space="preserve">10. Molasy B, Frydrych M, Kubala-Kukus A, Nieroda K, Gluszek S. Assessment of Risk Factors for Conversion in Laparoscopic Cholecystectomy Performed Due to Symptomatic Cholecystolithiasis. Cureus. 2025;17(5):e84326. doi:10.7759/cureus.84326. PMID: 40535398.</w:t>
      </w:r>
    </w:p>
    <w:p>
      <w:pPr>
        <w:pStyle w:val="Referencia"/>
      </w:pPr>
      <w:r>
        <w:t xml:space="preserve">11. Lauferman LJ, Ayón Dejo CB, Di Pietro C, Rivera J, Minetto JM, Geraghty AM. Factores de riesgo prequirúrgicos para una colecistectomía laparoscópica difícil. Rev Argent Cir. 2022;114(1):26-35. Disponível em: http://www.scielo.org.ar/scielo.php?script=sci_arttext&amp;pid=S2250-639X2022000100026 [citado 2026 set 25]</w:t>
      </w:r>
    </w:p>
    <w:p>
      <w:pPr>
        <w:pStyle w:val="Referencia"/>
      </w:pPr>
      <w:r>
        <w:t xml:space="preserve">12. Sachintha Nandasena RGM, Lakmal MC, Pathirana AA, Gamage BD, Wijerathne TK, Weerasekera DD, et al. Endoscopic Sphincterotomy for Cholecysto-Choledocholithiasis Complicates Subsequent Laparoscopic Cholecystectomy: A Retrospective Report From Sri Lanka. Cureus. 2022;14(2):e22698. doi:10.7759/cureus.22698. PMID: 35386140.</w:t>
      </w:r>
    </w:p>
    <w:p>
      <w:pPr>
        <w:pStyle w:val="Referencia"/>
      </w:pPr>
      <w:r>
        <w:t xml:space="preserve">13. Kumar S, Verma RS, Rahman RA, Singh SP, Khan A. Predicting Conversion From Laparoscopic to Open Cholecystectomy: A Prospective Risk Factor Analysis and Scoring Model Formulation. Cureus. 2025;17(9):e91916. doi:10.7759/cureus.91916. PMID: 41080223.</w:t>
      </w:r>
    </w:p>
    <w:p>
      <w:pPr>
        <w:pStyle w:val="Referencia"/>
      </w:pPr>
      <w:r>
        <w:t xml:space="preserve">14. Katar MK, Ersoy PE. Is Previous Upper Abdominal Surgery a Contraindication for Laparoscopic Cholecystectomy? Cureus. 2021;13(4):e14272. doi:10.7759/cureus.14272. PMID: 33954075.</w:t>
      </w:r>
    </w:p>
    <w:p>
      <w:pPr>
        <w:pStyle w:val="Referencia"/>
      </w:pPr>
      <w:r>
        <w:t xml:space="preserve">15. Utsumi M, Inagaki M, Kitada K, Tokunaga N, Yunoki K, Sakurai Y, et al. C-reactive Protein-to-Albumin Ratio Predicts Conversion from Laparoscopic to Open Cholecystectomy in Acute Cholecystitis. In Vivo. 2023;37(2):887-893. doi:10.21873/invivo.13157. PMID: 36881091.</w:t>
      </w:r>
    </w:p>
    <w:p>
      <w:pPr>
        <w:pStyle w:val="Referencia"/>
      </w:pPr>
      <w:r>
        <w:t xml:space="preserve">16. Wu H, Ma K, Liao B, Ji T, Zheng Z, Yan Y, et al. Multicenter external validation of a nomogram predicting conversion to open cholecystectomy during laparoscopic surgery for acute calculous cholecystitis: a cross-sectional study. Sci Rep. 2025;15(1):18481. doi:10.1038/s41598-025-03687-0. PMID: 40425776.</w:t>
      </w:r>
    </w:p>
    <w:p>
      <w:pPr>
        <w:pStyle w:val="Referencia"/>
      </w:pPr>
      <w:r>
        <w:t xml:space="preserve">17. Altamirano E, Martínez Peluaga J, Rojas A, Matcoski F, Mazzei F, Sánchez M, et al. Surgical treatment of acute cholecystitis in an early phase vs. late. Prensa Med Argent. 2024;110(4):186-190. Disponível em: https://pesquisa.bvsalud.org/portal/resource/pt/biblio-1579990 [citado 2026 set 25]</w:t>
      </w:r>
    </w:p>
    <w:p>
      <w:pPr>
        <w:pStyle w:val="Referencia"/>
      </w:pPr>
      <w:r>
        <w:t xml:space="preserve">18. Ensuncho-Hoyos CR, Negrete-Spath CI, Rodríguez-Padilla LM. Factores asociados con la conversión a técnica abierta en la colecistectomía laparoscópica. Rev Colomb Cir. 2023;38(4):666-676. doi:10.30944/20117582.2305.</w:t>
      </w:r>
    </w:p>
    <w:p>
      <w:pPr>
        <w:pStyle w:val="Referencia"/>
      </w:pPr>
      <w:r>
        <w:t xml:space="preserve">19. Kritika, Pankaj D, Kumar N, Somvanshi S, Kumar A, Kumar P, et al. Pre-operative sonographic assessment of thick-walled gall bladder in gallstone disease and its influence on the operative outcomes in laparoscopic cholecystectomy. J Minim Access Surg. 2026. doi:10.4103/jmas.jmas_264_26. PMID: 42657981.</w:t>
      </w:r>
    </w:p>
    <w:p>
      <w:pPr>
        <w:pStyle w:val="Referencia"/>
      </w:pPr>
      <w:r>
        <w:t xml:space="preserve">20. Asif N, Sohail AA, Sundardas K, Alvi AR. Association of intra-operative adverse events with gall bladder wall thickness in patients undergoing laparoscopic cholecystectomy for acute calculous cholecystitis: A prospective study from a low middle income country. Pak J Med Sci. 2026;42(411AASC):S28-S32. doi:10.12669/pjms.42.(11AASC).15799. PMID: 42136788.</w:t>
      </w:r>
    </w:p>
    <w:p>
      <w:pPr>
        <w:pStyle w:val="Referencia"/>
      </w:pPr>
      <w:r>
        <w:t xml:space="preserve">21. V ST, Ramakrishnan R, Srinivasan JP. Predictive score for conversion in laparoscopic cholecystectomy - a prospective study. Turk J Surg. 2025;41(2):141-146. doi:10.47717/turkjsurg.2025.6690. PMID: 40083195.</w:t>
      </w:r>
    </w:p>
    <w:p>
      <w:pPr>
        <w:pStyle w:val="Referencia"/>
      </w:pPr>
      <w:r>
        <w:t xml:space="preserve">22. Altıner S, Ergüder E, Altınok SH, Aydın SM, Barlas AM, Tuncal S. The role of preoperative ultrasound in predicting conversion from laparoscopic cholecystectomy to open surgery in acute cholecystitis. Ulus Travma Acil Cerrahi Derg. 2023;29(10):1109-1113. doi:10.14744/tjtes.2023.45469. PMID: 37791445.</w:t>
      </w:r>
    </w:p>
    <w:p>
      <w:pPr>
        <w:pStyle w:val="Referencia"/>
      </w:pPr>
      <w:r>
        <w:t xml:space="preserve">23. Khan I, Yadav P, Saran RK, Sharma S, Sharma AK. A Study of the Degree of Gall Bladder Wall Thickness and Its Impact on Patients Undergoing Laparoscopic Cholecystectomy. Cureus. 2023;15(5):e38990. doi:10.7759/cureus.38990. PMID: 37323346.</w:t>
      </w:r>
    </w:p>
    <w:p>
      <w:pPr>
        <w:pStyle w:val="Referencia"/>
      </w:pPr>
      <w:r>
        <w:t xml:space="preserve">24. Balbaloglu H, Tasdoven I. Can gallbladder wall thickness and systemic inflammatory index values predict the possibility of conversion from laparoscopy to open surgery? Niger J Clin Pract. 2023;26(10):1532-1537. doi:10.4103/njcp.njcp_216_23. PMID: 37929531.</w:t>
      </w:r>
    </w:p>
    <w:p>
      <w:pPr>
        <w:pStyle w:val="Referencia"/>
      </w:pPr>
      <w:r>
        <w:t xml:space="preserve">25. Rayamajhi BB, Shrivastav A, Karki G, Ayer DB, Pradhan SK. C-reactive protein as a predicting factor for difficult laparoscopic cholecystectomy or its conversion to open cholecystectomy in acute calculous cholecystitis: an observational study. BMC Surg. 2026;26(1):280. doi:10.1186/s12893-026-03650-4. PMID: 41803849.</w:t>
      </w:r>
    </w:p>
    <w:p>
      <w:pPr>
        <w:pStyle w:val="Referencia"/>
      </w:pPr>
      <w:r>
        <w:t xml:space="preserve">26. Farahani PK, Nejat SK. Preoperative C-reactive protein as a predictor of conversion and complications in laparoscopic cholecystectomy for acute cholecystitis. BMC Surg. 2025;25(1):476. doi:10.1186/s12893-025-03212-0. PMID: 41088047.</w:t>
      </w:r>
    </w:p>
    <w:p>
      <w:pPr>
        <w:pStyle w:val="Referencia"/>
      </w:pPr>
      <w:r>
        <w:t xml:space="preserve">27. Molasy B, Frydrych M, Kubala-Kukuś A, Głuszek S. The Use of Neutrophil-to-Lymphocyte Ratio, Monocyte-to-Lymphocyte Ratio and Platelets-to-Lymphocyte Ratio in the Assessment of the Risk of Conversion and Complications After Cholecystectomy Performed Due to Symptomatic Cholelithiasis. Ther Clin Risk Manag. 2024;20:363-371. doi:10.2147/TCRM.S462846. PMID: 38899038.</w:t>
      </w:r>
    </w:p>
    <w:p>
      <w:pPr>
        <w:pStyle w:val="Referencia"/>
      </w:pPr>
      <w:r>
        <w:t xml:space="preserve">28. Kahraman YS, Soylu VG, Taşkın Ö, Demir U. Evaluation of inflammation indices according to the Parkland grading scale in laparoscopic cholecystectomy: can inflammation indices predict operative difficulty? A retrospective cross-sectional study. BMC Surg. 2026;26(1):570. doi:10.1186/s12893-026-03934-9. PMID: 42310602.</w:t>
      </w:r>
    </w:p>
    <w:p>
      <w:pPr>
        <w:pStyle w:val="Referencia"/>
      </w:pPr>
      <w:r>
        <w:t xml:space="preserve">29. Avci MA, Akgün C, Buk O, Karadan D. Can Hemogram Parameters and Derived Ratios Predict Conversion From Laparoscopic to Open Cholecystectomy? Cureus. 2024;16(8):e68290. doi:10.7759/cureus.68290. PMID: 39350875.</w:t>
      </w:r>
    </w:p>
    <w:p>
      <w:pPr>
        <w:pStyle w:val="Referencia"/>
      </w:pPr>
      <w:r>
        <w:t xml:space="preserve">30. Sapmaz A, Karaca AS. Risk factors for conversion to open surgery in laparoscopic cholecystectomy: A single center experience. Turk J Surg. 2021;37(1):28-32. doi:10.47717/turkjsurg.2020.4734. PMID: 34585091.</w:t>
      </w:r>
    </w:p>
    <w:p>
      <w:pPr>
        <w:pStyle w:val="Referencia"/>
      </w:pPr>
      <w:r>
        <w:t xml:space="preserve">31. Baskent A, Baskent MF. Predictive value of an intraoperative gallbladder scoring system for surgical difficulty and post-operative outcomes in laparoscopic cholecystectomy. North Clin Istanb. 2026;13(4):395-402. doi:10.14744/nci.2026.82609. PMID: 42769287.</w:t>
      </w:r>
    </w:p>
    <w:p>
      <w:pPr>
        <w:pStyle w:val="Referencia"/>
      </w:pPr>
      <w:r>
        <w:t xml:space="preserve">32. Zhang N, Guo J, Wu G, Li X, Chen Y, Fang Y. Establishment and Application of a Grading Management Model for Laparoscopic Cholecystectomy. Med Sci Monit. 2025;31:e947950. doi:10.12659/MSM.947950. PMID: 40460057.</w:t>
      </w:r>
    </w:p>
    <w:p>
      <w:pPr>
        <w:pStyle w:val="Referencia"/>
      </w:pPr>
      <w:r>
        <w:t xml:space="preserve">33. Page MJ, McKenzie JE, Bossuyt PM, Boutron I, Hoffmann TC, Mulrow CD, et al. The PRISMA 2020 statement: an updated guideline for reporting systematic reviews. BMJ. 2021;372:n71. doi:10.1136/bmj.n71. PMID: 33782057.</w:t>
      </w:r>
    </w:p>
    <w:p>
      <w:pPr>
        <w:pStyle w:val="Referencia"/>
      </w:pPr>
      <w:r>
        <w:t xml:space="preserve">34. Basukala S, Neupane SC, Shrestha O, Thapa N, Neupane S, Tamang S. Preoperative prediction of difficult laparoscopic cholecystectomy: an institutional cross-sectional study. Ann Med Surg (Lond). 2026;88(1):144-150. doi:10.1097/MS9.0000000000004482. PMID: 41496968.</w:t>
      </w:r>
    </w:p>
    <w:p>
      <w:pPr>
        <w:pStyle w:val="Referencia"/>
      </w:pPr>
      <w:r>
        <w:t xml:space="preserve">35. Kumar A, Chhabra MK, Chhibber P. Preoperative Prediction of Difficult Laparoscopic Cholecystectomy Using a Scoring System: A Prospective Cohort Study. Cureus. 2026;18(1):e102055. doi:10.7759/cureus.102055. PMID: 41728567.</w:t>
      </w:r>
    </w:p>
    <w:p>
      <w:pPr>
        <w:pStyle w:val="Referencia"/>
      </w:pPr>
      <w:r>
        <w:t xml:space="preserve">36. Nagarla SR, Wante M, Tonape T. Preoperative Prediction of Difficult Laparoscopic Cholecystectomy Using Scoring System: A Clinical Observational Study. Ann Afr Med. 2026;25(5):1168-1172. doi:10.4103/aam.aam_316_25. PMID: 41568625.</w:t>
      </w:r>
    </w:p>
    <w:p>
      <w:pPr>
        <w:pStyle w:val="Referencia"/>
      </w:pPr>
      <w:r>
        <w:t xml:space="preserve">37. Shiihara M, Shimoda M, Watanabe M, Miyamoto R, Shimazaki J, Suzuki S. Preoperative difficulty assessment of laparoscopic cholecystectomy after treatment for choledocholithiasis. Surg Endosc. 2026;40(9):7813-7818. doi:10.1007/s00464-026-13091-y. PMID: 42426398.</w:t>
      </w:r>
    </w:p>
    <w:p>
      <w:pPr>
        <w:pStyle w:val="Referencia"/>
      </w:pPr>
      <w:r>
        <w:t xml:space="preserve">38. Yoshitake H, Uchida K, Kataoka N, Mizobata Y. Timing of laparoscopic cholecystectomy after percutaneous transhepatic gallbladder drainage and the risk of bailout surgery: a restricted cubic spline analysis. Eur J Trauma Emerg Surg. 2026;52(1):145. doi:10.1007/s00068-026-03187-4. PMID: 42029756.</w:t>
      </w:r>
    </w:p>
    <w:p>
      <w:pPr>
        <w:pStyle w:val="Referencia"/>
      </w:pPr>
      <w:r>
        <w:t xml:space="preserve">39. Zhou C, Xia Z, Chu L, Xu Z, Chen Z. Preoperative predictors of difficult laparoscopic cholecystectomy after percutaneous transhepatic gallbladder drainage in patients with cholecystitis. Clinics (Sao Paulo). 2026;81:101132. doi:10.1016/j.clinsp.2026.101132. PMID: 42715902.</w:t>
      </w:r>
    </w:p>
    <w:p>
      <w:pPr>
        <w:pStyle w:val="Referencia"/>
      </w:pPr>
      <w:r>
        <w:t xml:space="preserve">40. Demiral G, Özdemir A, Kalcan S, Gündoğdu H, Pergel A. Is the presence of a catheter and time of surgery effective in conversion to open surgery in interval cholecystectomies after percutaneous drainage in acute cholecystitis? Rev Assoc Med Bras (1992). 2025;71(2):e20241051. doi:10.1590/1806-9282.20241051. PMID: 40172388.</w:t>
      </w:r>
    </w:p>
    <w:p>
      <w:pPr>
        <w:pStyle w:val="Referencia"/>
      </w:pPr>
      <w:r>
        <w:t xml:space="preserve">41. Edblom M, Enochsson L, Nyström H, Sandblom G, Arnelo U, Hemmingsson O, et al. Early cholecystectomy for recurrent versus first-time cholecystitis: nationwide population-based study. BJS Open. 2025;10(1):zraf166. doi:10.1093/bjsopen/zraf166. PMID: 41678246.</w:t>
      </w:r>
    </w:p>
    <w:p>
      <w:pPr>
        <w:pStyle w:val="Referencia"/>
      </w:pPr>
      <w:r>
        <w:t xml:space="preserve">42. Igami T, Ishikawa T, Yamao K, Mizutani Y, Yokoyama Y, Mizuno T, et al. Delayed Laparoscopic Cholecystectomy With Fluorescent Cholangiography for Acute Cholecystitis: Is It Safe? Asian J Endosc Surg. 2025;18(1):e70092. doi:10.1111/ases.70092. PMID: 40462457.</w:t>
      </w:r>
    </w:p>
    <w:p>
      <w:pPr>
        <w:pStyle w:val="Referencia"/>
      </w:pPr>
      <w:r>
        <w:t xml:space="preserve">43. Khan HZ, Tarin TA, Kanwal S, Ali B, Arbaz HM, Ahmad CA, et al. Audit of Postoperative Complications and Conversion Rate in Laparoscopic Cholecystectomy. Cureus. 2025;17(8):e91249. doi:10.7759/cureus.91249. PMID: 41024904.</w:t>
      </w:r>
    </w:p>
    <w:p>
      <w:pPr>
        <w:pStyle w:val="Referencia"/>
      </w:pPr>
      <w:r>
        <w:t xml:space="preserve">44. Lalisang ANL, Wijaya DN, Jamtani I, Marbun VMG, Sihardo L, Ibrahim F, et al. Anticipating critical view of safety challenges in laparoscopic cholecystectomy for symptomatic cholelithiasis patients: Can we predict them earlier? Turk J Surg. 2025;41(3):270-276. doi:10.47717/turkjsurg.2025.6505. PMID: 40704769.</w:t>
      </w:r>
    </w:p>
    <w:p>
      <w:pPr>
        <w:pStyle w:val="Referencia"/>
      </w:pPr>
      <w:r>
        <w:t xml:space="preserve">45. Narvaez Gonzalez HF, Perez Cabeza de Vaca R, López Pacheco EB, López Osorio O, Vargas Flores J, Castillejos Marquez YS, et al. Comparative Analysis of Elective Versus Emergency Cholecystectomy: A Study Using the Parkland Grading Scale, Nassar Scale, and G10 Score. Cureus. 2025;17(2):e78782. doi:10.7759/cureus.78782. PMID: 40078242.</w:t>
      </w:r>
    </w:p>
    <w:p>
      <w:pPr>
        <w:pStyle w:val="Referencia"/>
      </w:pPr>
      <w:r>
        <w:t xml:space="preserve">46. Acosta D, Vivenes M, Noval C. Experience in laparoscopic cholecystectomy and its conversion at the Hospital Ana Francisca Pérez de León II. Bol Med Postgrado. 2024;40(1):16-21. Disponível em: https://pesquisa.bvsalud.org/portal/resource/pt/biblio-1666328 [citado 2026 set 25]</w:t>
      </w:r>
    </w:p>
    <w:p>
      <w:pPr>
        <w:pStyle w:val="Referencia"/>
      </w:pPr>
      <w:r>
        <w:t xml:space="preserve">47. Kadirvel D, Vasudevan S, Selvamuthukumaran S, Rajput S, Kumar PG. Identifying the Prognostic Factors Affecting the Conversion From Laparoscopic Cholecystectomy to Open Cholecystectomy in Acute Cholecystitis. Cureus. 2024;16(11):e73975. doi:10.7759/cureus.73975. PMID: 39703271.</w:t>
      </w:r>
    </w:p>
    <w:p>
      <w:pPr>
        <w:pStyle w:val="Referencia"/>
      </w:pPr>
      <w:r>
        <w:t xml:space="preserve">48. Toppo S, Gaurav K, Kumar K, Kumar K, Verma S, Tudoo ST, et al. Assessment of Predictors of Difficult Laparoscopic Cholecystectomy by Clinico-Radiological Parameters at a Tertiary Hospital in Eastern India. Cureus. 2024;16(10):e72512. doi:10.7759/cureus.72512. PMID: 39606514.</w:t>
      </w:r>
    </w:p>
    <w:p>
      <w:pPr>
        <w:pStyle w:val="Referencia"/>
      </w:pPr>
      <w:r>
        <w:t xml:space="preserve">49. Wei HH, Wang YX, Xu B, Zhang YG. Preoperative systemic and local inflammation are independent risk factors for difficult laparoscopic cholecystectomy after percutaneous transhepatic gallbladder drainage. Heliyon. 2024;10(16):e36081. doi:10.1016/j.heliyon.2024.e36081. PMID: 39247279.</w:t>
      </w:r>
    </w:p>
    <w:p>
      <w:pPr>
        <w:pStyle w:val="Referencia"/>
      </w:pPr>
      <w:r>
        <w:t xml:space="preserve">50. Aguila Gómez MV, Ustarez Martínez RC. Laparoscopic cholecystectomy at Los Pinos municipal hospital, 2012 - 2022. Rev Med (La Paz). 2023;29(1):27-32. Disponível em: https://pesquisa.bvsalud.org/portal/resource/pt/biblio-1450161 [citado 2026 set 25]</w:t>
      </w:r>
    </w:p>
    <w:p>
      <w:pPr>
        <w:pStyle w:val="Referencia"/>
      </w:pPr>
      <w:r>
        <w:t xml:space="preserve">51. Amer NM, Alarfaj MA, Othman SA, Alshammary S, Alshammari EM. Emergency versus elective cholecystectomy: Experience at a university hospital in the Eastern Province, Saudi Arabia. J Family Community Med. 2023;30(1):37-41. doi:10.4103/jfcm.jfcm_116_22. PMID: 36843867.</w:t>
      </w:r>
    </w:p>
    <w:p>
      <w:pPr>
        <w:pStyle w:val="Referencia"/>
      </w:pPr>
      <w:r>
        <w:t xml:space="preserve">52. Tongyoo A, Liwattanakun A, Sriussadaporn E, Limpavitayaporn P, Mingmalairak C. The Modification of a Preoperative Scoring System to Predict Difficult Elective Laparoscopic Cholecystectomy. J Laparoendosc Adv Surg Tech A. 2023;33(3):269-275. doi:10.1089/lap.2022.0407. PMID: 36445743.</w:t>
      </w:r>
    </w:p>
    <w:p>
      <w:pPr>
        <w:pStyle w:val="Referencia"/>
      </w:pPr>
      <w:r>
        <w:t xml:space="preserve">53. Paul S, Khataniar H, Ck A, Rao HK. Preoperative scoring system validation and analysis of associated risk factors in predicting difficult laparoscopic cholecystectomy in patients with acute calculous cholecystitis: A prospective observational study. Turk J Surg. 2022;38(4):375-381. doi:10.47717/turkjsurg.2022.5816. PMID: 36875278.</w:t>
      </w:r>
    </w:p>
    <w:p>
      <w:pPr>
        <w:pStyle w:val="Referencia"/>
      </w:pPr>
      <w:r>
        <w:t xml:space="preserve">54. Ramírez-Giraldo C, Alvarado-Valenzuela K, Isaza-Restrepo A, Navarro-Alean J. Predicting the difficult laparoscopic cholecystectomy based on a preoperative scale. Updates Surg. 2022;74(3):969-977. doi:10.1007/s13304-021-01216-y. PMID: 35122205.</w:t>
      </w:r>
    </w:p>
    <w:p>
      <w:pPr>
        <w:pStyle w:val="Referencia"/>
      </w:pPr>
      <w:r>
        <w:t xml:space="preserve">55. Sisa-Segovia CG, Guggiari B, Cacace K, Acosta R, Luraschi V. Aplicación de la escala de Parkland en colecistectomías videolaparoscópicas. Cir Parag. 2022;46(2):7-11. doi:10.18004/sopaci.2022.agosto.7.</w:t>
      </w:r>
    </w:p>
    <w:p>
      <w:pPr>
        <w:pStyle w:val="Referencia"/>
      </w:pPr>
      <w:r>
        <w:t xml:space="preserve">56. Bhandari TR, Khan SA, Jha JL. Prediction of difficult laparoscopic cholecystectomy: An observational study. Ann Med Surg (Lond). 2021;72:103060. doi:10.1016/j.amsu.2021.103060. PMID: 34815866.</w:t>
      </w:r>
    </w:p>
    <w:p>
      <w:pPr>
        <w:pStyle w:val="Referencia"/>
      </w:pPr>
      <w:r>
        <w:t xml:space="preserve">57. Di Buono G, Romano G, Galia M, Amato G, Maienza E, Vernuccio F, et al. Difficult laparoscopic cholecystectomy and preoperative predictive factors. Sci Rep. 2021;11(1):2559. doi:10.1038/s41598-021-81938-6. PMID: 33510220.</w:t>
      </w:r>
    </w:p>
    <w:p>
      <w:pPr>
        <w:pStyle w:val="Referencia"/>
      </w:pPr>
      <w:r>
        <w:t xml:space="preserve">58. Omiya K, Hiramatsu K, Shibata Y, Fukaya M, Fujii M, Aoba T, et al. Preoperative Magnetic Resonance Cholangiopancreatography for Detecting Difficult Laparoscopic Cholecystectomy in Acute Cholecystitis. Diagnostics (Basel). 2021;11(3):383. doi:10.3390/diagnostics11030383. PMID: 33668281.</w:t>
      </w:r>
    </w:p>
    <w:p>
      <w:pPr>
        <w:pStyle w:val="Referencia"/>
      </w:pPr>
      <w:r>
        <w:t xml:space="preserve">59. Serban D, Socea B, Balasescu SA, Badiu CD, Tudor C, Dascalu AM, et al. Safety of Laparoscopic Cholecystectomy for Acute Cholecystitis in the Elderly: A Multivariate Analysis of Risk Factors for Intra and Postoperative Complications. Medicina (Kaunas). 2021;57(3):230. doi:10.3390/medicina57030230. PMID: 33801408.</w:t>
      </w:r>
    </w:p>
    <w:p>
      <w:pPr>
        <w:pStyle w:val="Referencia"/>
      </w:pPr>
      <w:r>
        <w:t xml:space="preserve">60. Tongyoo A, Chotiyasilp P, Sriussadaporn E, Limpavitayaporn P, Mingmalairak C. The pre-operative predictive model for difficult elective laparoscopic cholecystectomy: A modification. Asian J Surg. 2021;44(4):656-661. doi:10.1016/j.asjsur.2020.11.018. PMID: 33349555.</w:t>
      </w:r>
    </w:p>
    <w:p>
      <w:pPr>
        <w:pStyle w:val="Referencia"/>
      </w:pPr>
      <w:r>
        <w:t xml:space="preserve">61. Yamashita M, Kuroki T, Hamada T, Hirayama T, Tokunaga T, Yamanouchi K, et al. Evaluation of Preoperative Magnetic Resonance Cholangiopancreatography in Acute Cholecystitis to Predict Technical Difficulties in Laparoscopic Cholecystectomy. Acta Med Okayama. 2021;75(6):685-689. PMID: 34955535.</w:t>
      </w:r>
    </w:p>
    <w:sectPr>
      <w:headerReference w:type="default" r:id="rIdCabecalho"/>
      <w:pgSz w:w="11906" w:h="16838"/>
      <w:pgMar w:top="1701" w:right="1134" w:bottom="1134" w:left="1701" w:header="709" w:footer="709" w:gutter="0"/>
    </w:sectPr>
  </w:body>
</w:document>
</file>

<file path=word/header1.xml><?xml version="1.0" encoding="utf-8"?>
<w:hdr xmlns:w="http://schemas.openxmlformats.org/wordprocessingml/2006/main">
  <w:p>
    <w:pPr>
      <w:jc w:val="right"/>
      <w:ind w:firstLine="0"/>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w:autoHyphenation/>
  <w:consecutiveHyphenLimit w:val="2"/>
  <w:hyphenationZone w:val="357"/>
  <w:defaultTabStop w:val="709"/>
  <w:characterSpacingControl w:val="doNotCompress"/>
  <w:themeFontLang w:val="pt-BR"/>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pt-BR" w:eastAsia="pt-BR" w:bidi="ar-SA"/>
      </w:rPr>
    </w:rPrDefault>
    <w:pPrDefault>
      <w:pPr>
        <w:spacing w:after="0" w:line="360" w:lineRule="auto"/>
      </w:pPr>
    </w:pPrDefault>
  </w:docDefaults>
  <w:style w:type="paragraph" w:default="1" w:styleId="Normal">
    <w:name w:val="Normal"/>
    <w:qFormat/>
    <w:pPr>
      <w:jc w:val="both"/>
      <w:ind w:firstLine="709"/>
    </w:pPr>
  </w:style>
  <w:style w:type="paragraph" w:styleId="Titulo">
    <w:name w:val="Title"/>
    <w:basedOn w:val="Normal"/>
    <w:qFormat/>
    <w:pPr>
      <w:jc w:val="center"/>
      <w:ind w:firstLine="0"/>
      <w:spacing w:after="160"/>
    </w:pPr>
    <w:rPr>
      <w:b/>
      <w:caps/>
      <w:sz w:val="28"/>
      <w:szCs w:val="28"/>
    </w:rPr>
  </w:style>
  <w:style w:type="paragraph" w:styleId="Subtitulo">
    <w:name w:val="Subtitle"/>
    <w:basedOn w:val="Normal"/>
    <w:pPr>
      <w:jc w:val="center"/>
      <w:ind w:firstLine="0"/>
      <w:spacing w:before="40" w:after="120" w:line="240" w:lineRule="auto"/>
    </w:pPr>
    <w:rPr>
      <w:i/>
      <w:sz w:val="22"/>
      <w:szCs w:val="22"/>
    </w:rPr>
  </w:style>
  <w:style w:type="paragraph" w:styleId="Frontal">
    <w:name w:val="Frontal"/>
    <w:basedOn w:val="Normal"/>
    <w:pPr>
      <w:jc w:val="center"/>
      <w:ind w:firstLine="0"/>
      <w:spacing w:before="60" w:after="120" w:line="240" w:lineRule="auto"/>
    </w:pPr>
    <w:rPr>
      <w:sz w:val="22"/>
      <w:szCs w:val="22"/>
    </w:rPr>
  </w:style>
  <w:style w:type="paragraph" w:styleId="Afiliacao">
    <w:name w:val="Afiliacao"/>
    <w:basedOn w:val="Normal"/>
    <w:pPr>
      <w:jc w:val="center"/>
      <w:ind w:firstLine="0"/>
      <w:spacing w:before="40" w:after="160" w:line="240" w:lineRule="auto"/>
    </w:pPr>
    <w:rPr>
      <w:i/>
      <w:sz w:val="20"/>
      <w:szCs w:val="20"/>
    </w:rPr>
  </w:style>
  <w:style w:type="paragraph" w:styleId="Titulo1">
    <w:name w:val="heading 1"/>
    <w:basedOn w:val="Normal"/>
    <w:next w:val="Normal"/>
    <w:qFormat/>
    <w:pPr>
      <w:keepNext/>
      <w:jc w:val="left"/>
      <w:ind w:firstLine="0"/>
      <w:spacing w:before="360" w:after="240"/>
      <w:outlineLvl w:val="0"/>
    </w:pPr>
    <w:rPr>
      <w:b/>
      <w:caps/>
    </w:rPr>
  </w:style>
  <w:style w:type="paragraph" w:styleId="Titulo2">
    <w:name w:val="heading 2"/>
    <w:basedOn w:val="Normal"/>
    <w:next w:val="Normal"/>
    <w:qFormat/>
    <w:pPr>
      <w:keepNext/>
      <w:jc w:val="left"/>
      <w:ind w:firstLine="0"/>
      <w:spacing w:before="240" w:after="120"/>
      <w:outlineLvl w:val="1"/>
    </w:pPr>
    <w:rPr>
      <w:b/>
    </w:rPr>
  </w:style>
  <w:style w:type="paragraph" w:styleId="Resumo">
    <w:name w:val="Resumo"/>
    <w:basedOn w:val="Normal"/>
    <w:pPr>
      <w:jc w:val="both"/>
      <w:ind w:firstLine="0"/>
      <w:spacing w:before="80" w:after="60" w:line="240" w:lineRule="auto"/>
    </w:pPr>
    <w:rPr>
      <w:sz w:val="20"/>
      <w:szCs w:val="20"/>
    </w:rPr>
  </w:style>
  <w:style w:type="paragraph" w:styleId="PalavrasChave">
    <w:name w:val="PalavrasChave"/>
    <w:basedOn w:val="Normal"/>
    <w:pPr>
      <w:jc w:val="both"/>
      <w:ind w:firstLine="0"/>
      <w:spacing w:before="40" w:after="160" w:line="240" w:lineRule="auto"/>
    </w:pPr>
    <w:rPr>
      <w:sz w:val="20"/>
      <w:szCs w:val="20"/>
    </w:rPr>
  </w:style>
  <w:style w:type="paragraph" w:styleId="Legenda">
    <w:name w:val="caption"/>
    <w:basedOn w:val="Normal"/>
    <w:pPr>
      <w:keepNext/>
      <w:jc w:val="left"/>
      <w:ind w:firstLine="0"/>
      <w:spacing w:before="240" w:after="60" w:line="240" w:lineRule="auto"/>
    </w:pPr>
    <w:rPr>
      <w:sz w:val="20"/>
      <w:szCs w:val="20"/>
    </w:rPr>
  </w:style>
  <w:style w:type="paragraph" w:styleId="Fonte">
    <w:name w:val="Fonte"/>
    <w:basedOn w:val="Normal"/>
    <w:pPr>
      <w:jc w:val="both"/>
      <w:ind w:firstLine="0"/>
      <w:spacing w:before="60" w:after="60" w:line="240" w:lineRule="auto"/>
    </w:pPr>
    <w:rPr>
      <w:sz w:val="20"/>
      <w:szCs w:val="20"/>
    </w:rPr>
  </w:style>
  <w:style w:type="paragraph" w:styleId="TabelaTexto">
    <w:name w:val="Tabela texto"/>
    <w:basedOn w:val="Normal"/>
    <w:pPr>
      <w:jc w:val="left"/>
      <w:ind w:firstLine="0"/>
      <w:spacing w:before="20" w:after="20" w:line="240" w:lineRule="auto"/>
    </w:pPr>
    <w:rPr>
      <w:sz w:val="18"/>
      <w:szCs w:val="18"/>
    </w:rPr>
  </w:style>
  <w:style w:type="paragraph" w:styleId="TabelaCabecalho">
    <w:name w:val="Tabela cabecalho"/>
    <w:basedOn w:val="TabelaTexto"/>
    <w:rPr>
      <w:b/>
    </w:rPr>
  </w:style>
  <w:style w:type="paragraph" w:styleId="Figura">
    <w:name w:val="Figura"/>
    <w:basedOn w:val="Normal"/>
    <w:pPr>
      <w:keepNext/>
      <w:jc w:val="center"/>
      <w:ind w:firstLine="0"/>
      <w:spacing w:line="240" w:lineRule="auto"/>
    </w:pPr>
  </w:style>
  <w:style w:type="paragraph" w:styleId="Referencia">
    <w:name w:val="Referencia"/>
    <w:basedOn w:val="Normal"/>
    <w:pPr>
      <w:jc w:val="left"/>
      <w:ind w:left="425" w:hanging="425"/>
      <w:spacing w:after="120" w:line="240" w:lineRule="auto"/>
    </w:pPr>
  </w:style>
</w:styles>
</file>

<file path=word/_rels/document.xml.rels><?xml version="1.0" encoding="UTF-8" standalone="yes"?>
<Relationships xmlns="http://schemas.openxmlformats.org/package/2006/relationships"><Relationship Id="rIdEstilos" Type="http://schemas.openxmlformats.org/officeDocument/2006/relationships/styles" Target="styles.xml"/><Relationship Id="rIdCabecalho" Type="http://schemas.openxmlformats.org/officeDocument/2006/relationships/header" Target="header1.xml"/><Relationship Id="rIdConfig" Type="http://schemas.openxmlformats.org/officeDocument/2006/relationships/settings" Target="settings.xml"/><Relationship Id="rIdImg1" Type="http://schemas.openxmlformats.org/officeDocument/2006/relationships/image" Target="media/figura1.png"/></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FATORES ASSOCIADOS À CONVERSÃO DA COLECISTECTOMIA VIDEOLAPAROSCÓPICA PARA CIRURGIA ABERTA: REVISÃO INTEGRATIVA DA LITERATURA</dc:title>
  <dc:creator/>
  <cp:lastModifiedBy/>
  <dcterms:created xsi:type="dcterms:W3CDTF">2026-09-26T17:13:56Z</dcterms:created>
  <dcterms:modified xsi:type="dcterms:W3CDTF">2026-09-26T17:13:56Z</dcterms:modified>
</cp:coreProperties>
</file>