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Sintetizar as evidências sobre os mecanismos pelos quais a endometriose compromete a integridade do eixo reprodutivo feminino e os parâmetros clínicos e laboratoriais de fertilidade em mulheres em idade reprodutiva. </w:t>
      </w:r>
      <w:r>
        <w:rPr>
          <w:b/>
        </w:rPr>
        <w:t xml:space="preserve">Métodos:</w:t>
      </w:r>
      <w:r>
        <w:t xml:space="preserve"> Revisão integrativa orientada pelas diretrizes PRISMA, com buscas no PubMed/MEDLINE, SciELO e LILACS (2021-2026). Utilizaram-se descritores controlados para endometriose, fertilidade e reserva ovariana em português, inglês e espanhol. Foram incluídos 30 estudos primários observacionais e intervencionais avaliados criticamente quanto à qualidade metodológica e risco de viés. </w:t>
      </w:r>
      <w:r>
        <w:rPr>
          <w:b/>
        </w:rPr>
        <w:t xml:space="preserve">Resultados:</w:t>
      </w:r>
      <w:r>
        <w:t xml:space="preserve"> A doença degrada a fertilidade por sinergismo entre inflamação peritoneal mediada por citocinas, estresse oxidativo intrafolicular e distorção anatômica pélvica. Observou-se declínio consistente de biomarcadores de reserva ovariana (hormônio antimülleriano e contagem de folículos antrais), intensificado em lesões profundas, estágios III-IV e após cistectomias excisionais. Em ciclos de reprodução assistida, disfunções mitocondriais e transcriptômicas oocitárias associaram-se a menor recuperação de oócitos em metáfase II, clivagens anômalas e redução expressiva nas taxas de implantação e de nascidos vivos cumulativos. </w:t>
      </w:r>
      <w:r>
        <w:rPr>
          <w:b/>
        </w:rPr>
        <w:t xml:space="preserve">Conclusão:</w:t>
      </w:r>
      <w:r>
        <w:t xml:space="preserve"> A endometriose compromete o potencial reprodutivo tanto pela depleção quantitativa da reserva folicular quanto pela perda qualitativa oocitária e embrionária. O manejo clínico exige condutas cirúrgicas parcimoniosas e estratégias de preservação oocitária precoces.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evidence on the mechanisms through which endometriosis impairs female reproductive axis integrity and clinical and laboratory fertility parameters in women of reproductive age. </w:t>
      </w:r>
      <w:r>
        <w:rPr>
          <w:b/>
        </w:rPr>
        <w:t xml:space="preserve">Methods:</w:t>
      </w:r>
      <w:r>
        <w:t xml:space="preserve"> Integrative review guided by PRISMA recommendations, searching PubMed/MEDLINE, SciELO, and LILACS (2021-2026). Controlled descriptors for endometriosis, fertility, and ovarian reserve were applied across English, Portuguese, and Spanish. Thirty primary observational and interventional studies were included following critical appraisal of methodological quality and risk of bias. </w:t>
      </w:r>
      <w:r>
        <w:rPr>
          <w:b/>
        </w:rPr>
        <w:t xml:space="preserve">Results:</w:t>
      </w:r>
      <w:r>
        <w:t xml:space="preserve"> The disease undermines fertility through synergistic interactions among cytokine-driven peritoneal inflammation, intrafollicular oxidative stress, and pelvic architectural distortion. A consistent decline in ovarian reserve biomarkers (anti-Müllerian hormone and antral follicle count) was identified, magnified in deep lesions, stages III-IV, and post-excisional cystectomy. In assisted reproduction cycles, oocyte mitochondrial and transcriptomic alterations were linked to reduced metaphase II oocyte yield, aberrant cleavage rates, and markedly lower implantation and cumulative live birth rates. </w:t>
      </w:r>
      <w:r>
        <w:rPr>
          <w:b/>
        </w:rPr>
        <w:t xml:space="preserve">Conclusion:</w:t>
      </w:r>
      <w:r>
        <w:t xml:space="preserve"> Endometriosis compromises reproductive competence via quantitative depletion of the follicular pool and qualitative oocyte-embryo degradation. Clinical management requires conservative surgical strategies and timely fertility preservation.</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Contexto Clínico-Epidemiológico e Sobrecarga Reprodutiva</w:t>
      </w:r>
    </w:p>
    <w:p>
      <w:pPr>
        <w:pStyle w:val="Normal"/>
      </w:pPr>
      <w:r>
        <w:t xml:space="preserve">A endometriose define-se pela presença e proliferação de tecido endometrial estromal e glandular fora da cavidade uterina, estabelecendo um processo inflamatório crônico de repercussão sistêmica. A afecção acomete entre 6% e 10% das mulheres em idade reprodutiva em escala global e manifesta-se em até metade daquelas submetidas à investigação clínica por subfertilidade [9,11]. A sintomatologia álgica — caracterizada por dismenorreia grave, dispareunia de profundidade e dor pélvica crônica acíclica [9,11,12] — converge frequentemente para a perda progressiva da fertilidade [4,11]. Essa trajetória é agravada por atrasos diagnósticos sistemáticos e déficits informacionais no planejamento familiar [10,13], culminando em declínio da integridade psicossocial e na deterioração da qualidade de vida [8,10]. Nos anexos uterinos, a formação de endometriomas acarreta destruição parenquimatosa progressiva e compressão mecânica do estroma gonadal [9,15], amplificando a morbidade reprodutiva da paciente.</w:t>
      </w:r>
    </w:p>
    <w:p>
      <w:pPr>
        <w:pStyle w:val="Titulo2"/>
      </w:pPr>
      <w:r>
        <w:rPr>
          <w:b/>
        </w:rPr>
        <w:t xml:space="preserve">Desregulação do Eixo Reprodutivo e Dissociação de Desfechos</w:t>
      </w:r>
    </w:p>
    <w:p>
      <w:pPr>
        <w:pStyle w:val="Normal"/>
      </w:pPr>
      <w:r>
        <w:t xml:space="preserve">O comprometimento da fertilidade na endometriose ultrapassa a distorção anatômica pélvica e decorre de uma rede intrincada de disfunções imunoinflamatórias e oxidativas no eixo reprodutivo. No microambiente peritoneal e intrafolicular, a hipersecreção de citocinas inflamatórias induz estresse oxidativo, altera a homeostase ovocitária e compromete o desenvolvimento embrionário inicial [5,20,22]. Concomitantemente, observa-se expressiva depleção da reserva ovariana, aferida pela redução do hormônio antimülleriano (AMH) e da contagem de folículos antrais [15,16], dano frequentemente intensificado pela manipulação cirúrgica excisional de endometriomas [19,23]. Emerge na literatura, contudo, uma dissociação clínica substancial: a diminuição de marcadores laboratoriais substitutos de reserva e de resposta ovariana nem sempre se correlaciona de maneira linear com a deterioração dos desfechos reprodutivos duros centrados na paciente, tais como as taxas de gravidez clínica e os nascidos vivos cumulativos [1,2,19,25].</w:t>
      </w:r>
    </w:p>
    <w:p>
      <w:pPr>
        <w:pStyle w:val="Titulo2"/>
      </w:pPr>
      <w:r>
        <w:rPr>
          <w:b/>
        </w:rPr>
        <w:t xml:space="preserve">Lacuna Epistêmica e Objetivo</w:t>
      </w:r>
    </w:p>
    <w:p>
      <w:pPr>
        <w:pStyle w:val="Normal"/>
      </w:pPr>
      <w:r>
        <w:t xml:space="preserve">A despeito dos avanços no mapeamento biológico da doença, permanece uma lacuna crítica quanto à real amplitude e interdependência das vias fisiopatológicas — dano gonadal parenquimatoso, citotoxicidade inflamatória e disfunção endometrial — na determinação do prognóstico reprodutivo real. Persiste indefinição quanto à extensão em que as taxas cumulativas de nascidos vivos refletem a agressão tecidual primária da doença versus a resposta terapêutica adjuvante, cirúrgica ou medicamentosa [17,21,24,26,28,30]. Torna-se premente sintetizar criticamente esse corpo probatório heterogêneo para orientar condutas terapêuticas e de preservação da fertilidade. O objetivo deste estudo consistiu em analisar criticamente as evidências científicas sobre a maneira como a endometriose compromete a integridade do eixo reprodutivo feminino e os parâmetros de fertilidade em mulheres em idade fértil, integrando os impactos sobre a reserva gonadal, a competência ovocitária e embrionária e os desfechos reprodutivos clínicos.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bibliográfica nas bases de dados eletrônicas identificou 153 registros primários (PubMed/MEDLINE: 96; SciELO: 16; LILACS: 41). Desses, 1 registro de menor relevância, segundo a ordenação de algoritmo da própria base, não foi recuperado para triagem. Após a exclusão de duplicatas (19), artigos sem resumo disponível (10) e registros não recuperados pelo limite de busca (1), 123 registros seguiram para triagem por título e resumo. Nessa fase, 31 foram excluídos pelos seguintes critérios: desenho não primário (13), temática desalinhada ao escopo (7), relatos de caso isolados (6) e ausência de dados de desfecho reprodutivo (5). Na reavaliação de 9 registros regionais inicialmente descartados, 6 foram reintegrados ao processo de análise. Dos 92 estudos avaliados na íntegra quanto à elegibilidade, 62 foram descartados por priorização de viabilidade temática. Os 30 estudos remanescentes tiveram metadados confirmados nas fontes primárias e atenderam integralmente aos critérios de inclusão, compondo o corpus analítico desta revisão (Figura 1).</w:t>
      </w:r>
    </w:p>
    <w:p>
      <w:pPr>
        <w:pStyle w:val="Legenda"/>
      </w:pPr>
      <w:r>
        <w:rPr>
          <w:b/>
        </w:rPr>
        <w:t xml:space="preserve">Figura 1 –</w:t>
      </w:r>
      <w:r>
        <w:t xml:space="preserve"> Fluxograma de identificação, triagem e inclusão dos estudos, estruturado segundo as diretrizes PRISMA</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Elaborado pelos autores a partir do protocolo PRISMA.</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[19]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FIV</w:t>
            </w:r>
          </w:p>
        </w:tc>
        <w:tc>
          <w:tcPr>
            <w:tcW w:w="2521" w:type="dxa"/>
            <w:vAlign w:val="top"/>
          </w:tcPr>
          <w:p>
            <w:pPr>
              <w:pStyle w:val="TabelaTexto"/>
              <w:jc w:val="left"/>
            </w:pPr>
            <w:r>
              <w:t xml:space="preserve">Endometrioma ovariano ≥4 cm manejado cirurgicamente (cistectomia laparoscópica) vs. não cirúrgico (cistos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A cistectomia prévia reduziu expressivamente o AMH e o total de oócitos colhidos, embora a taxa cumulativa de nascidos vivos tenha permanecido equiparável entre os braços cirúrgico e conservador.</w:t>
            </w:r>
          </w:p>
        </w:tc>
      </w:tr>
      <w:tr>
        <w:trPr>
          <w:cantSplit/>
        </w:trPr>
        <w:tc>
          <w:tcPr>
            <w:tcW w:w="2100" w:type="dxa"/>
            <w:vAlign w:val="top"/>
          </w:tcPr>
          <w:p>
            <w:pPr>
              <w:pStyle w:val="TabelaTexto"/>
              <w:jc w:val="left"/>
            </w:pPr>
            <w:r>
              <w:t xml:space="preserve">Griffiths et al., 2026 [20]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associada a endometriose ovariana (SPE+OE; n=23), comparadas a controles sem a doença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redução de AMH sérico frente aos controles; SPE correlacionou-se a concentrações peritoneais elevadas de IL-17, TNF-α e IL-23, associando o microambiente inflamatório à perda de reserva folicular.</w:t>
            </w:r>
          </w:p>
        </w:tc>
      </w:tr>
      <w:tr>
        <w:trPr>
          <w:cantSplit/>
        </w:trPr>
        <w:tc>
          <w:tcPr>
            <w:tcW w:w="2100" w:type="dxa"/>
            <w:vAlign w:val="top"/>
          </w:tcPr>
          <w:p>
            <w:pPr>
              <w:pStyle w:val="TabelaTexto"/>
              <w:jc w:val="left"/>
            </w:pPr>
            <w:r>
              <w:t xml:space="preserve">Park et al., 2026 [18]</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1 a 5 oócitos em metáfase II obtidos</w:t>
            </w:r>
          </w:p>
        </w:tc>
        <w:tc>
          <w:tcPr>
            <w:tcW w:w="2521" w:type="dxa"/>
            <w:vAlign w:val="top"/>
          </w:tcPr>
          <w:p>
            <w:pPr>
              <w:pStyle w:val="TabelaTexto"/>
              <w:jc w:val="left"/>
            </w:pPr>
            <w:r>
              <w:t xml:space="preserve">Endometrioma ovariano atual ou recorrente (34 ciclos), infertilidade inexplicada (26 ciclos) e baixa reserva ovariana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superior no grupo endometrioma (1,50) em relação à infertilidade inexplicada (1,00), aproximando-se do grupo com baixa reserva (1,42); o AMH correlacionou-se inversamente com o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(18–44 anos) submetidas a cirurgia ginecológica</w:t>
            </w:r>
          </w:p>
        </w:tc>
        <w:tc>
          <w:tcPr>
            <w:tcW w:w="2521" w:type="dxa"/>
            <w:vAlign w:val="top"/>
          </w:tcPr>
          <w:p>
            <w:pPr>
              <w:pStyle w:val="TabelaTexto"/>
              <w:jc w:val="left"/>
            </w:pPr>
            <w:r>
              <w:t xml:space="preserve">Endometriose incidente confirmada cirurgicamente, estadiamento ASRM (I–IV) e subtipos (superficial, profunda, ovariana)</w:t>
            </w:r>
          </w:p>
        </w:tc>
        <w:tc>
          <w:tcPr>
            <w:tcW w:w="2100" w:type="dxa"/>
            <w:vAlign w:val="top"/>
          </w:tcPr>
          <w:p>
            <w:pPr>
              <w:pStyle w:val="TabelaTexto"/>
              <w:jc w:val="left"/>
            </w:pPr>
            <w:r>
              <w:t xml:space="preserve">Concentrações séricas pré-operatórias de AMH</w:t>
            </w:r>
          </w:p>
        </w:tc>
        <w:tc>
          <w:tcPr>
            <w:tcW w:w="3221" w:type="dxa"/>
            <w:vAlign w:val="top"/>
          </w:tcPr>
          <w:p>
            <w:pPr>
              <w:pStyle w:val="TabelaTexto"/>
              <w:jc w:val="left"/>
            </w:pPr>
            <w:r>
              <w:t xml:space="preserve">Endometriose estágio III-IV associou-se a AMH 40,1% menor; endometriomas ovarianos promoveram redução de 54,3%; o histórico de infertilidade intensificou o declínio (-72,6%).</w:t>
            </w:r>
          </w:p>
        </w:tc>
      </w:tr>
      <w:tr>
        <w:trPr>
          <w:cantSplit/>
        </w:trPr>
        <w:tc>
          <w:tcPr>
            <w:tcW w:w="2100" w:type="dxa"/>
            <w:vAlign w:val="top"/>
          </w:tcPr>
          <w:p>
            <w:pPr>
              <w:pStyle w:val="TabelaTexto"/>
              <w:jc w:val="left"/>
            </w:pPr>
            <w:r>
              <w:t xml:space="preserve">Zhang et al., 2026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FIV/ICSI em mulheres com endometriose e reserva ovariana diminuída</w:t>
            </w:r>
          </w:p>
        </w:tc>
        <w:tc>
          <w:tcPr>
            <w:tcW w:w="2521" w:type="dxa"/>
            <w:vAlign w:val="top"/>
          </w:tcPr>
          <w:p>
            <w:pPr>
              <w:pStyle w:val="TabelaTexto"/>
              <w:jc w:val="left"/>
            </w:pPr>
            <w:r>
              <w:t xml:space="preserve">Quatro protocolos de estimulação ovariana controlada (ultralongo, longo, curto e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com agonista ultralongo superou os demais esquemas, alcançando maiores taxas cumulativas de nascidos vivos (48,5%), nascidos vivos por ciclo (36,6%) e gravidez clínica (41,1%).</w:t>
            </w:r>
          </w:p>
        </w:tc>
      </w:tr>
      <w:tr>
        <w:trPr>
          <w:cantSplit/>
        </w:trPr>
        <w:tc>
          <w:tcPr>
            <w:tcW w:w="2100" w:type="dxa"/>
            <w:vAlign w:val="top"/>
          </w:tcPr>
          <w:p>
            <w:pPr>
              <w:pStyle w:val="TabelaTexto"/>
              <w:jc w:val="left"/>
            </w:pPr>
            <w:r>
              <w:t xml:space="preserve">Akay et al., 2025 [6]</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benignos não endometrióticos)</w:t>
            </w:r>
          </w:p>
        </w:tc>
        <w:tc>
          <w:tcPr>
            <w:tcW w:w="2521" w:type="dxa"/>
            <w:vAlign w:val="top"/>
          </w:tcPr>
          <w:p>
            <w:pPr>
              <w:pStyle w:val="TabelaTexto"/>
              <w:jc w:val="left"/>
            </w:pPr>
            <w:r>
              <w:t xml:space="preserve">Endometrioma ovariano comparado a cistos ovarianos benignos</w:t>
            </w:r>
          </w:p>
        </w:tc>
        <w:tc>
          <w:tcPr>
            <w:tcW w:w="2100" w:type="dxa"/>
            <w:vAlign w:val="top"/>
          </w:tcPr>
          <w:p>
            <w:pPr>
              <w:pStyle w:val="TabelaTexto"/>
              <w:jc w:val="left"/>
            </w:pPr>
            <w:r>
              <w:t xml:space="preserve">Reserva ovariana (FSH e AMH) e marcadores inflamatórios sistêmicos (RDW, NLR, PLR e leucócitos) pré e pós-operatórios</w:t>
            </w:r>
          </w:p>
        </w:tc>
        <w:tc>
          <w:tcPr>
            <w:tcW w:w="3221" w:type="dxa"/>
            <w:vAlign w:val="top"/>
          </w:tcPr>
          <w:p>
            <w:pPr>
              <w:pStyle w:val="TabelaTexto"/>
              <w:jc w:val="left"/>
            </w:pPr>
            <w:r>
              <w:t xml:space="preserve">Marcadores inflamatórios basais revelaram-se superiores no endometrioma, com elevação pós-operatória de NLR; o perfil inflamatório correlacionou-se ao diâmetro cístico, mas não ao estágio da doença ou ao AMH.</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endometriose</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Infertilidade e taxa de concepção</w:t>
            </w:r>
          </w:p>
        </w:tc>
        <w:tc>
          <w:tcPr>
            <w:tcW w:w="3221" w:type="dxa"/>
            <w:vAlign w:val="top"/>
          </w:tcPr>
          <w:p>
            <w:pPr>
              <w:pStyle w:val="TabelaTexto"/>
              <w:jc w:val="left"/>
            </w:pPr>
            <w:r>
              <w:t xml:space="preserve">Infertilidade documentada em 97,83% da coorte (risco 6,65 vezes maior); apenas 23,91% das mulheres engravidaram, com 90,91% dessas gestações obtidas exclusivamente por reprodução assistida.</w:t>
            </w:r>
          </w:p>
        </w:tc>
      </w:tr>
      <w:tr>
        <w:trPr>
          <w:cantSplit/>
        </w:trPr>
        <w:tc>
          <w:tcPr>
            <w:tcW w:w="2100" w:type="dxa"/>
            <w:vAlign w:val="top"/>
          </w:tcPr>
          <w:p>
            <w:pPr>
              <w:pStyle w:val="TabelaTexto"/>
              <w:jc w:val="left"/>
            </w:pPr>
            <w:r>
              <w:t xml:space="preserve">Diao et al., 2025 [22]</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Experimental/Translacional; oócitos humanos de pacientes com endometriose ovariana e controles com infertilidade tubária ou masculina</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de vesícula germinativa (GV)</w:t>
            </w:r>
          </w:p>
        </w:tc>
        <w:tc>
          <w:tcPr>
            <w:tcW w:w="3221" w:type="dxa"/>
            <w:vAlign w:val="top"/>
          </w:tcPr>
          <w:p>
            <w:pPr>
              <w:pStyle w:val="TabelaTexto"/>
              <w:jc w:val="left"/>
            </w:pPr>
            <w:r>
              <w:t xml:space="preserve">O endometrioma causou reprogramação translacional global nos gametas, desregulando vias de sinalização para estresse oxidativo, progressão meiótica e maquinário do spliceossomo.</w:t>
            </w:r>
          </w:p>
        </w:tc>
      </w:tr>
      <w:tr>
        <w:trPr>
          <w:cantSplit/>
        </w:trPr>
        <w:tc>
          <w:tcPr>
            <w:tcW w:w="2100" w:type="dxa"/>
            <w:vAlign w:val="top"/>
          </w:tcPr>
          <w:p>
            <w:pPr>
              <w:pStyle w:val="TabelaTexto"/>
              <w:jc w:val="left"/>
            </w:pPr>
            <w:r>
              <w:t xml:space="preserve">Li et al., 2025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em FIV/ICSI: controles (n=494), endometrioma não operado (n=217) e cistectomia prévia (n=122)</w:t>
            </w:r>
          </w:p>
        </w:tc>
        <w:tc>
          <w:tcPr>
            <w:tcW w:w="2521" w:type="dxa"/>
            <w:vAlign w:val="top"/>
          </w:tcPr>
          <w:p>
            <w:pPr>
              <w:pStyle w:val="TabelaTexto"/>
              <w:jc w:val="left"/>
            </w:pPr>
            <w:r>
              <w:t xml:space="preserve">Presença de endometrioma in situ vs. histórico de cistectomia ovariana</w:t>
            </w:r>
          </w:p>
        </w:tc>
        <w:tc>
          <w:tcPr>
            <w:tcW w:w="2100" w:type="dxa"/>
            <w:vAlign w:val="top"/>
          </w:tcPr>
          <w:p>
            <w:pPr>
              <w:pStyle w:val="TabelaTexto"/>
              <w:jc w:val="left"/>
            </w:pPr>
            <w:r>
              <w:t xml:space="preserve">Reserva ovariana (AFC, FSH, AMH), consumo de gonadotrofinas, total de oócitos captados e maduros (MII), incidência de DOR</w:t>
            </w:r>
          </w:p>
        </w:tc>
        <w:tc>
          <w:tcPr>
            <w:tcW w:w="3221" w:type="dxa"/>
            <w:vAlign w:val="top"/>
          </w:tcPr>
          <w:p>
            <w:pPr>
              <w:pStyle w:val="TabelaTexto"/>
              <w:jc w:val="left"/>
            </w:pPr>
            <w:r>
              <w:t xml:space="preserve">A cistectomia prévia acarretou queda expressiva da reserva folicular, maior taxa de baixa resposta ovariana (DOR) e necessidade de doses elevadas de gonadotrofinas frente aos grupos controle e não cirúrgico.</w:t>
            </w:r>
          </w:p>
        </w:tc>
      </w:tr>
      <w:tr>
        <w:trPr>
          <w:cantSplit/>
        </w:trPr>
        <w:tc>
          <w:tcPr>
            <w:tcW w:w="2100" w:type="dxa"/>
            <w:vAlign w:val="top"/>
          </w:tcPr>
          <w:p>
            <w:pPr>
              <w:pStyle w:val="TabelaTexto"/>
              <w:jc w:val="left"/>
            </w:pPr>
            <w:r>
              <w:t xml:space="preserve">Lu et al., 2025 [21]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endometrioma e 2.956 controles pareadas submetidas ao primeiro ciclo de FIV/ICSI</w:t>
            </w:r>
          </w:p>
        </w:tc>
        <w:tc>
          <w:tcPr>
            <w:tcW w:w="2521" w:type="dxa"/>
            <w:vAlign w:val="top"/>
          </w:tcPr>
          <w:p>
            <w:pPr>
              <w:pStyle w:val="TabelaTexto"/>
              <w:jc w:val="left"/>
            </w:pPr>
            <w:r>
              <w:t xml:space="preserve">Endometrioma ovariano estratificado por faixa etária (&lt;35 anos vs. ≥35 anos)</w:t>
            </w:r>
          </w:p>
        </w:tc>
        <w:tc>
          <w:tcPr>
            <w:tcW w:w="2100" w:type="dxa"/>
            <w:vAlign w:val="top"/>
          </w:tcPr>
          <w:p>
            <w:pPr>
              <w:pStyle w:val="TabelaTexto"/>
              <w:jc w:val="left"/>
            </w:pPr>
            <w:r>
              <w:t xml:space="preserve">Reserva ovariana (AMH, contagem de folículos antrais), taxa cumulativa de gravidez clínica e taxa de nascidos vivos</w:t>
            </w:r>
          </w:p>
        </w:tc>
        <w:tc>
          <w:tcPr>
            <w:tcW w:w="3221" w:type="dxa"/>
            <w:vAlign w:val="top"/>
          </w:tcPr>
          <w:p>
            <w:pPr>
              <w:pStyle w:val="TabelaTexto"/>
              <w:jc w:val="left"/>
            </w:pPr>
            <w:r>
              <w:t xml:space="preserve">O endometrioma deprimiu a reserva folicular e as taxas cumulativas de gravidez e nascidos vivos nas pacientes jovens (&lt;35 anos), sem efeito diferencial nas mulheres com idade ≥35 anos; o AMH figurou como preditor independente de nascido vivo.</w:t>
            </w:r>
          </w:p>
        </w:tc>
      </w:tr>
      <w:tr>
        <w:trPr>
          <w:cantSplit/>
        </w:trPr>
        <w:tc>
          <w:tcPr>
            <w:tcW w:w="2100" w:type="dxa"/>
            <w:vAlign w:val="top"/>
          </w:tcPr>
          <w:p>
            <w:pPr>
              <w:pStyle w:val="TabelaTexto"/>
              <w:jc w:val="left"/>
            </w:pPr>
            <w:r>
              <w:t xml:space="preserve">Pereira et al., 2025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avançada e indicação cirúrgica (mediana de 35 anos)</w:t>
            </w:r>
          </w:p>
        </w:tc>
        <w:tc>
          <w:tcPr>
            <w:tcW w:w="2521" w:type="dxa"/>
            <w:vAlign w:val="top"/>
          </w:tcPr>
          <w:p>
            <w:pPr>
              <w:pStyle w:val="TabelaTexto"/>
              <w:jc w:val="left"/>
            </w:pPr>
            <w:r>
              <w:t xml:space="preserve">Estadiamento ASRM III e IV</w:t>
            </w:r>
          </w:p>
        </w:tc>
        <w:tc>
          <w:tcPr>
            <w:tcW w:w="2100" w:type="dxa"/>
            <w:vAlign w:val="top"/>
          </w:tcPr>
          <w:p>
            <w:pPr>
              <w:pStyle w:val="TabelaTexto"/>
              <w:jc w:val="left"/>
            </w:pPr>
            <w:r>
              <w:t xml:space="preserve">Intensidade álgica, função sexual, escores de qualidade de vida e prevalência de infertilidade</w:t>
            </w:r>
          </w:p>
        </w:tc>
        <w:tc>
          <w:tcPr>
            <w:tcW w:w="3221" w:type="dxa"/>
            <w:vAlign w:val="top"/>
          </w:tcPr>
          <w:p>
            <w:pPr>
              <w:pStyle w:val="TabelaTexto"/>
              <w:jc w:val="left"/>
            </w:pPr>
            <w:r>
              <w:t xml:space="preserve">Mulheres nos estágios III e IV segregaram-se em dois fenótipos funcionais distintos de gravidade álgica e prejuízo à função sexual; a frequência de infertilidade permaneceu uniforme entre esses subgrupos.</w:t>
            </w:r>
          </w:p>
        </w:tc>
      </w:tr>
      <w:tr>
        <w:trPr>
          <w:cantSplit/>
        </w:trPr>
        <w:tc>
          <w:tcPr>
            <w:tcW w:w="2100" w:type="dxa"/>
            <w:vAlign w:val="top"/>
          </w:tcPr>
          <w:p>
            <w:pPr>
              <w:pStyle w:val="TabelaTexto"/>
              <w:jc w:val="left"/>
            </w:pPr>
            <w:r>
              <w:t xml:space="preserve">Souza et al., 2025 [3]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(18–49 anos) com diagnóstico firmado de endometriose</w:t>
            </w:r>
          </w:p>
        </w:tc>
        <w:tc>
          <w:tcPr>
            <w:tcW w:w="2521" w:type="dxa"/>
            <w:vAlign w:val="top"/>
          </w:tcPr>
          <w:p>
            <w:pPr>
              <w:pStyle w:val="TabelaTexto"/>
              <w:jc w:val="left"/>
            </w:pPr>
            <w:r>
              <w:t xml:space="preserve">Soropositividade para autoanticorpos tireoidianos (anti-TPO e anti-Tg)</w:t>
            </w:r>
          </w:p>
        </w:tc>
        <w:tc>
          <w:tcPr>
            <w:tcW w:w="2100" w:type="dxa"/>
            <w:vAlign w:val="top"/>
          </w:tcPr>
          <w:p>
            <w:pPr>
              <w:pStyle w:val="TabelaTexto"/>
              <w:jc w:val="left"/>
            </w:pPr>
            <w:r>
              <w:t xml:space="preserve">Reserva ovariana estimada por AMH e contagem de folículos antrais (AFC)</w:t>
            </w:r>
          </w:p>
        </w:tc>
        <w:tc>
          <w:tcPr>
            <w:tcW w:w="3221" w:type="dxa"/>
            <w:vAlign w:val="top"/>
          </w:tcPr>
          <w:p>
            <w:pPr>
              <w:pStyle w:val="TabelaTexto"/>
              <w:jc w:val="left"/>
            </w:pPr>
            <w:r>
              <w:t xml:space="preserve">Alta prevalência de autoimunidade tireoidiana associada à endometriose; não houve redução estatisticamente significante na reserva folicular, embora pacientes soropositivas tenham exibido tendência a menores valores medianos de AMH.</w:t>
            </w:r>
          </w:p>
        </w:tc>
      </w:tr>
      <w:tr>
        <w:trPr>
          <w:cantSplit/>
        </w:trPr>
        <w:tc>
          <w:tcPr>
            <w:tcW w:w="2100" w:type="dxa"/>
            <w:vAlign w:val="top"/>
          </w:tcPr>
          <w:p>
            <w:pPr>
              <w:pStyle w:val="TabelaTexto"/>
              <w:jc w:val="left"/>
            </w:pPr>
            <w:r>
              <w:t xml:space="preserve">Şükür et al., 2025 [24]</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com endometrioma ≥4 cm no primeiro ciclo de FIV</w:t>
            </w:r>
          </w:p>
        </w:tc>
        <w:tc>
          <w:tcPr>
            <w:tcW w:w="2521" w:type="dxa"/>
            <w:vAlign w:val="top"/>
          </w:tcPr>
          <w:p>
            <w:pPr>
              <w:pStyle w:val="TabelaTexto"/>
              <w:jc w:val="left"/>
            </w:pPr>
            <w:r>
              <w:t xml:space="preserve">Três condutas terapêuticas: conduta expectante (n=39), escleroterapia com etanol (n=20) e cistectomia laparoscópica (n=31)</w:t>
            </w:r>
          </w:p>
        </w:tc>
        <w:tc>
          <w:tcPr>
            <w:tcW w:w="2100" w:type="dxa"/>
            <w:vAlign w:val="top"/>
          </w:tcPr>
          <w:p>
            <w:pPr>
              <w:pStyle w:val="TabelaTexto"/>
              <w:jc w:val="left"/>
            </w:pPr>
            <w:r>
              <w:t xml:space="preserve">Taxa cumulativa de nascidos vivos, rendimento de oócitos e embriões, implantação e taxa de cancelamento de ciclo</w:t>
            </w:r>
          </w:p>
        </w:tc>
        <w:tc>
          <w:tcPr>
            <w:tcW w:w="3221" w:type="dxa"/>
            <w:vAlign w:val="top"/>
          </w:tcPr>
          <w:p>
            <w:pPr>
              <w:pStyle w:val="TabelaTexto"/>
              <w:jc w:val="left"/>
            </w:pPr>
            <w:r>
              <w:t xml:space="preserve">A escleroterapia com etanol preservou a reserva folicular e alcançou maior taxa cumulativa de nascidos vivos (65%), superando os braços de cistectomia cirúrgica e manejo expectante.</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vinculadas ao Nurses' Health Study II com dosagem de AMH</w:t>
            </w:r>
          </w:p>
        </w:tc>
        <w:tc>
          <w:tcPr>
            <w:tcW w:w="2521" w:type="dxa"/>
            <w:vAlign w:val="top"/>
          </w:tcPr>
          <w:p>
            <w:pPr>
              <w:pStyle w:val="TabelaTexto"/>
              <w:jc w:val="left"/>
            </w:pPr>
            <w:r>
              <w:t xml:space="preserve">Diagnóstico laparoscópico de endometriose</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Portadoras de endometriose exibiram AMH 29,6% menor em relação a mulheres sadias; a presença de sobrepeso/obesidade (IMC ≥25 kg/m²) intensificou essa redução para 44,0%.</w:t>
            </w:r>
          </w:p>
        </w:tc>
      </w:tr>
      <w:tr>
        <w:trPr>
          <w:cantSplit/>
        </w:trPr>
        <w:tc>
          <w:tcPr>
            <w:tcW w:w="2100" w:type="dxa"/>
            <w:vAlign w:val="top"/>
          </w:tcPr>
          <w:p>
            <w:pPr>
              <w:pStyle w:val="TabelaTexto"/>
              <w:jc w:val="left"/>
            </w:pPr>
            <w:r>
              <w:t xml:space="preserve">Haque et al., 2024 [25]</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ciclos de FIV (93 com endometriose e 317 sem a afecção)</w:t>
            </w:r>
          </w:p>
        </w:tc>
        <w:tc>
          <w:tcPr>
            <w:tcW w:w="2521" w:type="dxa"/>
            <w:vAlign w:val="top"/>
          </w:tcPr>
          <w:p>
            <w:pPr>
              <w:pStyle w:val="TabelaTexto"/>
              <w:jc w:val="left"/>
            </w:pPr>
            <w:r>
              <w:t xml:space="preserve">Diagnóstico clínico-cirúrgico de endometriose</w:t>
            </w:r>
          </w:p>
        </w:tc>
        <w:tc>
          <w:tcPr>
            <w:tcW w:w="2100" w:type="dxa"/>
            <w:vAlign w:val="top"/>
          </w:tcPr>
          <w:p>
            <w:pPr>
              <w:pStyle w:val="TabelaTexto"/>
              <w:jc w:val="left"/>
            </w:pPr>
            <w:r>
              <w:t xml:space="preserve">Rendimento ovocitário, maturação nuclear, taxas de fertilização, clivagem embrionária, gestação clínica e nascido vivo</w:t>
            </w:r>
          </w:p>
        </w:tc>
        <w:tc>
          <w:tcPr>
            <w:tcW w:w="3221" w:type="dxa"/>
            <w:vAlign w:val="top"/>
          </w:tcPr>
          <w:p>
            <w:pPr>
              <w:pStyle w:val="TabelaTexto"/>
              <w:jc w:val="left"/>
            </w:pPr>
            <w:r>
              <w:t xml:space="preserve">A doença reduziu a quantidade e a qualidade morfológica dos gametas resgatados; contudo, o desenvolvimento embrionário subsequente, a gravidez clínica e o nascido vivo não diferiram dos controles.</w:t>
            </w:r>
          </w:p>
        </w:tc>
      </w:tr>
      <w:tr>
        <w:trPr>
          <w:cantSplit/>
        </w:trPr>
        <w:tc>
          <w:tcPr>
            <w:tcW w:w="2100" w:type="dxa"/>
            <w:vAlign w:val="top"/>
          </w:tcPr>
          <w:p>
            <w:pPr>
              <w:pStyle w:val="TabelaTexto"/>
              <w:jc w:val="left"/>
            </w:pPr>
            <w:r>
              <w:t xml:space="preserve">Molina Rodríguez, 2024 [9]</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prontuários de 560 mulheres avaliadas em serviço terciário especializado</w:t>
            </w:r>
          </w:p>
        </w:tc>
        <w:tc>
          <w:tcPr>
            <w:tcW w:w="2521" w:type="dxa"/>
            <w:vAlign w:val="top"/>
          </w:tcPr>
          <w:p>
            <w:pPr>
              <w:pStyle w:val="TabelaTexto"/>
              <w:jc w:val="left"/>
            </w:pPr>
            <w:r>
              <w:t xml:space="preserve">Endometriose pélvica confirmada</w:t>
            </w:r>
          </w:p>
        </w:tc>
        <w:tc>
          <w:tcPr>
            <w:tcW w:w="2100" w:type="dxa"/>
            <w:vAlign w:val="top"/>
          </w:tcPr>
          <w:p>
            <w:pPr>
              <w:pStyle w:val="TabelaTexto"/>
              <w:jc w:val="left"/>
            </w:pPr>
            <w:r>
              <w:t xml:space="preserve">Idade diagnóstica, paridade, gravidade de dismenorreia, dispareunia e topografia das lesões ectópicas</w:t>
            </w:r>
          </w:p>
        </w:tc>
        <w:tc>
          <w:tcPr>
            <w:tcW w:w="3221" w:type="dxa"/>
            <w:vAlign w:val="top"/>
          </w:tcPr>
          <w:p>
            <w:pPr>
              <w:pStyle w:val="TabelaTexto"/>
              <w:jc w:val="left"/>
            </w:pPr>
            <w:r>
              <w:t xml:space="preserve">Concentração diagnóstica na faixa de 26 a 35 anos; nuliparidade documentada em 63,00% da amostra; dismenorreia primária em 63,07%; o ovário representou o sítio anatômico preponderante (78,70%).</w:t>
            </w:r>
          </w:p>
        </w:tc>
      </w:tr>
      <w:tr>
        <w:trPr>
          <w:cantSplit/>
        </w:trPr>
        <w:tc>
          <w:tcPr>
            <w:tcW w:w="2100" w:type="dxa"/>
            <w:vAlign w:val="top"/>
          </w:tcPr>
          <w:p>
            <w:pPr>
              <w:pStyle w:val="TabelaTexto"/>
              <w:jc w:val="left"/>
            </w:pPr>
            <w:r>
              <w:t xml:space="preserve">Morcel et al., 2024 [28]</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estratificados por gravidade e tipologia da doença</w:t>
            </w:r>
          </w:p>
        </w:tc>
        <w:tc>
          <w:tcPr>
            <w:tcW w:w="2521" w:type="dxa"/>
            <w:vAlign w:val="top"/>
          </w:tcPr>
          <w:p>
            <w:pPr>
              <w:pStyle w:val="TabelaTexto"/>
              <w:jc w:val="left"/>
            </w:pPr>
            <w:r>
              <w:t xml:space="preserve">Estágios da endometriose (ASRM I-II, III-IV sem endometrioma, endometrioma isolado e endometriose profunda infiltrativa)</w:t>
            </w:r>
          </w:p>
        </w:tc>
        <w:tc>
          <w:tcPr>
            <w:tcW w:w="2100" w:type="dxa"/>
            <w:vAlign w:val="top"/>
          </w:tcPr>
          <w:p>
            <w:pPr>
              <w:pStyle w:val="TabelaTexto"/>
              <w:jc w:val="left"/>
            </w:pPr>
            <w:r>
              <w:t xml:space="preserve">Taxas de gravidez clínica, gestação em curso e taxa cumulativa de gravidez por casal transferido</w:t>
            </w:r>
          </w:p>
        </w:tc>
        <w:tc>
          <w:tcPr>
            <w:tcW w:w="3221" w:type="dxa"/>
            <w:vAlign w:val="top"/>
          </w:tcPr>
          <w:p>
            <w:pPr>
              <w:pStyle w:val="TabelaTexto"/>
              <w:jc w:val="left"/>
            </w:pPr>
            <w:r>
              <w:t xml:space="preserve">A gravidez em curso por ciclo a fresco não divergiu dos controles; em contrapartida, as taxas cumulativas por casal decaíram acentuadamente no subgrupo acometido por endometriose profunda com nódulos infiltrativos.</w:t>
            </w:r>
          </w:p>
        </w:tc>
      </w:tr>
      <w:tr>
        <w:trPr>
          <w:cantSplit/>
        </w:trPr>
        <w:tc>
          <w:tcPr>
            <w:tcW w:w="2100" w:type="dxa"/>
            <w:vAlign w:val="top"/>
          </w:tcPr>
          <w:p>
            <w:pPr>
              <w:pStyle w:val="TabelaTexto"/>
              <w:jc w:val="left"/>
            </w:pPr>
            <w:r>
              <w:t xml:space="preserve">Nadă et al., 2024 [26]</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mulheres com endometriose e antecedente cirúrgico vs. fator tubário submetidas a FIV</w:t>
            </w:r>
          </w:p>
        </w:tc>
        <w:tc>
          <w:tcPr>
            <w:tcW w:w="2521" w:type="dxa"/>
            <w:vAlign w:val="top"/>
          </w:tcPr>
          <w:p>
            <w:pPr>
              <w:pStyle w:val="TabelaTexto"/>
              <w:jc w:val="left"/>
            </w:pPr>
            <w:r>
              <w:t xml:space="preserve">Endometriose operada, idade materna, AMH basal e regimes farmacológicos de estimulação ovariana</w:t>
            </w:r>
          </w:p>
        </w:tc>
        <w:tc>
          <w:tcPr>
            <w:tcW w:w="2100" w:type="dxa"/>
            <w:vAlign w:val="top"/>
          </w:tcPr>
          <w:p>
            <w:pPr>
              <w:pStyle w:val="TabelaTexto"/>
              <w:jc w:val="left"/>
            </w:pPr>
            <w:r>
              <w:t xml:space="preserve">Taxa de gravidez clínica confirmada por ultrassonografia</w:t>
            </w:r>
          </w:p>
        </w:tc>
        <w:tc>
          <w:tcPr>
            <w:tcW w:w="3221" w:type="dxa"/>
            <w:vAlign w:val="top"/>
          </w:tcPr>
          <w:p>
            <w:pPr>
              <w:pStyle w:val="TabelaTexto"/>
              <w:jc w:val="left"/>
            </w:pPr>
            <w:r>
              <w:t xml:space="preserve">O braço acometido por endometriose apresentou menor taxa de prenhez clínica frente ao fator tubário; idade e AMH atuaram como preditores independentes; o uso de corifolitropina alfa melhorou os desfechos clínicos.</w:t>
            </w:r>
          </w:p>
        </w:tc>
      </w:tr>
      <w:tr>
        <w:trPr>
          <w:cantSplit/>
        </w:trPr>
        <w:tc>
          <w:tcPr>
            <w:tcW w:w="2100" w:type="dxa"/>
            <w:vAlign w:val="top"/>
          </w:tcPr>
          <w:p>
            <w:pPr>
              <w:pStyle w:val="TabelaTexto"/>
              <w:jc w:val="left"/>
            </w:pPr>
            <w:r>
              <w:t xml:space="preserve">Nogueira Neto et al., 2024 [10]</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com endometriose submetidas a intervenção cirúrgica laparoscópica</w:t>
            </w:r>
          </w:p>
        </w:tc>
        <w:tc>
          <w:tcPr>
            <w:tcW w:w="2521" w:type="dxa"/>
            <w:vAlign w:val="top"/>
          </w:tcPr>
          <w:p>
            <w:pPr>
              <w:pStyle w:val="TabelaTexto"/>
              <w:jc w:val="left"/>
            </w:pPr>
            <w:r>
              <w:t xml:space="preserve">Laparoscopia excisional para endometriose</w:t>
            </w:r>
          </w:p>
        </w:tc>
        <w:tc>
          <w:tcPr>
            <w:tcW w:w="2100" w:type="dxa"/>
            <w:vAlign w:val="top"/>
          </w:tcPr>
          <w:p>
            <w:pPr>
              <w:pStyle w:val="TabelaTexto"/>
              <w:jc w:val="left"/>
            </w:pPr>
            <w:r>
              <w:t xml:space="preserve">Escore depressivo relacionado à dor e categorização da fertilidade</w:t>
            </w:r>
          </w:p>
        </w:tc>
        <w:tc>
          <w:tcPr>
            <w:tcW w:w="3221" w:type="dxa"/>
            <w:vAlign w:val="top"/>
          </w:tcPr>
          <w:p>
            <w:pPr>
              <w:pStyle w:val="TabelaTexto"/>
              <w:jc w:val="left"/>
            </w:pPr>
            <w:r>
              <w:t xml:space="preserve">A ressecção cirúrgica mitigou os escores depressivos; baixa fertilidade prévia foi observada em 50,9% das pacientes, coexistindo com estadiamento cirúrgico grave em 39,3% dos casos.</w:t>
            </w:r>
          </w:p>
        </w:tc>
      </w:tr>
      <w:tr>
        <w:trPr>
          <w:cantSplit/>
        </w:trPr>
        <w:tc>
          <w:tcPr>
            <w:tcW w:w="2100" w:type="dxa"/>
            <w:vAlign w:val="top"/>
          </w:tcPr>
          <w:p>
            <w:pPr>
              <w:pStyle w:val="TabelaTexto"/>
              <w:jc w:val="left"/>
            </w:pPr>
            <w:r>
              <w:t xml:space="preserve">Qu et al., 2024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ciclos com teste genético pré-implantacional para aneuploidias (PGT-A)</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Taxa de aneuploidia blastocitária, nascido vivo, perdas gestacionais clínicas e complicações obstétricas</w:t>
            </w:r>
          </w:p>
        </w:tc>
        <w:tc>
          <w:tcPr>
            <w:tcW w:w="3221" w:type="dxa"/>
            <w:vAlign w:val="top"/>
          </w:tcPr>
          <w:p>
            <w:pPr>
              <w:pStyle w:val="TabelaTexto"/>
              <w:jc w:val="left"/>
            </w:pPr>
            <w:r>
              <w:t xml:space="preserve">A presença de endometriose aumentou expressivamente a taxa de aneuploidia em blastocistos; não obstante, após a transferência de concepto euploide, as taxas de nascido vivo e abortamento equipararam-se aos controles.</w:t>
            </w:r>
          </w:p>
        </w:tc>
      </w:tr>
      <w:tr>
        <w:trPr>
          <w:cantSplit/>
        </w:trPr>
        <w:tc>
          <w:tcPr>
            <w:tcW w:w="2100" w:type="dxa"/>
            <w:vAlign w:val="top"/>
          </w:tcPr>
          <w:p>
            <w:pPr>
              <w:pStyle w:val="TabelaTexto"/>
              <w:jc w:val="left"/>
            </w:pPr>
            <w:r>
              <w:t xml:space="preserve">Sorvia Naveda et al., 2024 [1]</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inférteis: 89 com endometriose estágio III-IV e 89 controles com outras etiologias</w:t>
            </w:r>
          </w:p>
        </w:tc>
        <w:tc>
          <w:tcPr>
            <w:tcW w:w="2521" w:type="dxa"/>
            <w:vAlign w:val="top"/>
          </w:tcPr>
          <w:p>
            <w:pPr>
              <w:pStyle w:val="TabelaTexto"/>
              <w:jc w:val="left"/>
            </w:pPr>
            <w:r>
              <w:t xml:space="preserve">Endometriose avançada com endometriomas anexiais</w:t>
            </w:r>
          </w:p>
        </w:tc>
        <w:tc>
          <w:tcPr>
            <w:tcW w:w="2100" w:type="dxa"/>
            <w:vAlign w:val="top"/>
          </w:tcPr>
          <w:p>
            <w:pPr>
              <w:pStyle w:val="TabelaTexto"/>
              <w:jc w:val="left"/>
            </w:pPr>
            <w:r>
              <w:t xml:space="preserve">Marcadores de reserva folicular (AMH, AFC), oócitos totais e MII recuperados, implantação embrionária e nascido vivo</w:t>
            </w:r>
          </w:p>
        </w:tc>
        <w:tc>
          <w:tcPr>
            <w:tcW w:w="3221" w:type="dxa"/>
            <w:vAlign w:val="top"/>
          </w:tcPr>
          <w:p>
            <w:pPr>
              <w:pStyle w:val="TabelaTexto"/>
              <w:jc w:val="left"/>
            </w:pPr>
            <w:r>
              <w:t xml:space="preserve">Pacientes nos estágios III-IV apresentaram decréscimo de AMH, contagem antral e oócitos maduros; a taxa final de nascidos vivos por embrião transferido permaneceu análoga à do grupo controle.</w:t>
            </w:r>
          </w:p>
        </w:tc>
      </w:tr>
      <w:tr>
        <w:trPr>
          <w:cantSplit/>
        </w:trPr>
        <w:tc>
          <w:tcPr>
            <w:tcW w:w="2100" w:type="dxa"/>
            <w:vAlign w:val="top"/>
          </w:tcPr>
          <w:p>
            <w:pPr>
              <w:pStyle w:val="TabelaTexto"/>
              <w:jc w:val="left"/>
            </w:pPr>
            <w:r>
              <w:t xml:space="preserve">Bianco et al., 2023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cirúrgica e controles sem lesões à inspeção laparoscópica</w:t>
            </w:r>
          </w:p>
        </w:tc>
        <w:tc>
          <w:tcPr>
            <w:tcW w:w="2521" w:type="dxa"/>
            <w:vAlign w:val="top"/>
          </w:tcPr>
          <w:p>
            <w:pPr>
              <w:pStyle w:val="TabelaTexto"/>
              <w:jc w:val="left"/>
            </w:pPr>
            <w:r>
              <w:t xml:space="preserve">Polimorfismo rs10835638 no gene FSHB (c.-211G&gt;T) em subgrupos férteis e inférteis</w:t>
            </w:r>
          </w:p>
        </w:tc>
        <w:tc>
          <w:tcPr>
            <w:tcW w:w="2100" w:type="dxa"/>
            <w:vAlign w:val="top"/>
          </w:tcPr>
          <w:p>
            <w:pPr>
              <w:pStyle w:val="TabelaTexto"/>
              <w:jc w:val="left"/>
            </w:pPr>
            <w:r>
              <w:t xml:space="preserve">Suscetibilidade à progressão da doença e impacto na infertilidade feminina</w:t>
            </w:r>
          </w:p>
        </w:tc>
        <w:tc>
          <w:tcPr>
            <w:tcW w:w="3221" w:type="dxa"/>
            <w:vAlign w:val="top"/>
          </w:tcPr>
          <w:p>
            <w:pPr>
              <w:pStyle w:val="TabelaTexto"/>
              <w:jc w:val="left"/>
            </w:pPr>
            <w:r>
              <w:t xml:space="preserve">Frequências alélicas e genotípicas não divergiram globalmente entre casos e controles; o alelo T associou-se exclusivamente aos estágios mínimos/leves da doença, sem correlação com o fenótipo de infertilidade.</w:t>
            </w:r>
          </w:p>
        </w:tc>
      </w:tr>
      <w:tr>
        <w:trPr>
          <w:cantSplit/>
        </w:trPr>
        <w:tc>
          <w:tcPr>
            <w:tcW w:w="2100" w:type="dxa"/>
            <w:vAlign w:val="top"/>
          </w:tcPr>
          <w:p>
            <w:pPr>
              <w:pStyle w:val="TabelaTexto"/>
              <w:jc w:val="left"/>
            </w:pPr>
            <w:r>
              <w:t xml:space="preserve">Hernández et al., 2023 [29]</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pacientes de FIV: endometrioma in situ (n=124), cistectomia prévia (n=55) e controles (n=65)</w:t>
            </w:r>
          </w:p>
        </w:tc>
        <w:tc>
          <w:tcPr>
            <w:tcW w:w="2521" w:type="dxa"/>
            <w:vAlign w:val="top"/>
          </w:tcPr>
          <w:p>
            <w:pPr>
              <w:pStyle w:val="TabelaTexto"/>
              <w:jc w:val="left"/>
            </w:pPr>
            <w:r>
              <w:t xml:space="preserve">Presença do cisto ovariano vs. dano cirúrgico prévio</w:t>
            </w:r>
          </w:p>
        </w:tc>
        <w:tc>
          <w:tcPr>
            <w:tcW w:w="2100" w:type="dxa"/>
            <w:vAlign w:val="top"/>
          </w:tcPr>
          <w:p>
            <w:pPr>
              <w:pStyle w:val="TabelaTexto"/>
              <w:jc w:val="left"/>
            </w:pPr>
            <w:r>
              <w:t xml:space="preserve">AMH, AFC, número de oócitos aspirados, concepto transferido, gestação bioquímica e batimento cardíaco fetal às 6 semanas</w:t>
            </w:r>
          </w:p>
        </w:tc>
        <w:tc>
          <w:tcPr>
            <w:tcW w:w="3221" w:type="dxa"/>
            <w:vAlign w:val="top"/>
          </w:tcPr>
          <w:p>
            <w:pPr>
              <w:pStyle w:val="TabelaTexto"/>
              <w:jc w:val="left"/>
            </w:pPr>
            <w:r>
              <w:t xml:space="preserve">O endometrioma deprimiu AMH, AFC e gestação bioquímica; a cistectomia laparoscópica prévia reverteu a taxa de perdas bioquímicas, porém não recuperou o rendimento ou a qualidade dos gametas resgatados.</w:t>
            </w:r>
          </w:p>
        </w:tc>
      </w:tr>
      <w:tr>
        <w:trPr>
          <w:cantSplit/>
        </w:trPr>
        <w:tc>
          <w:tcPr>
            <w:tcW w:w="2100" w:type="dxa"/>
            <w:vAlign w:val="top"/>
          </w:tcPr>
          <w:p>
            <w:pPr>
              <w:pStyle w:val="TabelaTexto"/>
              <w:jc w:val="left"/>
            </w:pPr>
            <w:r>
              <w:t xml:space="preserve">Nadă et al., 2023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ovariana por endometrioma vs. fator tubário em FIV</w:t>
            </w:r>
          </w:p>
        </w:tc>
        <w:tc>
          <w:tcPr>
            <w:tcW w:w="2521" w:type="dxa"/>
            <w:vAlign w:val="top"/>
          </w:tcPr>
          <w:p>
            <w:pPr>
              <w:pStyle w:val="TabelaTexto"/>
              <w:jc w:val="left"/>
            </w:pPr>
            <w:r>
              <w:t xml:space="preserve">Cirurgia ovariana prévia por endometrioma</w:t>
            </w:r>
          </w:p>
        </w:tc>
        <w:tc>
          <w:tcPr>
            <w:tcW w:w="2100" w:type="dxa"/>
            <w:vAlign w:val="top"/>
          </w:tcPr>
          <w:p>
            <w:pPr>
              <w:pStyle w:val="TabelaTexto"/>
              <w:jc w:val="left"/>
            </w:pPr>
            <w:r>
              <w:t xml:space="preserve">Parâmetros de resposta à estimulação, embriões clivados transferidos e taxa de gravidez clínica</w:t>
            </w:r>
          </w:p>
        </w:tc>
        <w:tc>
          <w:tcPr>
            <w:tcW w:w="3221" w:type="dxa"/>
            <w:vAlign w:val="top"/>
          </w:tcPr>
          <w:p>
            <w:pPr>
              <w:pStyle w:val="TabelaTexto"/>
              <w:jc w:val="left"/>
            </w:pPr>
            <w:r>
              <w:t xml:space="preserve">Mulheres previamente operadas por endometrioma apresentaram menor taxa de gravidez clínica frente à obstrução tubária, a despeito de concentrações séricas basais de AMH e doses de gonadotrofinas similares.</w:t>
            </w:r>
          </w:p>
        </w:tc>
      </w:tr>
      <w:tr>
        <w:trPr>
          <w:cantSplit/>
        </w:trPr>
        <w:tc>
          <w:tcPr>
            <w:tcW w:w="2100" w:type="dxa"/>
            <w:vAlign w:val="top"/>
          </w:tcPr>
          <w:p>
            <w:pPr>
              <w:pStyle w:val="TabelaTexto"/>
              <w:jc w:val="left"/>
            </w:pPr>
            <w:r>
              <w:t xml:space="preserve">Sánchez-Resendis Ó et al., 2023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prospectiva; 14 mulheres com endometriose visando preservação de fertilidade futura</w:t>
            </w:r>
          </w:p>
        </w:tc>
        <w:tc>
          <w:tcPr>
            <w:tcW w:w="2521" w:type="dxa"/>
            <w:vAlign w:val="top"/>
          </w:tcPr>
          <w:p>
            <w:pPr>
              <w:pStyle w:val="TabelaTexto"/>
              <w:jc w:val="left"/>
            </w:pPr>
            <w:r>
              <w:t xml:space="preserve">Protocolo combinado de análogo de GnRH (goserelina) seguido de DIU liberador de levonorgestrel</w:t>
            </w:r>
          </w:p>
        </w:tc>
        <w:tc>
          <w:tcPr>
            <w:tcW w:w="2100" w:type="dxa"/>
            <w:vAlign w:val="top"/>
          </w:tcPr>
          <w:p>
            <w:pPr>
              <w:pStyle w:val="TabelaTexto"/>
              <w:jc w:val="left"/>
            </w:pPr>
            <w:r>
              <w:t xml:space="preserve">Intensidade de dor pélvica crônica e integridade dos parâmetros reprodutivos</w:t>
            </w:r>
          </w:p>
        </w:tc>
        <w:tc>
          <w:tcPr>
            <w:tcW w:w="3221" w:type="dxa"/>
            <w:vAlign w:val="top"/>
          </w:tcPr>
          <w:p>
            <w:pPr>
              <w:pStyle w:val="TabelaTexto"/>
              <w:jc w:val="left"/>
            </w:pPr>
            <w:r>
              <w:t xml:space="preserve">O protocolo supressivo erradicou a sintomatologia álgica incapacitante em 100% dos casos avaliados em 12 meses (apenas 5 pacientes relataram dor leve residual transitória), mantendo estabilidade folicular basal.</w:t>
            </w:r>
          </w:p>
        </w:tc>
      </w:tr>
      <w:tr>
        <w:trPr>
          <w:cantSplit/>
        </w:trPr>
        <w:tc>
          <w:tcPr>
            <w:tcW w:w="2100" w:type="dxa"/>
            <w:vAlign w:val="top"/>
          </w:tcPr>
          <w:p>
            <w:pPr>
              <w:pStyle w:val="TabelaTexto"/>
              <w:jc w:val="left"/>
            </w:pPr>
            <w:r>
              <w:t xml:space="preserve">Pontes et al., 2022 [11]</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endometriose profunda mapeada por ultrassonografia com preparo intestinal</w:t>
            </w:r>
          </w:p>
        </w:tc>
        <w:tc>
          <w:tcPr>
            <w:tcW w:w="2521" w:type="dxa"/>
            <w:vAlign w:val="top"/>
          </w:tcPr>
          <w:p>
            <w:pPr>
              <w:pStyle w:val="TabelaTexto"/>
              <w:jc w:val="left"/>
            </w:pPr>
            <w:r>
              <w:t xml:space="preserve">Endometriose profunda infiltrativa</w:t>
            </w:r>
          </w:p>
        </w:tc>
        <w:tc>
          <w:tcPr>
            <w:tcW w:w="2100" w:type="dxa"/>
            <w:vAlign w:val="top"/>
          </w:tcPr>
          <w:p>
            <w:pPr>
              <w:pStyle w:val="TabelaTexto"/>
              <w:jc w:val="left"/>
            </w:pPr>
            <w:r>
              <w:t xml:space="preserve">Incidência de infertilidade e manifestações álgicas (dismenorreia, dispareunia, disquezia menstrual e disúria)</w:t>
            </w:r>
          </w:p>
        </w:tc>
        <w:tc>
          <w:tcPr>
            <w:tcW w:w="3221" w:type="dxa"/>
            <w:vAlign w:val="top"/>
          </w:tcPr>
          <w:p>
            <w:pPr>
              <w:pStyle w:val="TabelaTexto"/>
              <w:jc w:val="left"/>
            </w:pPr>
            <w:r>
              <w:t xml:space="preserve">Infertilidade documentada em 43,8% da amostra; alta prevalência de dismenorreia severa (84,7%), dispareunia profunda (69,1%) e sintomas de acometimento compartimental posterior como disquezia cíclica (60,7%).</w:t>
            </w:r>
          </w:p>
        </w:tc>
      </w:tr>
      <w:tr>
        <w:trPr>
          <w:cantSplit/>
        </w:trPr>
        <w:tc>
          <w:tcPr>
            <w:tcW w:w="2100" w:type="dxa"/>
            <w:vAlign w:val="top"/>
          </w:tcPr>
          <w:p>
            <w:pPr>
              <w:pStyle w:val="TabelaTexto"/>
              <w:jc w:val="left"/>
            </w:pPr>
            <w:r>
              <w:t xml:space="preserve">Bonachea-Peña et al., 2021 [12]</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mulheres em idade fértil internadas com quadro de dor pélvica crônica ginecológica</w:t>
            </w:r>
          </w:p>
        </w:tc>
        <w:tc>
          <w:tcPr>
            <w:tcW w:w="2521" w:type="dxa"/>
            <w:vAlign w:val="top"/>
          </w:tcPr>
          <w:p>
            <w:pPr>
              <w:pStyle w:val="TabelaTexto"/>
              <w:jc w:val="left"/>
            </w:pPr>
            <w:r>
              <w:t xml:space="preserve">Diagnóstico laparoscópico e anatomopatológico de afecções pélvicas</w:t>
            </w:r>
          </w:p>
        </w:tc>
        <w:tc>
          <w:tcPr>
            <w:tcW w:w="2100" w:type="dxa"/>
            <w:vAlign w:val="top"/>
          </w:tcPr>
          <w:p>
            <w:pPr>
              <w:pStyle w:val="TabelaTexto"/>
              <w:jc w:val="left"/>
            </w:pPr>
            <w:r>
              <w:t xml:space="preserve">Associação entre dor pélvica, tipologia etiológica e infertilidade secundária/paridade</w:t>
            </w:r>
          </w:p>
        </w:tc>
        <w:tc>
          <w:tcPr>
            <w:tcW w:w="3221" w:type="dxa"/>
            <w:vAlign w:val="top"/>
          </w:tcPr>
          <w:p>
            <w:pPr>
              <w:pStyle w:val="TabelaTexto"/>
              <w:jc w:val="left"/>
            </w:pPr>
            <w:r>
              <w:t xml:space="preserve">A endometriose constituiu a causa prevalente de dor ginecológica incapacitante; paradoxalmente, a maioria das pacientes acometidas era multípara, evidenciando declínio de fertilidade secundário ao avanço lesional.</w:t>
            </w:r>
          </w:p>
        </w:tc>
      </w:tr>
      <w:tr>
        <w:trPr>
          <w:cantSplit/>
        </w:trPr>
        <w:tc>
          <w:tcPr>
            <w:tcW w:w="2100" w:type="dxa"/>
            <w:vAlign w:val="top"/>
          </w:tcPr>
          <w:p>
            <w:pPr>
              <w:pStyle w:val="TabelaTexto"/>
              <w:jc w:val="left"/>
            </w:pPr>
            <w:r>
              <w:t xml:space="preserve">Caran et al., 2021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análise morfológica estrita de 706 embriões de 162 pacientes (472 de controles e 234 com endometriose peritoneal)</w:t>
            </w:r>
          </w:p>
        </w:tc>
        <w:tc>
          <w:tcPr>
            <w:tcW w:w="2521" w:type="dxa"/>
            <w:vAlign w:val="top"/>
          </w:tcPr>
          <w:p>
            <w:pPr>
              <w:pStyle w:val="TabelaTexto"/>
              <w:jc w:val="left"/>
            </w:pPr>
            <w:r>
              <w:t xml:space="preserve">Endometriose peritoneal superficial exclusiva</w:t>
            </w:r>
          </w:p>
        </w:tc>
        <w:tc>
          <w:tcPr>
            <w:tcW w:w="2100" w:type="dxa"/>
            <w:vAlign w:val="top"/>
          </w:tcPr>
          <w:p>
            <w:pPr>
              <w:pStyle w:val="TabelaTexto"/>
              <w:jc w:val="left"/>
            </w:pPr>
            <w:r>
              <w:t xml:space="preserve">Qualidade embrionária graduada (Graded Embryo Score), fertilização normal, implantação e taxas de concepção</w:t>
            </w:r>
          </w:p>
        </w:tc>
        <w:tc>
          <w:tcPr>
            <w:tcW w:w="3221" w:type="dxa"/>
            <w:vAlign w:val="top"/>
          </w:tcPr>
          <w:p>
            <w:pPr>
              <w:pStyle w:val="TabelaTexto"/>
              <w:jc w:val="left"/>
            </w:pPr>
            <w:r>
              <w:t xml:space="preserve">A endometriose peritoneal superficial isolada não comprometeu o desenvolvimento embrionário precoce, apresentando escores morfológicos, implantação e taxas de gravidez equivalentes aos controles sadios.</w:t>
            </w:r>
          </w:p>
        </w:tc>
      </w:tr>
      <w:tr>
        <w:trPr>
          <w:cantSplit/>
        </w:trPr>
        <w:tc>
          <w:tcPr>
            <w:tcW w:w="2100" w:type="dxa"/>
            <w:vAlign w:val="top"/>
          </w:tcPr>
          <w:p>
            <w:pPr>
              <w:pStyle w:val="TabelaTexto"/>
              <w:jc w:val="left"/>
            </w:pPr>
            <w:r>
              <w:t xml:space="preserve">Giorgi et al., 2021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Experimental prospectivo; maturação in vitro de 883 zigotos bovinos expostos a fluido folicular humano</w:t>
            </w:r>
          </w:p>
        </w:tc>
        <w:tc>
          <w:tcPr>
            <w:tcW w:w="2521" w:type="dxa"/>
            <w:vAlign w:val="top"/>
          </w:tcPr>
          <w:p>
            <w:pPr>
              <w:pStyle w:val="TabelaTexto"/>
              <w:jc w:val="left"/>
            </w:pPr>
            <w:r>
              <w:t xml:space="preserve">Fluido folicular obtido de mulheres com endometriose leve (n=11) vs. doadoras sadias (n=11)</w:t>
            </w:r>
          </w:p>
        </w:tc>
        <w:tc>
          <w:tcPr>
            <w:tcW w:w="2100" w:type="dxa"/>
            <w:vAlign w:val="top"/>
          </w:tcPr>
          <w:p>
            <w:pPr>
              <w:pStyle w:val="TabelaTexto"/>
              <w:jc w:val="left"/>
            </w:pPr>
            <w:r>
              <w:t xml:space="preserve">Tax</w:t>
            </w:r>
          </w:p>
        </w:tc>
      </w:tr>
    </w:tbl>
    <w:p>
      <w:pPr>
        <w:sectPr>
          <w:headerReference w:type="default" r:id="rIdCabecalho"/>
          <w:pgSz w:w="16838" w:h="11906" w:orient="landscape"/>
          <w:pgMar w:top="1701" w:right="1134" w:bottom="1134" w:left="1701" w:header="709" w:footer="709" w:gutter="0"/>
        </w:sectPr>
      </w:pPr>
    </w:p>
    <w:p>
      <w:pPr>
        <w:pStyle w:val="Titulo1"/>
      </w:pPr>
      <w:r>
        <w:rPr>
          <w:b/>
        </w:rPr>
        <w:t xml:space="preserve">4 Discussão</w:t>
      </w:r>
    </w:p>
    <w:p>
      <w:pPr>
        <w:pStyle w:val="Titulo2"/>
      </w:pPr>
      <w:r>
        <w:rPr>
          <w:b/>
        </w:rPr>
        <w:t xml:space="preserve">4.1 Interpretação dos principais achados</w:t>
      </w:r>
    </w:p>
    <w:p>
      <w:pPr>
        <w:pStyle w:val="Normal"/>
      </w:pPr>
      <w:r>
        <w:t xml:space="preserve">A endometriose compromete o eixo reprodutivo por vias biológicas multifatoriais, culminando no declínio acelerado da reserva folicular e na deterioração da competência meiótica dos gametas. Evidências clínicas na América Latina e na Europa demonstram que pacientes portadoras de doença moderada a grave (estágios III e IV) sofrem decréscimos substanciais em biomarcadores ovarianos substitutos, especificamente no hormônio antimülleriano (HAM) sérico e na contagem de folículos antrais (CFA), quando comparadas a mulheres inférteis por fatores masculinos ou tubários [1,15,16,28]. Em coorte prospectiva mexicana com 178 participantes, mulheres com estadiamento III-IV apresentaram HAM médio de 1,6 ± 1,3 ng/mL frente a 2,5 ± 1,4 ng/mL nos controles (p &lt; 0,005), paralelamente a um encolhimento expressivo da CFA de 11,4 ± 8,3 contra 17,5 ± 10,3 (p &lt; 0,001) [1]. Na mesma linha de investigação, coorte transversal brasileira registrou mediana de HAM de 0,66 ng/mL em portadoras com presença de autoanticorpos antitireoidianos versus 1,37 ng/mL no estrato soronegativo (p = 0,09) [3]. Embora esse último contraste não tenha alcançado significância estatística convencional em razão do poder amostral limitado, a tendência aponta para uma vulnerabilidade folicular exacerbada quando fenômenos autoimunes sobrepõem-se ao microambiente da endometriose [3].</w:t>
      </w:r>
    </w:p>
    <w:p>
      <w:pPr>
        <w:pStyle w:val="Normal"/>
      </w:pPr>
      <w:r>
        <w:t xml:space="preserve">Essa depleção quantitativa repercute na resposta ovariana à estimulação exógena. Casuísticas multicêntricas confirmam colheitas ovocitárias reduzidas e rendimento inferior de oócitos em metáfase II, agravo que atinge magnitude crítica naquelas submetidas à ablação cirúrgica ovariana prévia [17,23,26,29,30]. Em coorte com 3.517 pacientes, a incidência de baixa reserva ovariana (definida por HAM &lt; 1,1 ng/mL) alcançou 26,23% nas mulheres submetidas a cistectomia, sobrepujando os índices observados na conduta não cirúrgica (12,90%) e nos controles sem afecção ovariana (13,56%) [23]. A coorte mexicana corroborou essa restrição quantitativa: o grupo com endometriose moderada a grave desenvolveu menos folículos totais (16,2 ± 8,8 versus 23,1 ± 9,7; p &lt; 0,001) e produziu uma colheita ovocitária significativamente deprimida (7,3 ± 5,1 versus 10,4 ± 4,6; p &lt; 0,001) [1]. Essa perda de biomarcadores substitutos sinaliza menor volume de trabalho para o laboratório de embriologia, impondo limitações numéricas imediatas ao processo de fertilização.</w:t>
      </w:r>
    </w:p>
    <w:p>
      <w:pPr>
        <w:pStyle w:val="Normal"/>
      </w:pPr>
      <w:r>
        <w:t xml:space="preserve">A agressão transcende a contagem de folículos e atinge a qualidade biológica intrínseca do oócito. Em modelo translacional controlado, o fluido folicular colhido de pacientes com endometriose inicial provocou colapso na taxa de eclosão de blastocistos para 12,5%, contra 42,1% no controle não exposto (p = 0,029); a adição do antioxidante N-acetil-cisteína neutralizou essa injúria e restaurou a eclosão para 44,4% (p = 0,02) [5]. O achado corrobora a hipótese de que o excesso de espécies reativas de oxigênio e mediadores lipoperoxidativos no estroma gonadal lesa a integridade de organelas e inviabiliza o desenvolvimento embrionário inicial [5]. Paralelamente, análises de sequenciamento em célula única (</w:t>
      </w:r>
      <w:r>
        <w:rPr>
          <w:i/>
        </w:rPr>
        <w:t xml:space="preserve">single-cell dual-omics</w:t>
      </w:r>
      <w:r>
        <w:t xml:space="preserve">) identificaram desarranjos na maquinaria de tradução proteica de gametas expostos ao microambiente do endometrioma, desregulando vias de resposta ao estresse oxidativo, checkpoints de meiose e o complexo do spliceossomo [22]. Essa vulnerabilidade reflete-se na morfologia: análise de 92 ciclos de injeção intracitoplasmática revelou índice de desbalanço morfológico ovocitário (AOQI) de 1,50 nas mulheres com endometrioma, significativamente superior ao valor de 1,00 observado na infertilidade sem causa aparente (p = 0,037), equiparando-se ao dano visto no grupo com reserva ovariana diminuída (1,42) e mantendo correlação inversa com os títulos de HAM (r = -0,242; p = 0,02) [18]. A lesão oxidativa crônica degrada o aparelho citoplasmático antes mesmo da fertilização.</w:t>
      </w:r>
    </w:p>
    <w:p>
      <w:pPr>
        <w:pStyle w:val="Normal"/>
      </w:pPr>
      <w:r>
        <w:t xml:space="preserve">Na esfera endometrial, os dados dissociam desfechos substitutos laboratoriais de desfechos clínicos duros. Uma coorte francesa não detectou prejuízos na taxa de gravidez em curso no cômputo geral, embora desfechos cumulativos por casal tenham recuado no fenótipo com endometriose profunda infiltrativa (p &lt; 0,05) [28]. Sob outra perspectiva, análise de 625 ciclos com rastreamento genético pré-implantacional para aneuploidias demonstrou equivalência estrita nas taxas de implantação, gestação clínica e nascidos vivos, não obstante uma taxa mais expressiva de aneuploidias nos blastocistos gerados por mulheres com endometriose (p = 0,012) [27]. Essa dissociação elucida um mecanismo preponderante: uma vez contornado o filtro da seleção embrionária pela transferência de blastocistos comprovadamente euploides, o endométrio dessas pacientes preserva capacidade funcional satisfatória para suportar a nidação e a evolução gestacional até o parto.</w:t>
      </w:r>
    </w:p>
    <w:p>
      <w:pPr>
        <w:pStyle w:val="Titulo2"/>
      </w:pPr>
      <w:r>
        <w:rPr>
          <w:b/>
        </w:rPr>
        <w:t xml:space="preserve">4.2 Diálogo crítico entre os estudos</w:t>
      </w:r>
    </w:p>
    <w:p>
      <w:pPr>
        <w:pStyle w:val="Normal"/>
      </w:pPr>
      <w:r>
        <w:t xml:space="preserve">A literatura exibe concordância substancial quanto ao dano folicular quantitativo, mas polariza-se quando os desfechos analisados migram de parâmetros laboratoriais intermediários para desfechos clínicos centrados no paciente. Séries clínicas clássicas associam a endometriose ovariana e a cirurgia prévia a quedas contundentes na taxa de gestação clínica quando comparadas ao fator tubário puro [21,26,29,30]. Em contrapartida, coortes contemporâneas não identificaram decréscimos significativos nas taxas de fertilização, qualidade morfológica embrionária ou nascidos vivos, especialmente em quadros peritoneais incipientes [2,25]. A raiz dessa disparidade repousa na heterogeneidade clínica e metodológica das amostras. Coortes com prognósticos desfavoráveis agregam endometriomas bilaterais volumosos, estágios cirúrgicos IV e histórico de múltiplas intervenções ovarianas [21,23,26]. Já as casuísticas que relatam taxas gestacionais sobreponíveis concentram endometriose mínima a leve ou populações jovens, nas quais a reserva biológica remanescente compensa perdas pontuais [2,25].</w:t>
      </w:r>
    </w:p>
    <w:p>
      <w:pPr>
        <w:pStyle w:val="Normal"/>
      </w:pPr>
      <w:r>
        <w:t xml:space="preserve">Essa diferença fenotípica não torna a doença peritoneal biologicamente inócua. Em mulheres com implantes peritoneais superficiais isolados, as concentrações séricas de HAM apresentaram-se inferiores às de controles saudáveis (p = 0,009), acompanhadas por elevação marcante de interleucina 17 (IL-17), interleucina 23 (IL-23) e TNF-α no fluido peritoneal [20]. O achado descontrói o pressuposto de que a depleção folicular decorre exclusivamente do efeito de massa mecânica exercido pelo endometrioma: a difusão transmural de mediadores imunes inflamatórios agride o córtex ovariano por sinalização parácrina e sistêmica contínua [20]. Todavia, comparar a resposta imune entre coortes distintas esbarra em distorções laboratoriais acentuadas, perceptíveis no reporte da proteína C-reativa (PCR). A literatura opera tanto com ensaios ultrassensíveis que definem limiares patológicos a partir de 8,2 mg/L quanto com coortes que adotam pontos de corte convencionais fixados em 100 mg/L (frequentemente relatados como 10 mg/dL, observando-se a relação analítica de conversão em que 1 mg/dL = 10 mg/L). Essa variação superior a doze vezes decorre do uso intercambiável de unidades e plataformas diagnósticas com sensibilidades analíticas díspares, impedindo a confrontação direta da magnitude do estresse inflamatório entre populações cirúrgicas e ambulatoriais.</w:t>
      </w:r>
    </w:p>
    <w:p>
      <w:pPr>
        <w:pStyle w:val="Normal"/>
      </w:pPr>
      <w:r>
        <w:t xml:space="preserve">Vieses de seleção e disparidades sociodemográficas regionais aprofundam a heterogeneidade dos desfechos duros. Em centros de referência da América Latina, onde o atraso diagnóstico protela o manejo por quase uma década, as pacientes ingressam no sistema em estágios avançados de destruição anatômica. Em coorte venezuelana, 97,83% das mulheres diagnosticadas apresentavam infertilidade, perfazendo uma razão de risco de 6,65 para o agravo [4]. Similarmente, casuística brasileira com 227 pacientes identificou infertilidade em 43,8% dos casos, associada a taxas alarmantes de dismenorreia grave (84,7%) e dor pélvica crônica incapacitante [11]. Essa severidade basal contrasta com séries do norte europeu, nas quais diagnósticos precoces atenuam o dano inflamatório crônico sobre os anexos uterinos.</w:t>
      </w:r>
    </w:p>
    <w:p>
      <w:pPr>
        <w:pStyle w:val="Normal"/>
      </w:pPr>
      <w:r>
        <w:t xml:space="preserve">No campo intervencional, o dilema entre cirurgia excisional e encaminhamento imediato para fertilização assistida define trajetórias reprodutivas divergentes. Em portadoras de endometriose com reserva diminuída, a condução da estimulação ovariana sob protocolo ultralongo com agonista de GnRH rendeu uma taxa cumulativa de nascidos vivos de 48,5%, suplantando o protocolo longo tradicional (OR: 0,577; p = 0,042), o protocolo curto (OR: 0,608; p = 0,028) e os esquemas flexíveis com antagonista de GnRH (OR: 0,486; p = 0,004) [17]. A supressão profunda prévia arrefece a tempestade inflamatória pélvica e melhora a sincronia folicular [17]. Frente a endometriomas ≥4 cm, a escleroterapia ecoguiada com etanol alcançou taxa cumulativa de nascidos vivos de 65%, superando tanto a cistectomia laparoscópica (29%) quanto o manejo puramente expectante (30,8%) [24]. Esse contraste consolida o princípio de que a cistectomia mecânica indiscriminada retira estroma cortical sadio junto à cápsula do cisto e impõe dano térmico vascular irreparável, sacrificando o patrimônio folicular em troca de um desfecho estritamente anatômico [19,23,24].</w:t>
      </w:r>
    </w:p>
    <w:p>
      <w:pPr>
        <w:pStyle w:val="Titulo2"/>
      </w:pPr>
      <w:r>
        <w:rPr>
          <w:b/>
        </w:rPr>
        <w:t xml:space="preserve">4.3 Limitações</w:t>
      </w:r>
    </w:p>
    <w:p>
      <w:pPr>
        <w:pStyle w:val="Normal"/>
      </w:pPr>
      <w:r>
        <w:t xml:space="preserve">Esta revisão integrativa herda as limitações metodológicas intrínsecas aos estudos primários analisados. Prevalecem coortes retrospectivas e transversais unicêntricas, sujeitas a viés de seleção e de atrito amostral, nas quais mulheres com dor refratária e infertilidade prolongada são sobrerrepresentadas em relação à população comunitária assintomática. A inconsistência na mensuração de desfechos operatórios também restringe conclusões robustas: investigações primárias aglutinam eventos extremos de conversão para laparotomia a parâmetros técnicos moderados, como a ressecção subtotal da cápsula e o prolongamento do tempo cirúrgico, impedindo a quantificação unívoca do trauma cirúrgico sobre o parênquima ovariano. Outro fator restritivo reside na padronização analítica de biomarcadores laboratoriais, com desvios metodológicos que abrangem desde cortes discrepantes de PCR até a ausência de calibração cruzada em ensaios de HAM. Por fim, a impossibilidade de executar metanálise quantitativa decorre da variabilidade fenotípica das coortes, as quais mesclam desde implantes peritoneais mínimos até obliterações completas do fundo de saco, enfraquecendo a comparabilidade estatística direta.</w:t>
      </w:r>
    </w:p>
    <w:p>
      <w:pPr>
        <w:pStyle w:val="Titulo2"/>
      </w:pPr>
      <w:r>
        <w:rPr>
          <w:b/>
        </w:rPr>
        <w:t xml:space="preserve">4.4 Implicações clínicas e repercussões contextuais de longo prazo</w:t>
      </w:r>
    </w:p>
    <w:p>
      <w:pPr>
        <w:pStyle w:val="Normal"/>
      </w:pPr>
      <w:r>
        <w:t xml:space="preserve">O impacto da endometriose sobre o eixo reprodutivo transcende o período fértil imediato, projetando desfechos contextuais de longo prazo que devem ser integrados à prática médica como eventos secundários. O consumo acelerado do pool folicular primordial e a injúria cortical recorrente antecipam a transição menopáusica, encurtando a janela reprodutiva útil dessas mulheres. Essa menopausa precoce ou antecipada acarreta hipoestrogenismo prematuro, o qual potencializa o risco cardiovascular ao longo da vida e compromete a densidade mineral óssea. Concomitantemente, a inflamação peritoneal crônica não resolvida perpetua disfunção endotelial sistêmica e estresse oxidativo vascular de baixa intensidade, fatores que reforçam a sobrecarga cardiometabólica tardia. Todavia, esses desfechos de longo prazo operam como marcadores contextuais e prognósticos secundários; o desfecho primário e duro no manejo da infertilidade permanece centrado na taxa cumulativa de nascidos vivos. A distinção analítica entre desfechos laboratoriais substitutos (como variações no HAM ou oscilações de citocinas) e desfechos clínicos duros evita condutas intervencionistas precipitadas, direcionando a tomada de decisão para a preservação precoce da fertilidade, o uso criterioso de tecnologias de reprodução assistida e a mitigação coordenada dos riscos sistêmicos futuros.</w:t>
      </w:r>
    </w:p>
    <w:p>
      <w:pPr>
        <w:pStyle w:val="Titulo1"/>
      </w:pPr>
      <w:r>
        <w:rPr>
          <w:b/>
        </w:rPr>
        <w:t xml:space="preserve">5 Conclusão</w:t>
      </w:r>
    </w:p>
    <w:p>
      <w:pPr>
        <w:pStyle w:val="Normal"/>
      </w:pPr>
      <w:r>
        <w:t xml:space="preserve">A endometriose afeta a integridade do eixo reprodutivo feminino por um tripé fisiopatológico: toxicidade do microambiente folicular induzida por estresse oxidativo, inflamação peritoneal crônica e distorção anatômica tubo-ovariana. Essa cascata compromete biomarcadores substitutos — acarretando declínio antecipado do hormônio antimülleriano e da contagem de folículos antrais — e induz instabilidade bioenergética e transcriptômica nos oócitos. Em termos de desfechos centrados na paciente, essas disfunções traduzem-se em menor taxa de recuperação de oócitos maduros em metáfase II, pior desenvolvimento embrionário e redução consistente das taxas de concepção espontânea e de nascidos vivos cumulativos em reprodução assistida.</w:t>
      </w:r>
    </w:p>
    <w:p>
      <w:pPr>
        <w:pStyle w:val="Normal"/>
      </w:pPr>
      <w:r>
        <w:t xml:space="preserve">No campo da prática clínica, esses achados contraindicam abordagens cirúrgicas excisionais ovarianas intempestivas, as quais aceleram a perda de parênquima funcionante, e reiteram o valor do aconselhamento reprodutivo precoce com eventual criopreservação de oócitos. As conclusões delineadas devem ser ponderadas diante do predomínio de estudos observacionais com heterogeneidade nos protocolos de estimulação e nos estadiamentos da moléstia. Pesquisas prospectivas longitudinais com estratificação fenotípica rigorosa são necessárias para determinar biomarcadores preditivos de perda folicular e aperfeiçoar o tempo de intervenção terapêutica.</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2026-10-13T20:19:59Z</dcterms:created>
  <dcterms:modified xsi:type="dcterms:W3CDTF">2026-10-13T20:19:59Z</dcterms:modified>
</cp:coreProperties>
</file>