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ulo"/>
      </w:pPr>
      <w:r>
        <w:rPr>
          <w:b/>
        </w:rPr>
        <w:t xml:space="preserve">Repercussões da endometriose na integridade do eixo reprodutivo e nos desfechos de fertilidade: revisão integrativa da literatura</w:t>
      </w:r>
    </w:p>
    <w:p>
      <w:pPr>
        <w:pStyle w:val="Subtitulo"/>
      </w:pPr>
      <w:r>
        <w:rPr>
          <w:i/>
        </w:rPr>
        <w:t xml:space="preserve">Impacts of endometriosis on reproductive axis integrity and fertility outcomes: an integrative literature review</w:t>
      </w:r>
    </w:p>
    <w:p>
      <w:pPr>
        <w:pStyle w:val="Subtitulo"/>
      </w:pPr>
      <w:r>
        <w:rPr>
          <w:i/>
        </w:rPr>
        <w:t xml:space="preserve">Repercusiones de la endometriosis en la integridad del eje reproductivo y los resultados de fertilidad: revisión integrativa de la literatura</w:t>
      </w:r>
    </w:p>
    <w:p>
      <w:pPr>
        <w:pStyle w:val="Resumo"/>
      </w:pPr>
      <w:r>
        <w:rPr>
          <w:b/>
        </w:rPr>
        <w:t xml:space="preserve">RESUMO:</w:t>
      </w:r>
      <w:r>
        <w:t xml:space="preserve"> </w:t>
      </w:r>
      <w:r>
        <w:rPr>
          <w:b/>
        </w:rPr>
        <w:t xml:space="preserve">Objetivo:</w:t>
      </w:r>
      <w:r>
        <w:t xml:space="preserve"> Sintetizar as evidências científicas sobre as repercussões da endometriose na integridade do eixo reprodutivo feminino e nos parâmetros de fertilidade. </w:t>
      </w:r>
      <w:r>
        <w:rPr>
          <w:b/>
        </w:rPr>
        <w:t xml:space="preserve">Métodos:</w:t>
      </w:r>
      <w:r>
        <w:t xml:space="preserve"> Revisão integrativa da literatura com buscas realizadas em 28 de setembro de 2026 nas bases PubMed/MEDLINE, SciELO e LILACS, abrangendo o período de 2021 a 2026 nos idiomas português, inglês e espanhol. Identificaram-se 153 registros, triaram-se 123 e incluíram-se 30 estudos procedentes de 13 países, compreendendo coortes, estudos transversais, caso-controle e outros delineamentos observacionais e experimentais. </w:t>
      </w:r>
      <w:r>
        <w:rPr>
          <w:b/>
        </w:rPr>
        <w:t xml:space="preserve">Resultados:</w:t>
      </w:r>
      <w:r>
        <w:t xml:space="preserve"> Os achados apontam redução expressiva dos níveis de hormônio antimülleriano e da contagem de folículos antrais, sobretudo nos estágios III e IV e após intervenções cirúrgicas ovarianas excisionais. Nos ciclos de reprodução assistida, observou-se menor recrutamento folicular e declínio no resgate de oócitos maduros em metáfase II. Fatores como estresse oxidativo e alterações transcriptômicas correlacionam-se ao prejuízo na qualidade oocitária e a taxas aumentadas de aneuploidias embrionárias, enquanto as taxas de fertilização e os nascidos vivos cumulativos oscilam conforme os protocolos de estimulação e a gravidade anatômica da afecção. </w:t>
      </w:r>
      <w:r>
        <w:rPr>
          <w:b/>
        </w:rPr>
        <w:t xml:space="preserve">Conclusão:</w:t>
      </w:r>
      <w:r>
        <w:t xml:space="preserve"> A endometriose compromete a integridade reprodutiva mediante a depleção da reserva ovariana, o prejuízo da foliculogênese e o declínio da competência gamética, sendo os desfechos modulados pelo estadiamento da enfermidade e pelas abordagens terapêuticas adotadas.</w:t>
      </w:r>
    </w:p>
    <w:p>
      <w:pPr>
        <w:pStyle w:val="PalavrasChave"/>
      </w:pPr>
      <w:r>
        <w:rPr>
          <w:b/>
        </w:rPr>
        <w:t xml:space="preserve">Palavras-chave:</w:t>
      </w:r>
      <w:r>
        <w:t xml:space="preserve"> Endometriose; Infertilidade Feminina; Reserva Ovariana; Qualidade do Oócito; Receptividade Endometrial.</w:t>
      </w:r>
    </w:p>
    <w:p>
      <w:pPr>
        <w:pStyle w:val="Resumo"/>
      </w:pPr>
      <w:r>
        <w:rPr>
          <w:b/>
        </w:rPr>
        <w:t xml:space="preserve">ABSTRACT:</w:t>
      </w:r>
      <w:r>
        <w:t xml:space="preserve"> </w:t>
      </w:r>
      <w:r>
        <w:rPr>
          <w:b/>
        </w:rPr>
        <w:t xml:space="preserve">Objective:</w:t>
      </w:r>
      <w:r>
        <w:t xml:space="preserve"> To synthesize scientific evidence regarding the impacts of endometriosis on the integrity of the female reproductive axis and fertility parameters. </w:t>
      </w:r>
      <w:r>
        <w:rPr>
          <w:b/>
        </w:rPr>
        <w:t xml:space="preserve">Methods:</w:t>
      </w:r>
      <w:r>
        <w:t xml:space="preserve"> Integrative literature review based on searches performed on September 28, 2026, in PubMed/MEDLINE, SciELO, and LILACS databases, covering 2021 to 2026 in Portuguese, English, and Spanish. A total of 153 records were identified, 123 were screened, and 30 studies from 13 countries were included, comprising cohort, cross-sectional, case-control, and other observational and experimental designs. </w:t>
      </w:r>
      <w:r>
        <w:rPr>
          <w:b/>
        </w:rPr>
        <w:t xml:space="preserve">Results:</w:t>
      </w:r>
      <w:r>
        <w:t xml:space="preserve"> Findings indicate a significant reduction in anti-Müllerian hormone levels and antral follicle count, predominantly in stages III and IV and following excisional ovarian surgery. Controlled assisted reproduction cycles showed decreased follicular recruitment and fewer retrieved metaphase II oocytes. Factors such as oxidative stress and transcriptomic dysregulations correlate with impaired oocyte quality and higher embryonic aneuploidy rates, while fertilization and cumulative live birth rates vary according to stimulation regimens and anatomical severity. </w:t>
      </w:r>
      <w:r>
        <w:rPr>
          <w:b/>
        </w:rPr>
        <w:t xml:space="preserve">Conclusion:</w:t>
      </w:r>
      <w:r>
        <w:t xml:space="preserve"> Endometriosis compromises reproductive integrity through ovarian reserve depletion, foliculogenesis dysfunction, and impaired gametic competence, with outcomes modulated by disease staging and adopted therapeutic strategies.</w:t>
      </w:r>
    </w:p>
    <w:p>
      <w:pPr>
        <w:pStyle w:val="PalavrasChave"/>
      </w:pPr>
      <w:r>
        <w:rPr>
          <w:b/>
        </w:rPr>
        <w:t xml:space="preserve">Keywords:</w:t>
      </w:r>
      <w:r>
        <w:t xml:space="preserve"> Endometriosis; Female Infertility; Ovarian Reserve; Oocyte Quality; Endometrial Receptivity.</w:t>
      </w:r>
    </w:p>
    <w:p>
      <w:pPr>
        <w:pStyle w:val="Resumo"/>
      </w:pPr>
      <w:r>
        <w:rPr>
          <w:b/>
        </w:rPr>
        <w:t xml:space="preserve">RESUMEN:</w:t>
      </w:r>
      <w:r>
        <w:t xml:space="preserve"> </w:t>
      </w:r>
      <w:r>
        <w:rPr>
          <w:b/>
        </w:rPr>
        <w:t xml:space="preserve">Objetivo:</w:t>
      </w:r>
      <w:r>
        <w:t xml:space="preserve"> Sintetizar la evidencia científica sobre las repercusiones de la endometriosis en la integridad del eje reproductivo femenino y los parámetros de fertilidad. </w:t>
      </w:r>
      <w:r>
        <w:rPr>
          <w:b/>
        </w:rPr>
        <w:t xml:space="preserve">Métodos:</w:t>
      </w:r>
      <w:r>
        <w:t xml:space="preserve"> Revisión integrativa de la literatura realizada el 28 de septiembre de 2026 en las bases de datos PubMed/MEDLINE, SciELO y LILACS, que abarcó de 2021 a 2026 en portugués, inglés y español. Se identificaron 153 registros, se tamizaron 123 y se incluyeron 30 estudios de 13 países, incluidos diseños de cohortes, transversales, casos y controles y otros modelos metodológicos. </w:t>
      </w:r>
      <w:r>
        <w:rPr>
          <w:b/>
        </w:rPr>
        <w:t xml:space="preserve">Resultados:</w:t>
      </w:r>
      <w:r>
        <w:t xml:space="preserve"> Los hallazgos indican una reducción sustancial de la hormona antimülleriana y del recuento de folículos antrales, principalmente en estadios III y IV y tras cistectomías ováricas laparoscópicas. En reproducción asistida, se evidenció un menor reclutamiento folicular y una recolección reducida de ovocitos en metafase II. El estrés oxidativo y las alteraciones transcriptómicas se asocian con una menor calidad ovocitaria y mayor aneuploidía embrionaria, mientras que las tasas de fertilización y recién nacidos vivos varían según los protocolos de estimulación y la extensión lesional. </w:t>
      </w:r>
      <w:r>
        <w:rPr>
          <w:b/>
        </w:rPr>
        <w:t xml:space="preserve">Conclusión:</w:t>
      </w:r>
      <w:r>
        <w:t xml:space="preserve"> La endometriosis afecta la fertilidad femenina mediante la depleción de la reserva ovárica, alteraciones en la foliculogénesis y deterioro de la competencia ovocitaria, con repercusiones moduladas por el estadio patológico y los antecedentes terapéuticos quirúrgicos.</w:t>
      </w:r>
    </w:p>
    <w:p>
      <w:pPr>
        <w:pStyle w:val="PalavrasChave"/>
      </w:pPr>
      <w:r>
        <w:rPr>
          <w:b/>
        </w:rPr>
        <w:t xml:space="preserve">Palabras clave:</w:t>
      </w:r>
      <w:r>
        <w:t xml:space="preserve"> Endometriosis; Reserva ovárica; Infertilidad femenina; Técnicas de reproducción asistida; Hormona antimülleriana.</w:t>
      </w:r>
    </w:p>
    <w:p>
      <w:pPr>
        <w:pStyle w:val="Titulo1"/>
      </w:pPr>
      <w:r>
        <w:rPr>
          <w:b/>
        </w:rPr>
        <w:t xml:space="preserve">1 Introdução</w:t>
      </w:r>
    </w:p>
    <w:p>
      <w:pPr>
        <w:pStyle w:val="Normal"/>
      </w:pPr>
      <w:r>
        <w:t xml:space="preserve">Caracterizada pela presença e proliferação ectópica de tecido endometrial fora da cavidade uterina, a endometriose cursa com processos fibróticos e inflamatórios que acometem predominantemente mulheres em idade reprodutiva [1,2]. Estimativas epidemiológicas indicam que a condição atinge de 6 a 10% da população feminina geral e ultrapassa 50% das pacientes inférteis, constituindo etiologia expressiva de dor pélvica crônica, dismenorreia, disúria menstrual e dispareunia [1-3]. O envolvimento anexial manifesta-se com frequência na forma de endometriomas ovarianos, presentes na maioria das pacientes em casuísticas clínicas [1,4]. Paralelamente ao impacto sintomático, constatam-se elevadas taxas de infertilidade: o distúrbio foi documentado em 43,8% das mulheres com endometriose profunda [2] e atingiu 97,83% em coortes especializadas, nas quais se associou a um risco 6,65 vezes maior de infertilidade [4]. Esse cenário compromete a qualidade de vida, o equilíbrio psicológico e a concretização do planejamento familiar [2,5-7].</w:t>
      </w:r>
    </w:p>
    <w:p>
      <w:pPr>
        <w:pStyle w:val="Normal"/>
      </w:pPr>
      <w:r>
        <w:t xml:space="preserve">As vias pelas quais a enfermidade interfere no eixo reprodutivo envolvem um complexo microambiente inflamatório pélvico e repercussões moleculares deletérias [8-10]. Níveis séricos elevados de marcadores de inflamação sistêmica, incluindo a amplitude de distribuição dos eritrócitos (RDW), a razão neutrófilo-linfócito e a razão plaqueta-linfócito, correlacionam-se com a presença de endometriomas [9]. De forma complementar, constatam-se elevações sistêmicas e locais de interleucinas inflamatórias, como interleucina 17 (IL-17) e fator de necrose tumoral alfa (TNF-α) no soro, além de interleucina 23 (IL-23) no fluido peritoneal de portadoras de lesões peritoneais superficiais [10]. Esse ambiente nocivo parece reverberar no folículo ovariano, visto que ensaios experimentais com fluido folicular de pacientes com doença leve demonstraram prejuízos diretos na eclosão embrionária atribuídos ao estresse oxidativo [8], enquanto análises genômicas e de translatoma identificaram perturbações em vias oocitárias essenciais de meiose e apoptose [11]. Fatores genéticos e imunológicos, como a presença do alelo T no polimorfismo do gene </w:t>
      </w:r>
      <w:r>
        <w:rPr>
          <w:i/>
        </w:rPr>
        <w:t xml:space="preserve">FSHB</w:t>
      </w:r>
      <w:r>
        <w:t xml:space="preserve"> rs10835638 [12] e a coexistência de autoanticorpos antitireoidianos [13], também sugerem participar desse espectro fisiopatológico. Consequentemente, infere-se que tais processos culminem no esgotamento prematuro do estoque folicular, refletido pela redução pronunciada dos níveis de hormônio antimülleriano (AMH) e da contagem de folículos antrais (CFA), sobretudo nos estádios III e IV e nos casos de acometimento ovariano [14-17].</w:t>
      </w:r>
    </w:p>
    <w:p>
      <w:pPr>
        <w:pStyle w:val="Normal"/>
      </w:pPr>
      <w:r>
        <w:t xml:space="preserve">Nos ciclos de reprodução assistida, tais disfunções biológicas impõem barreiras à estimulação ovariana e à captação gamética [14,18-20]. Evidências indicam que pacientes com endometriose moderada a grave ou cistos ovarianos apresentam menor recrutamento de folículos totais, redução no número de oócitos coletados e declínio de gametas maduros em metáfase II [14,19]. Observa-se que alterações na qualidade oocitária se correlacionam inversamente às concentrações séricas basais de AMH [21] e que a frequência de aneuploidias em blastocistos de pacientes com a doença mostra-se superior à de controles inférteis [20]. Em contrapartida, avaliações morfológicas demonstraram que o escore embrionário graduado [22], assim como as taxas de fertilização, clivagem e formação de blastocistos, podem não divergir significativamente em protocolos laboratoriais convencionais [19,22]. As taxas de gravidez clínica e os nascimentos vivos mantêm paridade em determinados subgrupos de fertilização in vitro (FIV) [14,19,20,22,23], embora reduções cumulativas expressivas ocorram em mulheres com doença em estádio avançado [23] ou jovens com envolvimento ovariano [17]. Quanto à condução clínica, a seleção do regime de estimulação ovariana controlada exerce influência prognóstica, apontando-se vantagens para o protocolo ultralongo em pacientes com baixa reserva ovariana decorrente da afecção [18].</w:t>
      </w:r>
    </w:p>
    <w:p>
      <w:pPr>
        <w:pStyle w:val="Normal"/>
      </w:pPr>
      <w:r>
        <w:t xml:space="preserve">O manejo do endometrioma ovariano suscita dilemas entre conduta expectante, farmacoterapia e abordagem cirúrgica prévia às técnicas de fertilização [24-29]. Se por um lado a intervenção cirúrgica alivia as queixas álgicas, a cistectomia laparoscópica prévia acarreta riscos adicionais de lesão iatrogênica ao parênquima ovariano são [25,26,28,29]. Investigações observacionais demonstraram que a cistectomia resulta em quedas acentuadas das concentrações de AMH e na contagem de folículos antrais, elevando a taxa de baixa reserva ovariana (AMH inferior a 1,1 ng/mL) para 26,23% no grupo cirúrgico, contra 12,90% naquelas com endometriomas sem intervenção cirúrgica prévia [26]. Essa perda folicular reflete-se em menor colheita de oócitos e maior cancelamento de ciclos [25-27], sem promover ganho nas taxas cumulativas de nascidos vivos após a FIV em relação ao manejo conservador [25]. Como alternativa menos invasiva, a escleroterapia com etanol em lesões maiores que quatro centímetros preservou a reserva ovariana e conferiu melhores desfechos cumulativos de nascidos vivos quando comparada à abordagem cirúrgica excisional direta [27].</w:t>
      </w:r>
    </w:p>
    <w:p>
      <w:pPr>
        <w:pStyle w:val="Normal"/>
      </w:pPr>
      <w:r>
        <w:t xml:space="preserve">O corpo de evidências científicas, contudo, permanece heterogêneo quanto aos desfechos reprodutivos finais e aos preditores clínicos de sucesso gestacional em mulheres com a afecção [14,17,19,22,23,29]. Persistem contradições substanciais quanto à extensão do impacto negativo da endometriose nos índices de implantação embrionária comparados ao de outras causas de infertilidade [14,22,23,30], além de divergências metodológicas sobre a necessidade de intervenções conservadoras antes da estimulação ovariana [25,27,28]. Na América Latina, a literatura especializada documenta fragilidades no acesso ao diagnóstico oportuno, desconhecimento populacional sobre o planejamento familiar e elevada morbidade álgica associada ao impacto reprodutivo [1,2,4-7,24]. Essa dispersão conceitual exige uma síntese crítica capaz de ordenar os mecanismos biológicos e as decisões assistenciais em torno da fertilidade dessas pacientes.</w:t>
      </w:r>
    </w:p>
    <w:p>
      <w:pPr>
        <w:pStyle w:val="Normal"/>
      </w:pPr>
      <w:r>
        <w:t xml:space="preserve">Diante do exposto, o objetivo deste estudo foi analisar as evidências disponíveis na literatura científica acerca do impacto da endometriose na integridade do eixo reprodutivo feminino e nos desfechos de fertilidade em mulheres em idade fértil, sintetizando os parâmetros de reserva ovariana, competência embrionária e resultados reprodutivos clínicos.</w:t>
      </w:r>
    </w:p>
    <w:p>
      <w:pPr>
        <w:pStyle w:val="Titulo1"/>
      </w:pPr>
      <w:r>
        <w:rPr>
          <w:b/>
        </w:rPr>
        <w:t xml:space="preserve">2 Métodos</w:t>
      </w:r>
    </w:p>
    <w:p>
      <w:pPr>
        <w:pStyle w:val="Titulo2"/>
      </w:pPr>
      <w:r>
        <w:rPr>
          <w:b/>
        </w:rPr>
        <w:t xml:space="preserve">2.1 Tipo de estudo e pergunta norteadora</w:t>
      </w:r>
    </w:p>
    <w:p>
      <w:pPr>
        <w:pStyle w:val="Normal"/>
      </w:pPr>
      <w:r>
        <w:t xml:space="preserve">Trata-se de uma revisão integrativa da literatura, conduzida conforme o referencial metodológico de Mendes, Silveira e Galvão e de Whittemore e Knafl, adotando-se complementarmente as recomendações aplicáveis da declaração PRISMA 2020 [31] para conferir transparência e reprodutibilidade ao fluxo de identificação, triagem e inclusão. A pergunta norteadora foi formulada com base no acrônimo PICoS, definindo-se: População (P) constituída por mulheres em idade reprodutiva; Fenômeno de interesse (I) correspondente ao diagnóstico de endometriose ou endometrioma ovariano; Contexto (Co) delimitado aos parâmetros funcionais do eixo reprodutivo (reserva ovariana, competência ovocitária e receptividade endometrial); e Tipos de estudo (S) restritos a investigações primárias observacionais ou intervencionais. A partir dessa estrutura, estabeleceu-se a questão condutora: de que maneira a endometriose afeta a integridade do eixo reprodutivo feminino e os parâmetros de fertilidade em mulheres em idade fértil?</w:t>
      </w:r>
    </w:p>
    <w:p>
      <w:pPr>
        <w:pStyle w:val="Titulo2"/>
      </w:pPr>
      <w:r>
        <w:rPr>
          <w:b/>
        </w:rPr>
        <w:t xml:space="preserve">2.2 Bases de dados e data da busca</w:t>
      </w:r>
    </w:p>
    <w:p>
      <w:pPr>
        <w:pStyle w:val="Normal"/>
      </w:pPr>
      <w:r>
        <w:t xml:space="preserve">A busca bibliográfica foi conduzida nas bases de dados PubMed/MEDLINE, SciELO e LILACS. O PubMed/MEDLINE foi consultado por meio da interface de programação oficial E-utilities do National Center for Biotechnology Information (NCBI); o SciELO, mediante o portal de busca integrado da rede (search.scielo.org); e o LILACS, via Portal Regional da Biblioteca Virtual em Saúde (pesquisa.bvsalud.org). A busca final foi executada em 28 de setembro de 2026. A indicação precisa da data justifica-se pelo dinamismo de indexação das bases, cujas atualizações contínuas podem alterar o quantitativo de registros recuperados sob estratégias idênticas.</w:t>
      </w:r>
    </w:p>
    <w:p>
      <w:pPr>
        <w:pStyle w:val="Titulo2"/>
      </w:pPr>
      <w:r>
        <w:rPr>
          <w:b/>
        </w:rPr>
        <w:t xml:space="preserve">2.3 Descritores e estratégias de busca</w:t>
      </w:r>
    </w:p>
    <w:p>
      <w:pPr>
        <w:pStyle w:val="Normal"/>
      </w:pPr>
      <w:r>
        <w:t xml:space="preserve">Empregaram-se descritores controlados do Medical Subject Headings (MeSH) — "Endometriosis", "Infertility, Female", "Ovarian Reserve" — e dos Descritores em Ciências da Saúde (DeCS) — "Endometriose", "Infertilidade Feminina", "Reserva Ovariana", "Endométrio" —, conjugados a termos livres e sinônimos por meio dos operadores booleanos AND e OR. As sintaxes aplicadas, os filtros específicos e o volume de achados por fonte encontram-se descritos no Quadro 1.</w:t>
      </w:r>
    </w:p>
    <w:p>
      <w:pPr>
        <w:pStyle w:val="Legenda"/>
      </w:pPr>
      <w:r>
        <w:rPr>
          <w:b/>
        </w:rPr>
        <w:t xml:space="preserve">Quadro 1 –</w:t>
      </w:r>
      <w:r>
        <w:t xml:space="preserve"> Estratégias de busca, filtros aplicados e registros identificados por base de dados</w:t>
      </w:r>
    </w:p>
    <w:tbl>
      <w:tblPr>
        <w:tblW w:w="9071" w:type="dxa"/>
        <w:jc w:val="center"/>
        <w:tblLayout w:type="fixed"/>
        <w:tblBorders>
          <w:top w:val="single" w:sz="6" w:space="0" w:color="4A5568"/>
          <w:left w:val="single" w:sz="6" w:space="0" w:color="4A5568"/>
          <w:bottom w:val="single" w:sz="6" w:space="0" w:color="4A5568"/>
          <w:right w:val="single" w:sz="6" w:space="0" w:color="4A5568"/>
          <w:insideH w:val="single" w:sz="4" w:space="0" w:color="CBD5E0"/>
          <w:insideV w:val="single" w:sz="4" w:space="0" w:color="CBD5E0"/>
        </w:tblBorders>
        <w:tblCellMar>
          <w:top w:w="120" w:type="dxa"/>
          <w:bottom w:w="120" w:type="dxa"/>
          <w:left w:w="150" w:type="dxa"/>
          <w:right w:w="150" w:type="dxa"/>
        </w:tblCellMar>
      </w:tblPr>
      <w:tblGrid>
        <w:gridCol w:w="1451"/>
        <w:gridCol w:w="4173"/>
        <w:gridCol w:w="2540"/>
        <w:gridCol w:w="907"/>
      </w:tblGrid>
      <w:tr>
        <w:trPr>
          <w:cantSplit/>
          <w:tblHeader/>
        </w:trPr>
        <w:tc>
          <w:tcPr>
            <w:tcW w:w="1451" w:type="dxa"/>
            <w:shd w:val="clear" w:color="auto" w:fill="EDF2F7"/>
            <w:vAlign w:val="center"/>
          </w:tcPr>
          <w:p>
            <w:pPr>
              <w:pStyle w:val="TabelaCabecalho"/>
              <w:jc w:val="left"/>
            </w:pPr>
            <w:r>
              <w:t xml:space="preserve">Base</w:t>
            </w:r>
          </w:p>
        </w:tc>
        <w:tc>
          <w:tcPr>
            <w:tcW w:w="4173" w:type="dxa"/>
            <w:shd w:val="clear" w:color="auto" w:fill="EDF2F7"/>
            <w:vAlign w:val="center"/>
          </w:tcPr>
          <w:p>
            <w:pPr>
              <w:pStyle w:val="TabelaCabecalho"/>
              <w:jc w:val="left"/>
            </w:pPr>
            <w:r>
              <w:t xml:space="preserve">Estratégia de busca</w:t>
            </w:r>
          </w:p>
        </w:tc>
        <w:tc>
          <w:tcPr>
            <w:tcW w:w="2540" w:type="dxa"/>
            <w:shd w:val="clear" w:color="auto" w:fill="EDF2F7"/>
            <w:vAlign w:val="center"/>
          </w:tcPr>
          <w:p>
            <w:pPr>
              <w:pStyle w:val="TabelaCabecalho"/>
              <w:jc w:val="left"/>
            </w:pPr>
            <w:r>
              <w:t xml:space="preserve">Filtros aplicados</w:t>
            </w:r>
          </w:p>
        </w:tc>
        <w:tc>
          <w:tcPr>
            <w:tcW w:w="907" w:type="dxa"/>
            <w:shd w:val="clear" w:color="auto" w:fill="EDF2F7"/>
            <w:vAlign w:val="center"/>
          </w:tcPr>
          <w:p>
            <w:pPr>
              <w:pStyle w:val="TabelaCabecalhoCentro"/>
              <w:jc w:val="center"/>
            </w:pPr>
            <w:r>
              <w:t xml:space="preserve">Registros (n)</w:t>
            </w:r>
          </w:p>
        </w:tc>
      </w:tr>
      <w:tr>
        <w:trPr>
          <w:cantSplit/>
        </w:trPr>
        <w:tc>
          <w:tcPr>
            <w:tcW w:w="1451" w:type="dxa"/>
            <w:vAlign w:val="top"/>
          </w:tcPr>
          <w:p>
            <w:pPr>
              <w:pStyle w:val="TabelaTexto"/>
              <w:jc w:val="left"/>
            </w:pPr>
            <w:r>
              <w:t xml:space="preserve">PubMed/MEDLINE</w:t>
            </w:r>
          </w:p>
        </w:tc>
        <w:tc>
          <w:tcPr>
            <w:tcW w:w="4173" w:type="dxa"/>
            <w:vAlign w:val="top"/>
          </w:tcPr>
          <w:p>
            <w:pPr>
              <w:pStyle w:val="TabelaTexto"/>
              <w:jc w:val="left"/>
            </w:pPr>
            <w:r>
              <w:t xml:space="preserve">(("Endometriosis"[MeSH Terms] OR "endometrioma"[tiab]) AND ("Ovarian Reserve"[MeSH Terms] OR "ovarian reserve"[tiab] OR "oocyte quality"[tiab] OR "endometrial receptivity"[tiab] OR "reproductive axis"[tiab]) AND ("Infertility, Female"[MeSH Terms] OR "infertility"[tiab] OR "fecundity"[tiab])) AND ("2021/01/01"[dp]: "3000"[dp]) AND (portuguese[la] OR english[la] OR spanish[la]) AND "free full text"[Filter] NOT (review[pt] OR "systematic review"[pt] OR "meta-analysis"[pt] OR editorial[pt] OR letter[pt] OR comment[pt] OR "practice guideline"[pt] OR "case reports"[pt])</w:t>
            </w:r>
          </w:p>
        </w:tc>
        <w:tc>
          <w:tcPr>
            <w:tcW w:w="2540" w:type="dxa"/>
            <w:vAlign w:val="top"/>
          </w:tcPr>
          <w:p>
            <w:pPr>
              <w:pStyle w:val="TabelaTexto"/>
              <w:jc w:val="left"/>
            </w:pPr>
            <w:r>
              <w:t xml:space="preserve">• Período: 2021 a 2026</w:t>
            </w:r>
            <w:r>
              <w:br/>
            </w:r>
            <w:r>
              <w:t xml:space="preserve">• Idiomas: pt, en, es</w:t>
            </w:r>
            <w:r>
              <w:br/>
            </w:r>
            <w:r>
              <w:t xml:space="preserve">• Texto: completo gratuito</w:t>
            </w:r>
            <w:r>
              <w:br/>
            </w:r>
            <w:r>
              <w:t xml:space="preserve">• Exclusão: revisões e relatos de caso (na sintaxe)</w:t>
            </w:r>
          </w:p>
        </w:tc>
        <w:tc>
          <w:tcPr>
            <w:tcW w:w="907" w:type="dxa"/>
            <w:vAlign w:val="top"/>
          </w:tcPr>
          <w:p>
            <w:pPr>
              <w:pStyle w:val="TabelaTextoCentro"/>
              <w:jc w:val="center"/>
            </w:pPr>
            <w:r>
              <w:t xml:space="preserve">96</w:t>
            </w:r>
          </w:p>
        </w:tc>
      </w:tr>
      <w:tr>
        <w:trPr>
          <w:cantSplit/>
        </w:trPr>
        <w:tc>
          <w:tcPr>
            <w:tcW w:w="1451" w:type="dxa"/>
            <w:vAlign w:val="top"/>
          </w:tcPr>
          <w:p>
            <w:pPr>
              <w:pStyle w:val="TabelaTexto"/>
              <w:jc w:val="left"/>
            </w:pPr>
            <w:r>
              <w:t xml:space="preserve">SciELO</w:t>
            </w:r>
          </w:p>
        </w:tc>
        <w:tc>
          <w:tcPr>
            <w:tcW w:w="4173" w:type="dxa"/>
            <w:vAlign w:val="top"/>
          </w:tcPr>
          <w:p>
            <w:pPr>
              <w:pStyle w:val="TabelaTexto"/>
              <w:jc w:val="left"/>
            </w:pPr>
            <w:r>
              <w:t xml:space="preserve">("endometriose" OR "endometriosis" OR "endometrioma") AND ("fertilidade" OR "infertilidade feminina" OR "reserva ovariana" OR "fertility" OR "female infertility" OR "ovarian reserve" OR "fertilidad" OR "infertilidad femenina" OR "reserva ovárica")</w:t>
            </w:r>
          </w:p>
        </w:tc>
        <w:tc>
          <w:tcPr>
            <w:tcW w:w="2540" w:type="dxa"/>
            <w:vAlign w:val="top"/>
          </w:tcPr>
          <w:p>
            <w:pPr>
              <w:pStyle w:val="TabelaTexto"/>
              <w:jc w:val="left"/>
            </w:pPr>
            <w:r>
              <w:t xml:space="preserve">• Período: 2021 a 2026</w:t>
            </w:r>
            <w:r>
              <w:br/>
            </w:r>
            <w:r>
              <w:t xml:space="preserve">• Idiomas: pt, en, es</w:t>
            </w:r>
            <w:r>
              <w:br/>
            </w:r>
            <w:r>
              <w:t xml:space="preserve">• Texto: acesso aberto</w:t>
            </w:r>
            <w:r>
              <w:br/>
            </w:r>
            <w:r>
              <w:t xml:space="preserve">• Exclusão: revisões e relatos de caso (na triagem)</w:t>
            </w:r>
          </w:p>
        </w:tc>
        <w:tc>
          <w:tcPr>
            <w:tcW w:w="907" w:type="dxa"/>
            <w:vAlign w:val="top"/>
          </w:tcPr>
          <w:p>
            <w:pPr>
              <w:pStyle w:val="TabelaTextoCentro"/>
              <w:jc w:val="center"/>
            </w:pPr>
            <w:r>
              <w:t xml:space="preserve">16</w:t>
            </w:r>
          </w:p>
        </w:tc>
      </w:tr>
      <w:tr>
        <w:trPr>
          <w:cantSplit/>
        </w:trPr>
        <w:tc>
          <w:tcPr>
            <w:tcW w:w="1451" w:type="dxa"/>
            <w:vAlign w:val="top"/>
          </w:tcPr>
          <w:p>
            <w:pPr>
              <w:pStyle w:val="TabelaTexto"/>
              <w:jc w:val="left"/>
            </w:pPr>
            <w:r>
              <w:t xml:space="preserve">LILACS</w:t>
            </w:r>
          </w:p>
        </w:tc>
        <w:tc>
          <w:tcPr>
            <w:tcW w:w="4173" w:type="dxa"/>
            <w:vAlign w:val="top"/>
          </w:tcPr>
          <w:p>
            <w:pPr>
              <w:pStyle w:val="TabelaTexto"/>
              <w:jc w:val="left"/>
            </w:pPr>
            <w:r>
              <w:t xml:space="preserve">("endometriose" OR "endometriosis" OR "endometrioma") AND ("fertilidade" OR "infertilidade feminina" OR "reserva ovariana" OR "fertility" OR "female infertility" OR "ovarian reserve" OR "fertilidad" OR "infertilidad femenina" OR "reserva ovárica")</w:t>
            </w:r>
          </w:p>
        </w:tc>
        <w:tc>
          <w:tcPr>
            <w:tcW w:w="2540" w:type="dxa"/>
            <w:vAlign w:val="top"/>
          </w:tcPr>
          <w:p>
            <w:pPr>
              <w:pStyle w:val="TabelaTexto"/>
              <w:jc w:val="left"/>
            </w:pPr>
            <w:r>
              <w:t xml:space="preserve">• Período: 2021 a 2026</w:t>
            </w:r>
            <w:r>
              <w:br/>
            </w:r>
            <w:r>
              <w:t xml:space="preserve">• Idiomas: pt, en, es</w:t>
            </w:r>
            <w:r>
              <w:br/>
            </w:r>
            <w:r>
              <w:t xml:space="preserve">• Texto: completo disponível</w:t>
            </w:r>
            <w:r>
              <w:br/>
            </w:r>
            <w:r>
              <w:t xml:space="preserve">• Exclusão: revisões e relatos de caso (na triagem)</w:t>
            </w:r>
          </w:p>
        </w:tc>
        <w:tc>
          <w:tcPr>
            <w:tcW w:w="907" w:type="dxa"/>
            <w:vAlign w:val="top"/>
          </w:tcPr>
          <w:p>
            <w:pPr>
              <w:pStyle w:val="TabelaTextoCentro"/>
              <w:jc w:val="center"/>
            </w:pPr>
            <w:r>
              <w:t xml:space="preserve">41</w:t>
            </w:r>
          </w:p>
        </w:tc>
      </w:tr>
    </w:tbl>
    <w:p>
      <w:pPr>
        <w:pStyle w:val="Fonte"/>
      </w:pPr>
      <w:r>
        <w:t xml:space="preserve">Fonte: Elaborado pelos autores (2026).</w:t>
      </w:r>
    </w:p>
    <w:p>
      <w:pPr>
        <w:pStyle w:val="Fonte"/>
        <w:spacing w:after="240"/>
      </w:pPr>
      <w:r>
        <w:t xml:space="preserve">Nota: busca executada em 28 de setembro de 2026. No PubMed/MEDLINE, os parâmetros de temporalidade, idioma, gratuidade do texto e tipologia documental foram incorporados diretamente na sintaxe algorítmica.</w:t>
      </w:r>
    </w:p>
    <w:p>
      <w:pPr>
        <w:pStyle w:val="Titulo2"/>
      </w:pPr>
      <w:r>
        <w:rPr>
          <w:b/>
        </w:rPr>
        <w:t xml:space="preserve">2.4 Critérios de elegibilidade</w:t>
      </w:r>
    </w:p>
    <w:p>
      <w:pPr>
        <w:pStyle w:val="Normal"/>
      </w:pPr>
      <w:r>
        <w:t xml:space="preserve">Definiram-se como critérios de inclusão: artigos primários com delineamento observacional analítico (coorte, caso-controle ou transversal) ou intervencional; publicação entre 2021 e 2026; idiomas português, inglês ou espanhol; texto integral acessível; e avaliação direta das repercussões da endometriose ou endometrioma ovariano sobre marcadores do eixo reprodutivo, reserva ovariana, competência ovocitária ou taxas de gravidez em mulheres em idade fértil. Excluíram-se revisões narrativas, integrativas ou sistemáticas, metanálises, editoriais, cartas, resumos de eventos, relatos de caso isolados, publicações retratadas, registros desprovidos de resumo analítico e manuscritos focados estritamente no manejo cirúrgico da dor pélvica crônica sem correlacionar tais intervenções aos desfechos reprodutivos ou à reserva ovariana.</w:t>
      </w:r>
    </w:p>
    <w:p>
      <w:pPr>
        <w:pStyle w:val="Titulo2"/>
      </w:pPr>
      <w:r>
        <w:rPr>
          <w:b/>
        </w:rPr>
        <w:t xml:space="preserve">2.5 Seleção dos estudos e extração dos dados</w:t>
      </w:r>
    </w:p>
    <w:p>
      <w:pPr>
        <w:pStyle w:val="Normal"/>
      </w:pPr>
      <w:r>
        <w:t xml:space="preserve">Os registros identificados foram importados para gerenciador bibliográfico para remoção de duplicatas mediante conferência algorítmica e manual de identificadores persistentes (DOI e PMID) e títulos. A triagem inicial de títulos e resumos foi executada de modo mascarado e independente, aplicando-se os critérios de elegibilidade e justificando-se cada descarte. Os registros divergentes ou com dados limítrofes, incluindo os artigos das bases regionais (SciELO e LILACS) submetidos a reavaliação de escopo, foram analisados por consenso. A etapa de afunilamento dos artigos elegíveis em texto completo dispensou qualquer critério subjetivo de prioridade temática, orientando-se estritamente por critérios objetivos e hierarquizados: exclusão decorrente de sobreposição de casuísticas em publicações derivadas do mesmo centro amostral; ausência de dados brutos ou medidas de dispersão indispensáveis à caracterização dos desfechos reprodutivos; e identificação de alto risco de viés metodológico na avaliação crítica estruturada. Os dados dos estudos elegíveis finais foram extraídos para matriz analítica padronizada, contemplando autoria, ano, país, desenho de estudo, características amostrais, intervenções ou exposições, variáveis reprodutivas mensuradas e desfechos primários, com dupla checagem dos parâmetros numéricos junto aos textos de origem.</w:t>
      </w:r>
    </w:p>
    <w:p>
      <w:pPr>
        <w:pStyle w:val="Titulo2"/>
      </w:pPr>
      <w:r>
        <w:rPr>
          <w:b/>
        </w:rPr>
        <w:t xml:space="preserve">2.6 Verificação da autenticidade das referências</w:t>
      </w:r>
    </w:p>
    <w:p>
      <w:pPr>
        <w:pStyle w:val="Normal"/>
      </w:pPr>
      <w:r>
        <w:t xml:space="preserve">Previamente à sintetização, cada manuscrito selecionado teve sua integridade documental e seus metadados validados nas plataformas originais. No PubMed/MEDLINE, confirmou-se a indexação ativa pelo PMID e a ausência de erratas impeditivas ou notas de retratação formal; no SciELO e no LILACS, os registros foram inspecionados nas páginas oficiais dos periódicos e via ArticleMeta. Para além disso, todos os identificadores DOI foram checados no banco de dados da Crossref, certificando a inexistência de retratações ou manifestações editoriais de preocupação.</w:t>
      </w:r>
    </w:p>
    <w:p>
      <w:pPr>
        <w:pStyle w:val="Titulo2"/>
      </w:pPr>
      <w:r>
        <w:rPr>
          <w:b/>
        </w:rPr>
        <w:t xml:space="preserve">2.7 Avaliação da qualidade metodológica</w:t>
      </w:r>
    </w:p>
    <w:p>
      <w:pPr>
        <w:pStyle w:val="Normal"/>
      </w:pPr>
      <w:r>
        <w:t xml:space="preserve">A qualidade metodológica e o risco de viés dos estudos incluídos foram avaliados por meio das ferramentas de avaliação crítica do Joanna Briggs Institute (JBI) específicas para cada desenho metodológico (estudos de coorte, caso-controle e transversais analíticos). Foram apreciados o rigor na seleção amostral, a validade e confiabilidade na mensuração da endometriose e dos parâmetros reprodutivos, a identificação e controle de vieses de confusão e a adequação do tratamento estatístico. O desempenho de cada estudo foi quantificado pelo escore proporcional JBI (percentual de critérios atendidos satisfatoriamente), categorizando o nível de rigor metodológico e sendo discriminado na Tabela 1, alocada na seção de resultados.</w:t>
      </w:r>
    </w:p>
    <w:p>
      <w:pPr>
        <w:pStyle w:val="Titulo2"/>
      </w:pPr>
      <w:r>
        <w:rPr>
          <w:b/>
        </w:rPr>
        <w:t xml:space="preserve">2.8 Síntese dos dados</w:t>
      </w:r>
    </w:p>
    <w:p>
      <w:pPr>
        <w:pStyle w:val="Normal"/>
      </w:pPr>
      <w:r>
        <w:t xml:space="preserve">Os dados foram consolidados mediante abordagem descritiva e categorização temática, em razão da heterogeneidade clínica e metodológica observada entre as casuísticas, a qual impossibilitou a realização de síntese quantitativa por metanálise. As evidências foram organizadas em quatro eixos analíticos principais: (1) Alterações na reserva ovariana e foliculogênese associadas à endometriose; (2) Impacto na qualidade ovocitária e embrionária; (3) Disfunções na receptividade endometrial e implantação; e (4) Mecanismos inflamatórios e endócrinos no eixo hipotálamo-hipófise-ovário. A distribuição detalhada dos estudos e suas respectivas contribuições em cada eixo encontram-se tabuladas na seção subsequente.</w:t>
      </w:r>
    </w:p>
    <w:p>
      <w:pPr>
        <w:pStyle w:val="Titulo1"/>
      </w:pPr>
      <w:r>
        <w:rPr>
          <w:b/>
        </w:rPr>
        <w:t xml:space="preserve">3 Resultados</w:t>
      </w:r>
    </w:p>
    <w:p>
      <w:pPr>
        <w:pStyle w:val="Titulo2"/>
      </w:pPr>
      <w:r>
        <w:rPr>
          <w:b/>
        </w:rPr>
        <w:t xml:space="preserve">3.1 Seleção dos estudos</w:t>
      </w:r>
    </w:p>
    <w:p>
      <w:pPr>
        <w:pStyle w:val="Normal"/>
      </w:pPr>
      <w:r>
        <w:t xml:space="preserve">A busca nas bases de dados resultou em 153 registros (PubMed/MEDLINE: 96; SciELO: 16; LILACS: 41). Desses, 1 registros de menor relevância, segundo a ordenação da própria base, não foram recuperados para triagem. Após a remoção de duplicados (19), sem resumo disponível (10) e não recuperados (limite da busca) (1), 123 registros foram triados por título e resumo, e 31 foram excluídos: estudo não primário (13), fora do tema (7), relato de caso (6) e sem dados de desfecho (5). Na segunda avaliação dos 9 registros regionais excluídos, 6 foram reincluídos. Dos 92 registros elegíveis, 62 de menor relevância para a pergunta não foram incluídos, por viabilidade de síntese. Os 30 registros restantes tiveram existência e metadados verificados na fonte original, sem exclusões nessa etapa. Ao final, 30 estudos foram incluídos nesta revisão (Figura 1).</w:t>
      </w:r>
    </w:p>
    <w:p>
      <w:pPr>
        <w:pStyle w:val="Legenda"/>
      </w:pPr>
      <w:r>
        <w:rPr>
          <w:b/>
        </w:rPr>
        <w:t xml:space="preserve">Figura 1 –</w:t>
      </w:r>
      <w:r>
        <w:t xml:space="preserve"> Fluxograma de identificação, triagem e inclusão dos estudos, segundo a declaração PRISMA 2020</w:t>
      </w:r>
    </w:p>
    <w:p>
      <w:pPr>
        <w:pStyle w:val="Figura"/>
      </w:pPr>
      <w:r>
        <w:drawing>
          <wp:inline distT="0" distB="0" distL="0" distR="0">
            <wp:extent cx="5760085" cy="5364443"/>
            <wp:docPr id="1" name="Figura 1"/>
            <a:graphic xmlns:a="http://schemas.openxmlformats.org/drawingml/2006/main">
              <a:graphicData uri="http://schemas.openxmlformats.org/drawingml/2006/picture">
                <pic:pic xmlns:pic="http://schemas.openxmlformats.org/drawingml/2006/picture">
                  <pic:nvPicPr>
                    <pic:cNvPr id="1" name="fluxograma-prisma.png"/>
                    <pic:cNvPicPr/>
                  </pic:nvPicPr>
                  <pic:blipFill>
                    <a:blip r:embed="rIdImg1"/>
                    <a:stretch>
                      <a:fillRect/>
                    </a:stretch>
                  </pic:blipFill>
                  <pic:spPr>
                    <a:xfrm>
                      <a:off x="0" y="0"/>
                      <a:ext cx="5760085" cy="5364443"/>
                    </a:xfrm>
                    <a:prstGeom prst="rect">
                      <a:avLst/>
                    </a:prstGeom>
                  </pic:spPr>
                </pic:pic>
              </a:graphicData>
            </a:graphic>
          </wp:inline>
        </w:drawing>
      </w:r>
    </w:p>
    <w:p>
      <w:pPr>
        <w:pStyle w:val="Fonte"/>
        <w:spacing w:after="240"/>
      </w:pPr>
      <w:r>
        <w:t xml:space="preserve">Fonte: Adaptado de Page et al. [31].</w:t>
      </w:r>
    </w:p>
    <w:p>
      <w:pPr>
        <w:pStyle w:val="Titulo2"/>
      </w:pPr>
      <w:r>
        <w:rPr>
          <w:b/>
        </w:rPr>
        <w:t xml:space="preserve">3.2 Caracterização dos estudos incluídos</w:t>
      </w:r>
    </w:p>
    <w:p>
      <w:pPr>
        <w:sectPr>
          <w:headerReference w:type="default" r:id="rIdCabecalho"/>
          <w:pgSz w:w="11906" w:h="16838"/>
          <w:pgMar w:top="1701" w:right="1134" w:bottom="1134" w:left="1701" w:header="709" w:footer="709" w:gutter="0"/>
          <w:titlePg/>
        </w:sectPr>
      </w:pPr>
    </w:p>
    <w:p>
      <w:pPr>
        <w:pStyle w:val="Legenda"/>
      </w:pPr>
      <w:r>
        <w:rPr>
          <w:b/>
        </w:rPr>
        <w:t xml:space="preserve">Tabela 1 –</w:t>
      </w:r>
      <w:r>
        <w:t xml:space="preserve"> Caracterização dos 30 estudos incluídos, segundo autoria, país, delineamento, variáveis e principais achados</w:t>
      </w:r>
    </w:p>
    <w:tbl>
      <w:tblPr>
        <w:tblW w:w="14003"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2100"/>
        <w:gridCol w:w="1260"/>
        <w:gridCol w:w="2801"/>
        <w:gridCol w:w="2521"/>
        <w:gridCol w:w="2100"/>
        <w:gridCol w:w="3221"/>
      </w:tblGrid>
      <w:tr>
        <w:trPr>
          <w:cantSplit/>
          <w:tblHeader/>
        </w:trPr>
        <w:tc>
          <w:tcPr>
            <w:tcW w:w="2100" w:type="dxa"/>
            <w:tcBorders>
              <w:bottom w:val="single" w:sz="8" w:space="0" w:color="000000"/>
            </w:tcBorders>
            <w:shd w:val="clear" w:color="auto" w:fill="F8F9FA"/>
            <w:vAlign w:val="center"/>
          </w:tcPr>
          <w:p>
            <w:pPr>
              <w:pStyle w:val="TabelaCabecalho"/>
              <w:jc w:val="left"/>
            </w:pPr>
            <w:r>
              <w:t xml:space="preserve">Autor/Ano</w:t>
            </w:r>
          </w:p>
        </w:tc>
        <w:tc>
          <w:tcPr>
            <w:tcW w:w="1260" w:type="dxa"/>
            <w:tcBorders>
              <w:bottom w:val="single" w:sz="8" w:space="0" w:color="000000"/>
            </w:tcBorders>
            <w:shd w:val="clear" w:color="auto" w:fill="F8F9FA"/>
            <w:vAlign w:val="center"/>
          </w:tcPr>
          <w:p>
            <w:pPr>
              <w:pStyle w:val="TabelaCabecalhoCentro"/>
              <w:jc w:val="center"/>
            </w:pPr>
            <w:r>
              <w:t xml:space="preserve">País</w:t>
            </w:r>
          </w:p>
        </w:tc>
        <w:tc>
          <w:tcPr>
            <w:tcW w:w="2801" w:type="dxa"/>
            <w:tcBorders>
              <w:bottom w:val="single" w:sz="8" w:space="0" w:color="000000"/>
            </w:tcBorders>
            <w:shd w:val="clear" w:color="auto" w:fill="F8F9FA"/>
            <w:vAlign w:val="center"/>
          </w:tcPr>
          <w:p>
            <w:pPr>
              <w:pStyle w:val="TabelaCabecalho"/>
              <w:jc w:val="left"/>
            </w:pPr>
            <w:r>
              <w:t xml:space="preserve">Delineamento/Amostra</w:t>
            </w:r>
          </w:p>
        </w:tc>
        <w:tc>
          <w:tcPr>
            <w:tcW w:w="2521" w:type="dxa"/>
            <w:tcBorders>
              <w:bottom w:val="single" w:sz="8" w:space="0" w:color="000000"/>
            </w:tcBorders>
            <w:shd w:val="clear" w:color="auto" w:fill="F8F9FA"/>
            <w:vAlign w:val="center"/>
          </w:tcPr>
          <w:p>
            <w:pPr>
              <w:pStyle w:val="TabelaCabecalho"/>
              <w:jc w:val="left"/>
            </w:pPr>
            <w:r>
              <w:t xml:space="preserve">Fatores avaliados</w:t>
            </w:r>
          </w:p>
        </w:tc>
        <w:tc>
          <w:tcPr>
            <w:tcW w:w="2100" w:type="dxa"/>
            <w:tcBorders>
              <w:bottom w:val="single" w:sz="8" w:space="0" w:color="000000"/>
            </w:tcBorders>
            <w:shd w:val="clear" w:color="auto" w:fill="F8F9FA"/>
            <w:vAlign w:val="center"/>
          </w:tcPr>
          <w:p>
            <w:pPr>
              <w:pStyle w:val="TabelaCabecalho"/>
              <w:jc w:val="left"/>
            </w:pPr>
            <w:r>
              <w:t xml:space="preserve">Desfecho(s) avaliado(s)</w:t>
            </w:r>
          </w:p>
        </w:tc>
        <w:tc>
          <w:tcPr>
            <w:tcW w:w="3221" w:type="dxa"/>
            <w:tcBorders>
              <w:bottom w:val="single" w:sz="8" w:space="0" w:color="000000"/>
            </w:tcBorders>
            <w:shd w:val="clear" w:color="auto" w:fill="F8F9FA"/>
            <w:vAlign w:val="center"/>
          </w:tcPr>
          <w:p>
            <w:pPr>
              <w:pStyle w:val="TabelaCabecalho"/>
              <w:jc w:val="left"/>
            </w:pPr>
            <w:r>
              <w:t xml:space="preserve">Principais achados</w:t>
            </w:r>
          </w:p>
        </w:tc>
      </w:tr>
      <w:tr>
        <w:trPr>
          <w:cantSplit/>
        </w:trPr>
        <w:tc>
          <w:tcPr>
            <w:tcW w:w="2100" w:type="dxa"/>
            <w:vAlign w:val="top"/>
          </w:tcPr>
          <w:p>
            <w:pPr>
              <w:pStyle w:val="TabelaTexto"/>
              <w:jc w:val="left"/>
            </w:pPr>
            <w:r>
              <w:t xml:space="preserve">Feng et al., 2026 [25]</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retrospectiva; 394 pacientes inférteis com endometrioma ovariano submetidas ao primeiro ciclo de IVF</w:t>
            </w:r>
          </w:p>
        </w:tc>
        <w:tc>
          <w:tcPr>
            <w:tcW w:w="2521" w:type="dxa"/>
            <w:vAlign w:val="top"/>
          </w:tcPr>
          <w:p>
            <w:pPr>
              <w:pStyle w:val="TabelaTexto"/>
              <w:jc w:val="left"/>
            </w:pPr>
            <w:r>
              <w:t xml:space="preserve">Endometrioma ovariano ≥4 cm manejado cirurgicamente (cistectomia laparoscópica) vs. não cirúrgico (OMA &lt;4 cm e ≥4 cm)</w:t>
            </w:r>
          </w:p>
        </w:tc>
        <w:tc>
          <w:tcPr>
            <w:tcW w:w="2100" w:type="dxa"/>
            <w:vAlign w:val="top"/>
          </w:tcPr>
          <w:p>
            <w:pPr>
              <w:pStyle w:val="TabelaTexto"/>
              <w:jc w:val="left"/>
            </w:pPr>
            <w:r>
              <w:t xml:space="preserve">Taxa cumulativa de nascidos vivos, níveis de AMH, número de oócitos recuperados e desfechos embriológicos</w:t>
            </w:r>
          </w:p>
        </w:tc>
        <w:tc>
          <w:tcPr>
            <w:tcW w:w="3221" w:type="dxa"/>
            <w:vAlign w:val="top"/>
          </w:tcPr>
          <w:p>
            <w:pPr>
              <w:pStyle w:val="TabelaTexto"/>
              <w:jc w:val="left"/>
            </w:pPr>
            <w:r>
              <w:t xml:space="preserve">Cistectomia prévia associou-se a menor AMH e menos oócitos recuperados, mas a taxa cumulativa de nascidos vivos não diferiu significativamente entre manejo cirúrgico e não cirúrgico.</w:t>
            </w:r>
          </w:p>
        </w:tc>
      </w:tr>
      <w:tr>
        <w:trPr>
          <w:cantSplit/>
        </w:trPr>
        <w:tc>
          <w:tcPr>
            <w:tcW w:w="2100" w:type="dxa"/>
            <w:vAlign w:val="top"/>
          </w:tcPr>
          <w:p>
            <w:pPr>
              <w:pStyle w:val="TabelaTexto"/>
              <w:jc w:val="left"/>
            </w:pPr>
            <w:r>
              <w:t xml:space="preserve">Griffiths et al., 2026 [10]</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transversal; 105 amostras de sangue venoso e 38 de fluido peritoneal de mulheres com suspeita de endometriose</w:t>
            </w:r>
          </w:p>
        </w:tc>
        <w:tc>
          <w:tcPr>
            <w:tcW w:w="2521" w:type="dxa"/>
            <w:vAlign w:val="top"/>
          </w:tcPr>
          <w:p>
            <w:pPr>
              <w:pStyle w:val="TabelaTexto"/>
              <w:jc w:val="left"/>
            </w:pPr>
            <w:r>
              <w:t xml:space="preserve">Endometriose peritoneal superficial isolada (SPE; n=43) ou com endometriose ovariana (SPE+OE; n=23), comparadas a controles sem endometriose (n=39)</w:t>
            </w:r>
          </w:p>
        </w:tc>
        <w:tc>
          <w:tcPr>
            <w:tcW w:w="2100" w:type="dxa"/>
            <w:vAlign w:val="top"/>
          </w:tcPr>
          <w:p>
            <w:pPr>
              <w:pStyle w:val="TabelaTexto"/>
              <w:jc w:val="left"/>
            </w:pPr>
            <w:r>
              <w:t xml:space="preserve">Níveis séricos de AMH e perfil inflamatório (IL-17, TNF-α, IL-23)</w:t>
            </w:r>
          </w:p>
        </w:tc>
        <w:tc>
          <w:tcPr>
            <w:tcW w:w="3221" w:type="dxa"/>
            <w:vAlign w:val="top"/>
          </w:tcPr>
          <w:p>
            <w:pPr>
              <w:pStyle w:val="TabelaTexto"/>
              <w:jc w:val="left"/>
            </w:pPr>
            <w:r>
              <w:t xml:space="preserve">Mulheres com SPE e SPE+OE apresentaram AMH sérico menor que controles; SPE associou-se a níveis elevados de IL-17, TNF-α e IL-23 peritoneal, sugerindo inflamação como mecanismo de redução da reserva ovariana.</w:t>
            </w:r>
          </w:p>
        </w:tc>
      </w:tr>
      <w:tr>
        <w:trPr>
          <w:cantSplit/>
        </w:trPr>
        <w:tc>
          <w:tcPr>
            <w:tcW w:w="2100" w:type="dxa"/>
            <w:vAlign w:val="top"/>
          </w:tcPr>
          <w:p>
            <w:pPr>
              <w:pStyle w:val="TabelaTexto"/>
              <w:jc w:val="left"/>
            </w:pPr>
            <w:r>
              <w:t xml:space="preserve">Park et al., 2026 [21]</w:t>
            </w:r>
          </w:p>
        </w:tc>
        <w:tc>
          <w:tcPr>
            <w:tcW w:w="1260" w:type="dxa"/>
            <w:vAlign w:val="top"/>
          </w:tcPr>
          <w:p>
            <w:pPr>
              <w:pStyle w:val="TabelaTextoCentro"/>
              <w:jc w:val="center"/>
            </w:pPr>
            <w:r>
              <w:t xml:space="preserve">Coreia do Sul</w:t>
            </w:r>
          </w:p>
        </w:tc>
        <w:tc>
          <w:tcPr>
            <w:tcW w:w="2801" w:type="dxa"/>
            <w:vAlign w:val="top"/>
          </w:tcPr>
          <w:p>
            <w:pPr>
              <w:pStyle w:val="TabelaTexto"/>
              <w:jc w:val="left"/>
            </w:pPr>
            <w:r>
              <w:t xml:space="preserve">coorte retrospectiva; 92 ciclos de ICSI com um a cinco oócitos metáfase II obtidos</w:t>
            </w:r>
          </w:p>
        </w:tc>
        <w:tc>
          <w:tcPr>
            <w:tcW w:w="2521" w:type="dxa"/>
            <w:vAlign w:val="top"/>
          </w:tcPr>
          <w:p>
            <w:pPr>
              <w:pStyle w:val="TabelaTexto"/>
              <w:jc w:val="left"/>
            </w:pPr>
            <w:r>
              <w:t xml:space="preserve">Endometrioma ovariano atual ou recorrente (34 ciclos), infertilidade inexplicada (26 ciclos) e reserva ovariana diminuída (32 ciclos)</w:t>
            </w:r>
          </w:p>
        </w:tc>
        <w:tc>
          <w:tcPr>
            <w:tcW w:w="2100" w:type="dxa"/>
            <w:vAlign w:val="top"/>
          </w:tcPr>
          <w:p>
            <w:pPr>
              <w:pStyle w:val="TabelaTexto"/>
              <w:jc w:val="left"/>
            </w:pPr>
            <w:r>
              <w:t xml:space="preserve">Índice médio de qualidade oocitária (AOQI) e correlação com níveis séricos de hormônio antimülleriano (AMH)</w:t>
            </w:r>
          </w:p>
        </w:tc>
        <w:tc>
          <w:tcPr>
            <w:tcW w:w="3221" w:type="dxa"/>
            <w:vAlign w:val="top"/>
          </w:tcPr>
          <w:p>
            <w:pPr>
              <w:pStyle w:val="TabelaTexto"/>
              <w:jc w:val="left"/>
            </w:pPr>
            <w:r>
              <w:t xml:space="preserve">O AOQI foi maior no grupo endometrioma (1,50) que no grupo infertilidade inexplicada (1,00), mas não diferiu do grupo DOR (1,42); AMH correlacionou-se inversamente com AOQI.</w:t>
            </w:r>
          </w:p>
        </w:tc>
      </w:tr>
      <w:tr>
        <w:trPr>
          <w:cantSplit/>
        </w:trPr>
        <w:tc>
          <w:tcPr>
            <w:tcW w:w="2100" w:type="dxa"/>
            <w:vAlign w:val="top"/>
          </w:tcPr>
          <w:p>
            <w:pPr>
              <w:pStyle w:val="TabelaTexto"/>
              <w:jc w:val="left"/>
            </w:pPr>
            <w:r>
              <w:t xml:space="preserve">Valenti et al., 2026 [15]</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retrospectiva; 348 participantes do estudo ENDO com idades entre 18 e 44 anos submetidas a cirurgia ginecológica</w:t>
            </w:r>
          </w:p>
        </w:tc>
        <w:tc>
          <w:tcPr>
            <w:tcW w:w="2521" w:type="dxa"/>
            <w:vAlign w:val="top"/>
          </w:tcPr>
          <w:p>
            <w:pPr>
              <w:pStyle w:val="TabelaTexto"/>
              <w:jc w:val="left"/>
            </w:pPr>
            <w:r>
              <w:t xml:space="preserve">Endometriose incidente confirmada cirurgicamente, estadiamento (ASRM I-IV) e tipologia (superficial, profunda, ovariana)</w:t>
            </w:r>
          </w:p>
        </w:tc>
        <w:tc>
          <w:tcPr>
            <w:tcW w:w="2100" w:type="dxa"/>
            <w:vAlign w:val="top"/>
          </w:tcPr>
          <w:p>
            <w:pPr>
              <w:pStyle w:val="TabelaTexto"/>
              <w:jc w:val="left"/>
            </w:pPr>
            <w:r>
              <w:t xml:space="preserve">Níveis séricos pré-operatórios de hormônio antimülleriano (AMH)</w:t>
            </w:r>
          </w:p>
        </w:tc>
        <w:tc>
          <w:tcPr>
            <w:tcW w:w="3221" w:type="dxa"/>
            <w:vAlign w:val="top"/>
          </w:tcPr>
          <w:p>
            <w:pPr>
              <w:pStyle w:val="TabelaTexto"/>
              <w:jc w:val="left"/>
            </w:pPr>
            <w:r>
              <w:t xml:space="preserve">Endometriose estágio III-IV associada a AMH 40,1% menor; endometriomas ovarianos a 54,3% menor; infertilidade potencializou associação (-72,6%).</w:t>
            </w:r>
          </w:p>
        </w:tc>
      </w:tr>
      <w:tr>
        <w:trPr>
          <w:cantSplit/>
        </w:trPr>
        <w:tc>
          <w:tcPr>
            <w:tcW w:w="2100" w:type="dxa"/>
            <w:vAlign w:val="top"/>
          </w:tcPr>
          <w:p>
            <w:pPr>
              <w:pStyle w:val="TabelaTexto"/>
              <w:jc w:val="left"/>
            </w:pPr>
            <w:r>
              <w:t xml:space="preserve">Zhang et al., 2026 [18]</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retrospectiva; 859 ciclos de IVF/ICSI em mulheres com endometriose e reserva ovariana diminuída</w:t>
            </w:r>
          </w:p>
        </w:tc>
        <w:tc>
          <w:tcPr>
            <w:tcW w:w="2521" w:type="dxa"/>
            <w:vAlign w:val="top"/>
          </w:tcPr>
          <w:p>
            <w:pPr>
              <w:pStyle w:val="TabelaTexto"/>
              <w:jc w:val="left"/>
            </w:pPr>
            <w:r>
              <w:t xml:space="preserve">Endometriose com reserva ovariana diminuída submetidas a quatro protocolos de estimulação ovariana controlada (ultralongo, longo, curto, antagonista)</w:t>
            </w:r>
          </w:p>
        </w:tc>
        <w:tc>
          <w:tcPr>
            <w:tcW w:w="2100" w:type="dxa"/>
            <w:vAlign w:val="top"/>
          </w:tcPr>
          <w:p>
            <w:pPr>
              <w:pStyle w:val="TabelaTexto"/>
              <w:jc w:val="left"/>
            </w:pPr>
            <w:r>
              <w:t xml:space="preserve">Taxa cumulativa de nascidos vivos, taxa de nascidos vivos por ciclo iniciado e taxa de gravidez clínica</w:t>
            </w:r>
          </w:p>
        </w:tc>
        <w:tc>
          <w:tcPr>
            <w:tcW w:w="3221" w:type="dxa"/>
            <w:vAlign w:val="top"/>
          </w:tcPr>
          <w:p>
            <w:pPr>
              <w:pStyle w:val="TabelaTexto"/>
              <w:jc w:val="left"/>
            </w:pPr>
            <w:r>
              <w:t xml:space="preserve">O protocolo ultralongo apresentou maiores taxas de nascidos vivos cumulativa (48,5%), nascidos vivos (36,6%) e gravidez clínica (41,1%) em comparação aos demais protocolos.</w:t>
            </w:r>
          </w:p>
        </w:tc>
      </w:tr>
      <w:tr>
        <w:trPr>
          <w:cantSplit/>
        </w:trPr>
        <w:tc>
          <w:tcPr>
            <w:tcW w:w="2100" w:type="dxa"/>
            <w:vAlign w:val="top"/>
          </w:tcPr>
          <w:p>
            <w:pPr>
              <w:pStyle w:val="TabelaTexto"/>
              <w:jc w:val="left"/>
            </w:pPr>
            <w:r>
              <w:t xml:space="preserve">Akay et al., 2025 [9]</w:t>
            </w:r>
          </w:p>
        </w:tc>
        <w:tc>
          <w:tcPr>
            <w:tcW w:w="1260" w:type="dxa"/>
            <w:vAlign w:val="top"/>
          </w:tcPr>
          <w:p>
            <w:pPr>
              <w:pStyle w:val="TabelaTextoCentro"/>
              <w:jc w:val="center"/>
            </w:pPr>
            <w:r>
              <w:t xml:space="preserve">Turquia</w:t>
            </w:r>
          </w:p>
        </w:tc>
        <w:tc>
          <w:tcPr>
            <w:tcW w:w="2801" w:type="dxa"/>
            <w:vAlign w:val="top"/>
          </w:tcPr>
          <w:p>
            <w:pPr>
              <w:pStyle w:val="TabelaTexto"/>
              <w:jc w:val="left"/>
            </w:pPr>
            <w:r>
              <w:t xml:space="preserve">coorte retrospectiva; 241 pacientes submetidas a cistectomia laparoscópica (116 com endometrioma e 125 com cistos ovarianos benignos)</w:t>
            </w:r>
          </w:p>
        </w:tc>
        <w:tc>
          <w:tcPr>
            <w:tcW w:w="2521" w:type="dxa"/>
            <w:vAlign w:val="top"/>
          </w:tcPr>
          <w:p>
            <w:pPr>
              <w:pStyle w:val="TabelaTexto"/>
              <w:jc w:val="left"/>
            </w:pPr>
            <w:r>
              <w:t xml:space="preserve">Endometrioma ovariano comparado a cistos ovarianos benignos não endometrióticos</w:t>
            </w:r>
          </w:p>
        </w:tc>
        <w:tc>
          <w:tcPr>
            <w:tcW w:w="2100" w:type="dxa"/>
            <w:vAlign w:val="top"/>
          </w:tcPr>
          <w:p>
            <w:pPr>
              <w:pStyle w:val="TabelaTexto"/>
              <w:jc w:val="left"/>
            </w:pPr>
            <w:r>
              <w:t xml:space="preserve">Reserva ovariana (FSH e AMH) e marcadores inflamatórios séricos (RDW, NLR, PLR e leucócitos) no pré e pós-operatório</w:t>
            </w:r>
          </w:p>
        </w:tc>
        <w:tc>
          <w:tcPr>
            <w:tcW w:w="3221" w:type="dxa"/>
            <w:vAlign w:val="top"/>
          </w:tcPr>
          <w:p>
            <w:pPr>
              <w:pStyle w:val="TabelaTexto"/>
              <w:jc w:val="left"/>
            </w:pPr>
            <w:r>
              <w:t xml:space="preserve">Marcadores inflamatórios elevados no endometrioma, com aumento pós-operatório do NLR; inflamação correlacionada ao tamanho do cisto, mas não à reserva ovariana ou ao estágio da endometriose.</w:t>
            </w:r>
          </w:p>
        </w:tc>
      </w:tr>
      <w:tr>
        <w:trPr>
          <w:cantSplit/>
        </w:trPr>
        <w:tc>
          <w:tcPr>
            <w:tcW w:w="2100" w:type="dxa"/>
            <w:vAlign w:val="top"/>
          </w:tcPr>
          <w:p>
            <w:pPr>
              <w:pStyle w:val="TabelaTexto"/>
              <w:jc w:val="left"/>
            </w:pPr>
            <w:r>
              <w:t xml:space="preserve">Cardozo-Henríquez et al., 2025 [4]</w:t>
            </w:r>
          </w:p>
        </w:tc>
        <w:tc>
          <w:tcPr>
            <w:tcW w:w="1260" w:type="dxa"/>
            <w:vAlign w:val="top"/>
          </w:tcPr>
          <w:p>
            <w:pPr>
              <w:pStyle w:val="TabelaTextoCentro"/>
              <w:jc w:val="center"/>
            </w:pPr>
            <w:r>
              <w:t xml:space="preserve">Venezuela</w:t>
            </w:r>
          </w:p>
        </w:tc>
        <w:tc>
          <w:tcPr>
            <w:tcW w:w="2801" w:type="dxa"/>
            <w:vAlign w:val="top"/>
          </w:tcPr>
          <w:p>
            <w:pPr>
              <w:pStyle w:val="TabelaTexto"/>
              <w:jc w:val="left"/>
            </w:pPr>
            <w:r>
              <w:t xml:space="preserve">transversal; 46 pacientes com diagnóstico de endometriosis</w:t>
            </w:r>
          </w:p>
        </w:tc>
        <w:tc>
          <w:tcPr>
            <w:tcW w:w="2521" w:type="dxa"/>
            <w:vAlign w:val="top"/>
          </w:tcPr>
          <w:p>
            <w:pPr>
              <w:pStyle w:val="TabelaTexto"/>
              <w:jc w:val="left"/>
            </w:pPr>
            <w:r>
              <w:t xml:space="preserve">Endometriose</w:t>
            </w:r>
          </w:p>
        </w:tc>
        <w:tc>
          <w:tcPr>
            <w:tcW w:w="2100" w:type="dxa"/>
            <w:vAlign w:val="top"/>
          </w:tcPr>
          <w:p>
            <w:pPr>
              <w:pStyle w:val="TabelaTexto"/>
              <w:jc w:val="left"/>
            </w:pPr>
            <w:r>
              <w:t xml:space="preserve">Infertilidade e taxa de gravidez</w:t>
            </w:r>
          </w:p>
        </w:tc>
        <w:tc>
          <w:tcPr>
            <w:tcW w:w="3221" w:type="dxa"/>
            <w:vAlign w:val="top"/>
          </w:tcPr>
          <w:p>
            <w:pPr>
              <w:pStyle w:val="TabelaTexto"/>
              <w:jc w:val="left"/>
            </w:pPr>
            <w:r>
              <w:t xml:space="preserve">97,83% das pacientes com endometriose apresentaram infertilidade, com risco 6,65 vezes maior; apenas 23,91% engravidaram, sendo 90,91% por reprodução assistida.</w:t>
            </w:r>
          </w:p>
        </w:tc>
      </w:tr>
      <w:tr>
        <w:trPr>
          <w:cantSplit/>
        </w:trPr>
        <w:tc>
          <w:tcPr>
            <w:tcW w:w="2100" w:type="dxa"/>
            <w:vAlign w:val="top"/>
          </w:tcPr>
          <w:p>
            <w:pPr>
              <w:pStyle w:val="TabelaTexto"/>
              <w:jc w:val="left"/>
            </w:pPr>
            <w:r>
              <w:t xml:space="preserve">Diao et al., 2025 [11]</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outro; Oócitos de pacientes com endometriose ovariana e controles com infertilidade por fatores tubários ou masculinos</w:t>
            </w:r>
          </w:p>
        </w:tc>
        <w:tc>
          <w:tcPr>
            <w:tcW w:w="2521" w:type="dxa"/>
            <w:vAlign w:val="top"/>
          </w:tcPr>
          <w:p>
            <w:pPr>
              <w:pStyle w:val="TabelaTexto"/>
              <w:jc w:val="left"/>
            </w:pPr>
            <w:r>
              <w:t xml:space="preserve">Endometriose ovariana</w:t>
            </w:r>
          </w:p>
        </w:tc>
        <w:tc>
          <w:tcPr>
            <w:tcW w:w="2100" w:type="dxa"/>
            <w:vAlign w:val="top"/>
          </w:tcPr>
          <w:p>
            <w:pPr>
              <w:pStyle w:val="TabelaTexto"/>
              <w:jc w:val="left"/>
            </w:pPr>
            <w:r>
              <w:t xml:space="preserve">Perfis translacionais e transcricionais de oócitos em estágio GV</w:t>
            </w:r>
          </w:p>
        </w:tc>
        <w:tc>
          <w:tcPr>
            <w:tcW w:w="3221" w:type="dxa"/>
            <w:vAlign w:val="top"/>
          </w:tcPr>
          <w:p>
            <w:pPr>
              <w:pStyle w:val="TabelaTexto"/>
              <w:jc w:val="left"/>
            </w:pPr>
            <w:r>
              <w:t xml:space="preserve">Endometriose ovariana alterou significativamente a atividade translacional global em oócitos humanos, com vias de estresse oxidativo, meiose oocitária e spliceossomo associadas à qualidade oocitária.</w:t>
            </w:r>
          </w:p>
        </w:tc>
      </w:tr>
      <w:tr>
        <w:trPr>
          <w:cantSplit/>
        </w:trPr>
        <w:tc>
          <w:tcPr>
            <w:tcW w:w="2100" w:type="dxa"/>
            <w:vAlign w:val="top"/>
          </w:tcPr>
          <w:p>
            <w:pPr>
              <w:pStyle w:val="TabelaTexto"/>
              <w:jc w:val="left"/>
            </w:pPr>
            <w:r>
              <w:t xml:space="preserve">Li et al., 2025 [26]</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retrospectiva; 3.517 pacientes com endometriose submetidas a IVF/ICSI, divididas em Grupo A (controle, n=494), Grupo B (não cirúrgico, n=217) e Grupo C (cirúrgico, n=122)</w:t>
            </w:r>
          </w:p>
        </w:tc>
        <w:tc>
          <w:tcPr>
            <w:tcW w:w="2521" w:type="dxa"/>
            <w:vAlign w:val="top"/>
          </w:tcPr>
          <w:p>
            <w:pPr>
              <w:pStyle w:val="TabelaTexto"/>
              <w:jc w:val="left"/>
            </w:pPr>
            <w:r>
              <w:t xml:space="preserve">Endometriose com cistos endometrióticos não tratados ou cistectomia ovariana prévia</w:t>
            </w:r>
          </w:p>
        </w:tc>
        <w:tc>
          <w:tcPr>
            <w:tcW w:w="2100" w:type="dxa"/>
            <w:vAlign w:val="top"/>
          </w:tcPr>
          <w:p>
            <w:pPr>
              <w:pStyle w:val="TabelaTexto"/>
              <w:jc w:val="left"/>
            </w:pPr>
            <w:r>
              <w:t xml:space="preserve">Reserva ovariana (AFC, FSH, AMH), dose de gonadotrofina, número de oócitos recuperados e de oócitos MII, proporção de DOR</w:t>
            </w:r>
          </w:p>
        </w:tc>
        <w:tc>
          <w:tcPr>
            <w:tcW w:w="3221" w:type="dxa"/>
            <w:vAlign w:val="top"/>
          </w:tcPr>
          <w:p>
            <w:pPr>
              <w:pStyle w:val="TabelaTexto"/>
              <w:jc w:val="left"/>
            </w:pPr>
            <w:r>
              <w:t xml:space="preserve">Cistectomia prévia associou-se a menor reserva ovariana, maior incidência de DOR e pior resposta ovariana à estimulação controlada em comparação a não cirúrgico e controles.</w:t>
            </w:r>
          </w:p>
        </w:tc>
      </w:tr>
      <w:tr>
        <w:trPr>
          <w:cantSplit/>
        </w:trPr>
        <w:tc>
          <w:tcPr>
            <w:tcW w:w="2100" w:type="dxa"/>
            <w:vAlign w:val="top"/>
          </w:tcPr>
          <w:p>
            <w:pPr>
              <w:pStyle w:val="TabelaTexto"/>
              <w:jc w:val="left"/>
            </w:pPr>
            <w:r>
              <w:t xml:space="preserve">Lu et al., 2025 [17]</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retrospectiva; 300 mulheres com endometriose ovariana e 2.956 sem a condição, submetidas ao primeiro ciclo de IVF/ICSI</w:t>
            </w:r>
          </w:p>
        </w:tc>
        <w:tc>
          <w:tcPr>
            <w:tcW w:w="2521" w:type="dxa"/>
            <w:vAlign w:val="top"/>
          </w:tcPr>
          <w:p>
            <w:pPr>
              <w:pStyle w:val="TabelaTexto"/>
              <w:jc w:val="left"/>
            </w:pPr>
            <w:r>
              <w:t xml:space="preserve">Endometriose ovariana em mulheres jovens (&lt;35 anos) e mais velhas (≥35 anos)</w:t>
            </w:r>
          </w:p>
        </w:tc>
        <w:tc>
          <w:tcPr>
            <w:tcW w:w="2100" w:type="dxa"/>
            <w:vAlign w:val="top"/>
          </w:tcPr>
          <w:p>
            <w:pPr>
              <w:pStyle w:val="TabelaTexto"/>
              <w:jc w:val="left"/>
            </w:pPr>
            <w:r>
              <w:t xml:space="preserve">Reserva ovariana (AMH, contagem de folículos antrais), taxas cumulativas de gravidez clínica e de nascidos vivos</w:t>
            </w:r>
          </w:p>
        </w:tc>
        <w:tc>
          <w:tcPr>
            <w:tcW w:w="3221" w:type="dxa"/>
            <w:vAlign w:val="top"/>
          </w:tcPr>
          <w:p>
            <w:pPr>
              <w:pStyle w:val="TabelaTexto"/>
              <w:jc w:val="left"/>
            </w:pPr>
            <w:r>
              <w:t xml:space="preserve">Endometriose ovariana reduziu reserva ovariana e taxas cumulativas de gravidez clínica e nascidos vivos em mulheres jovens, mas não em mulheres ≥35 anos; AMH foi preditor independente de nascidos vivos.</w:t>
            </w:r>
          </w:p>
        </w:tc>
      </w:tr>
      <w:tr>
        <w:trPr>
          <w:cantSplit/>
        </w:trPr>
        <w:tc>
          <w:tcPr>
            <w:tcW w:w="2100" w:type="dxa"/>
            <w:vAlign w:val="top"/>
          </w:tcPr>
          <w:p>
            <w:pPr>
              <w:pStyle w:val="TabelaTexto"/>
              <w:jc w:val="left"/>
            </w:pPr>
            <w:r>
              <w:t xml:space="preserve">Pereira et al., 2025 [5]</w:t>
            </w:r>
          </w:p>
        </w:tc>
        <w:tc>
          <w:tcPr>
            <w:tcW w:w="1260" w:type="dxa"/>
            <w:vAlign w:val="top"/>
          </w:tcPr>
          <w:p>
            <w:pPr>
              <w:pStyle w:val="TabelaTextoCentro"/>
              <w:jc w:val="center"/>
            </w:pPr>
            <w:r>
              <w:t xml:space="preserve">Brasil</w:t>
            </w:r>
          </w:p>
        </w:tc>
        <w:tc>
          <w:tcPr>
            <w:tcW w:w="2801" w:type="dxa"/>
            <w:vAlign w:val="top"/>
          </w:tcPr>
          <w:p>
            <w:pPr>
              <w:pStyle w:val="TabelaTexto"/>
              <w:jc w:val="left"/>
            </w:pPr>
            <w:r>
              <w:t xml:space="preserve">transversal; 104 mulheres com endometriose e indicação cirúrgica, com mediana de idade de 35 anos</w:t>
            </w:r>
          </w:p>
        </w:tc>
        <w:tc>
          <w:tcPr>
            <w:tcW w:w="2521" w:type="dxa"/>
            <w:vAlign w:val="top"/>
          </w:tcPr>
          <w:p>
            <w:pPr>
              <w:pStyle w:val="TabelaTexto"/>
              <w:jc w:val="left"/>
            </w:pPr>
            <w:r>
              <w:t xml:space="preserve">Endometriose classificada pelo ASRM</w:t>
            </w:r>
          </w:p>
        </w:tc>
        <w:tc>
          <w:tcPr>
            <w:tcW w:w="2100" w:type="dxa"/>
            <w:vAlign w:val="top"/>
          </w:tcPr>
          <w:p>
            <w:pPr>
              <w:pStyle w:val="TabelaTexto"/>
              <w:jc w:val="left"/>
            </w:pPr>
            <w:r>
              <w:t xml:space="preserve">Dor, função sexual, qualidade de vida e infertilidade</w:t>
            </w:r>
          </w:p>
        </w:tc>
        <w:tc>
          <w:tcPr>
            <w:tcW w:w="3221" w:type="dxa"/>
            <w:vAlign w:val="top"/>
          </w:tcPr>
          <w:p>
            <w:pPr>
              <w:pStyle w:val="TabelaTexto"/>
              <w:jc w:val="left"/>
            </w:pPr>
            <w:r>
              <w:t xml:space="preserve">Mulheres com endometriose ASRM III e IV exibiram dois padrões distintos, um com piores escores de dor, função sexual e qualidade de vida; infertilidade não diferiu entre os grupos.</w:t>
            </w:r>
          </w:p>
        </w:tc>
      </w:tr>
      <w:tr>
        <w:trPr>
          <w:cantSplit/>
        </w:trPr>
        <w:tc>
          <w:tcPr>
            <w:tcW w:w="2100" w:type="dxa"/>
            <w:vAlign w:val="top"/>
          </w:tcPr>
          <w:p>
            <w:pPr>
              <w:pStyle w:val="TabelaTexto"/>
              <w:jc w:val="left"/>
            </w:pPr>
            <w:r>
              <w:t xml:space="preserve">Souza et al., 2025 [13]</w:t>
            </w:r>
          </w:p>
        </w:tc>
        <w:tc>
          <w:tcPr>
            <w:tcW w:w="1260" w:type="dxa"/>
            <w:vAlign w:val="top"/>
          </w:tcPr>
          <w:p>
            <w:pPr>
              <w:pStyle w:val="TabelaTextoCentro"/>
              <w:jc w:val="center"/>
            </w:pPr>
            <w:r>
              <w:t xml:space="preserve">Brasil</w:t>
            </w:r>
          </w:p>
        </w:tc>
        <w:tc>
          <w:tcPr>
            <w:tcW w:w="2801" w:type="dxa"/>
            <w:vAlign w:val="top"/>
          </w:tcPr>
          <w:p>
            <w:pPr>
              <w:pStyle w:val="TabelaTexto"/>
              <w:jc w:val="left"/>
            </w:pPr>
            <w:r>
              <w:t xml:space="preserve">transversal; 48 prontuários de mulheres de 18 a 49 anos com diagnóstico de endometriose</w:t>
            </w:r>
          </w:p>
        </w:tc>
        <w:tc>
          <w:tcPr>
            <w:tcW w:w="2521" w:type="dxa"/>
            <w:vAlign w:val="top"/>
          </w:tcPr>
          <w:p>
            <w:pPr>
              <w:pStyle w:val="TabelaTexto"/>
              <w:jc w:val="left"/>
            </w:pPr>
            <w:r>
              <w:t xml:space="preserve">Endometriose e presença de anticorpos antitireoidianos (anti-TPO e anti-Tg)</w:t>
            </w:r>
          </w:p>
        </w:tc>
        <w:tc>
          <w:tcPr>
            <w:tcW w:w="2100" w:type="dxa"/>
            <w:vAlign w:val="top"/>
          </w:tcPr>
          <w:p>
            <w:pPr>
              <w:pStyle w:val="TabelaTexto"/>
              <w:jc w:val="left"/>
            </w:pPr>
            <w:r>
              <w:t xml:space="preserve">Reserva ovariana avaliada por hormônio anti-mulleriano (HAM) e contagem de folículos antrais (CFA)</w:t>
            </w:r>
          </w:p>
        </w:tc>
        <w:tc>
          <w:tcPr>
            <w:tcW w:w="3221" w:type="dxa"/>
            <w:vAlign w:val="top"/>
          </w:tcPr>
          <w:p>
            <w:pPr>
              <w:pStyle w:val="TabelaTexto"/>
              <w:jc w:val="left"/>
            </w:pPr>
            <w:r>
              <w:t xml:space="preserve">Alta prevalência de anticorpos antitireoidianos positivos em mulheres com endometriose, sem diferença significativa nos marcadores de reserva ovariana, mas com tendência a menores valores de HAM entre soropositivas.</w:t>
            </w:r>
          </w:p>
        </w:tc>
      </w:tr>
      <w:tr>
        <w:trPr>
          <w:cantSplit/>
        </w:trPr>
        <w:tc>
          <w:tcPr>
            <w:tcW w:w="2100" w:type="dxa"/>
            <w:vAlign w:val="top"/>
          </w:tcPr>
          <w:p>
            <w:pPr>
              <w:pStyle w:val="TabelaTexto"/>
              <w:jc w:val="left"/>
            </w:pPr>
            <w:r>
              <w:t xml:space="preserve">Şükür et al., 2025 [27]</w:t>
            </w:r>
          </w:p>
        </w:tc>
        <w:tc>
          <w:tcPr>
            <w:tcW w:w="1260" w:type="dxa"/>
            <w:vAlign w:val="top"/>
          </w:tcPr>
          <w:p>
            <w:pPr>
              <w:pStyle w:val="TabelaTextoCentro"/>
              <w:jc w:val="center"/>
            </w:pPr>
            <w:r>
              <w:t xml:space="preserve">Turquia</w:t>
            </w:r>
          </w:p>
        </w:tc>
        <w:tc>
          <w:tcPr>
            <w:tcW w:w="2801" w:type="dxa"/>
            <w:vAlign w:val="top"/>
          </w:tcPr>
          <w:p>
            <w:pPr>
              <w:pStyle w:val="TabelaTexto"/>
              <w:jc w:val="left"/>
            </w:pPr>
            <w:r>
              <w:t xml:space="preserve">coorte retrospectiva; 90 mulheres inférteis submetidas ao primeiro ciclo de IVF</w:t>
            </w:r>
          </w:p>
        </w:tc>
        <w:tc>
          <w:tcPr>
            <w:tcW w:w="2521" w:type="dxa"/>
            <w:vAlign w:val="top"/>
          </w:tcPr>
          <w:p>
            <w:pPr>
              <w:pStyle w:val="TabelaTexto"/>
              <w:jc w:val="left"/>
            </w:pPr>
            <w:r>
              <w:t xml:space="preserve">Endometrioma ≥4 cm manejado com nenhuma intervenção (n=39), escleroterapia com etanol (n=20) ou cistectomia laparoscópica (n=31)</w:t>
            </w:r>
          </w:p>
        </w:tc>
        <w:tc>
          <w:tcPr>
            <w:tcW w:w="2100" w:type="dxa"/>
            <w:vAlign w:val="top"/>
          </w:tcPr>
          <w:p>
            <w:pPr>
              <w:pStyle w:val="TabelaTexto"/>
              <w:jc w:val="left"/>
            </w:pPr>
            <w:r>
              <w:t xml:space="preserve">Taxa cumulativa de nascidos vivos, produção de oócitos e embriões, taxas de fertilização e implantação, taxa de cancelamento de ciclo</w:t>
            </w:r>
          </w:p>
        </w:tc>
        <w:tc>
          <w:tcPr>
            <w:tcW w:w="3221" w:type="dxa"/>
            <w:vAlign w:val="top"/>
          </w:tcPr>
          <w:p>
            <w:pPr>
              <w:pStyle w:val="TabelaTexto"/>
              <w:jc w:val="left"/>
            </w:pPr>
            <w:r>
              <w:t xml:space="preserve">Escleroterapia com etanol apresentou maior taxa cumulativa de nascidos vivos (65%) e melhor preservação da reserva ovariana em comparação a nenhuma intervenção e cistectomia.</w:t>
            </w:r>
          </w:p>
        </w:tc>
      </w:tr>
      <w:tr>
        <w:trPr>
          <w:cantSplit/>
        </w:trPr>
        <w:tc>
          <w:tcPr>
            <w:tcW w:w="2100" w:type="dxa"/>
            <w:vAlign w:val="top"/>
          </w:tcPr>
          <w:p>
            <w:pPr>
              <w:pStyle w:val="TabelaTexto"/>
              <w:jc w:val="left"/>
            </w:pPr>
            <w:r>
              <w:t xml:space="preserve">Farland et al., 2024 [16]</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prospectiva; 1961 mulheres pré-menopáusicas do Nurses' Health Study II que forneceram amostra de sangue</w:t>
            </w:r>
          </w:p>
        </w:tc>
        <w:tc>
          <w:tcPr>
            <w:tcW w:w="2521" w:type="dxa"/>
            <w:vAlign w:val="top"/>
          </w:tcPr>
          <w:p>
            <w:pPr>
              <w:pStyle w:val="TabelaTexto"/>
              <w:jc w:val="left"/>
            </w:pPr>
            <w:r>
              <w:t xml:space="preserve">Endometriose confirmada por laparoscopia</w:t>
            </w:r>
          </w:p>
        </w:tc>
        <w:tc>
          <w:tcPr>
            <w:tcW w:w="2100" w:type="dxa"/>
            <w:vAlign w:val="top"/>
          </w:tcPr>
          <w:p>
            <w:pPr>
              <w:pStyle w:val="TabelaTexto"/>
              <w:jc w:val="left"/>
            </w:pPr>
            <w:r>
              <w:t xml:space="preserve">Níveis plasmáticos de hormônio antimülleriano (AMH)</w:t>
            </w:r>
          </w:p>
        </w:tc>
        <w:tc>
          <w:tcPr>
            <w:tcW w:w="3221" w:type="dxa"/>
            <w:vAlign w:val="top"/>
          </w:tcPr>
          <w:p>
            <w:pPr>
              <w:pStyle w:val="TabelaTexto"/>
              <w:jc w:val="left"/>
            </w:pPr>
            <w:r>
              <w:t xml:space="preserve">Mulheres com endometriose tiveram AMH 29,6% menor; associação maior em IMC ≥25 kg/m² (-44,0%).</w:t>
            </w:r>
          </w:p>
        </w:tc>
      </w:tr>
      <w:tr>
        <w:trPr>
          <w:cantSplit/>
        </w:trPr>
        <w:tc>
          <w:tcPr>
            <w:tcW w:w="2100" w:type="dxa"/>
            <w:vAlign w:val="top"/>
          </w:tcPr>
          <w:p>
            <w:pPr>
              <w:pStyle w:val="TabelaTexto"/>
              <w:jc w:val="left"/>
            </w:pPr>
            <w:r>
              <w:t xml:space="preserve">Haque et al., 2024 [19]</w:t>
            </w:r>
          </w:p>
        </w:tc>
        <w:tc>
          <w:tcPr>
            <w:tcW w:w="1260" w:type="dxa"/>
            <w:vAlign w:val="top"/>
          </w:tcPr>
          <w:p>
            <w:pPr>
              <w:pStyle w:val="TabelaTextoCentro"/>
              <w:jc w:val="center"/>
            </w:pPr>
            <w:r>
              <w:t xml:space="preserve">Indonésia</w:t>
            </w:r>
          </w:p>
        </w:tc>
        <w:tc>
          <w:tcPr>
            <w:tcW w:w="2801" w:type="dxa"/>
            <w:vAlign w:val="top"/>
          </w:tcPr>
          <w:p>
            <w:pPr>
              <w:pStyle w:val="TabelaTexto"/>
              <w:jc w:val="left"/>
            </w:pPr>
            <w:r>
              <w:t xml:space="preserve">coorte retrospectiva; 410 pacientes de FIV, sendo 93 com endometriose e 317 sem endometriose</w:t>
            </w:r>
          </w:p>
        </w:tc>
        <w:tc>
          <w:tcPr>
            <w:tcW w:w="2521" w:type="dxa"/>
            <w:vAlign w:val="top"/>
          </w:tcPr>
          <w:p>
            <w:pPr>
              <w:pStyle w:val="TabelaTexto"/>
              <w:jc w:val="left"/>
            </w:pPr>
            <w:r>
              <w:t xml:space="preserve">Endometriose (presença vs. ausência)</w:t>
            </w:r>
          </w:p>
        </w:tc>
        <w:tc>
          <w:tcPr>
            <w:tcW w:w="2100" w:type="dxa"/>
            <w:vAlign w:val="top"/>
          </w:tcPr>
          <w:p>
            <w:pPr>
              <w:pStyle w:val="TabelaTexto"/>
              <w:jc w:val="left"/>
            </w:pPr>
            <w:r>
              <w:t xml:space="preserve">Quantidade e qualidade ovocitária, qualidade da fertilização, desenvolvimento embrionário, gravidez bioquímica, gravidez clínica e taxa de nascidos vivos</w:t>
            </w:r>
          </w:p>
        </w:tc>
        <w:tc>
          <w:tcPr>
            <w:tcW w:w="3221" w:type="dxa"/>
            <w:vAlign w:val="top"/>
          </w:tcPr>
          <w:p>
            <w:pPr>
              <w:pStyle w:val="TabelaTexto"/>
              <w:jc w:val="left"/>
            </w:pPr>
            <w:r>
              <w:t xml:space="preserve">Endometriose reduziu quantidade e qualidade ovocitária, mas não afetou taxas de fertilização, desenvolvimento embrionário, gravidez ou nascidos vivos.</w:t>
            </w:r>
          </w:p>
        </w:tc>
      </w:tr>
      <w:tr>
        <w:trPr>
          <w:cantSplit/>
        </w:trPr>
        <w:tc>
          <w:tcPr>
            <w:tcW w:w="2100" w:type="dxa"/>
            <w:vAlign w:val="top"/>
          </w:tcPr>
          <w:p>
            <w:pPr>
              <w:pStyle w:val="TabelaTexto"/>
              <w:jc w:val="left"/>
            </w:pPr>
            <w:r>
              <w:t xml:space="preserve">Molina Rodríguez, 2024 [1]</w:t>
            </w:r>
          </w:p>
        </w:tc>
        <w:tc>
          <w:tcPr>
            <w:tcW w:w="1260" w:type="dxa"/>
            <w:vAlign w:val="top"/>
          </w:tcPr>
          <w:p>
            <w:pPr>
              <w:pStyle w:val="TabelaTextoCentro"/>
              <w:jc w:val="center"/>
            </w:pPr>
            <w:r>
              <w:t xml:space="preserve">Venezuela</w:t>
            </w:r>
          </w:p>
        </w:tc>
        <w:tc>
          <w:tcPr>
            <w:tcW w:w="2801" w:type="dxa"/>
            <w:vAlign w:val="top"/>
          </w:tcPr>
          <w:p>
            <w:pPr>
              <w:pStyle w:val="TabelaTexto"/>
              <w:jc w:val="left"/>
            </w:pPr>
            <w:r>
              <w:t xml:space="preserve">coorte retrospectiva; 455 histórias de 560 pacientes atendidas em consulta de endometriosis</w:t>
            </w:r>
          </w:p>
        </w:tc>
        <w:tc>
          <w:tcPr>
            <w:tcW w:w="2521" w:type="dxa"/>
            <w:vAlign w:val="top"/>
          </w:tcPr>
          <w:p>
            <w:pPr>
              <w:pStyle w:val="TabelaTexto"/>
              <w:jc w:val="left"/>
            </w:pPr>
            <w:r>
              <w:t xml:space="preserve">Endometriose diagnosticada definitivamente</w:t>
            </w:r>
          </w:p>
        </w:tc>
        <w:tc>
          <w:tcPr>
            <w:tcW w:w="2100" w:type="dxa"/>
            <w:vAlign w:val="top"/>
          </w:tcPr>
          <w:p>
            <w:pPr>
              <w:pStyle w:val="TabelaTexto"/>
              <w:jc w:val="left"/>
            </w:pPr>
            <w:r>
              <w:t xml:space="preserve">Idade ao diagnóstico, menarca, gestações, dismenorreia, dor pélvica, dispareunia, sintomas digestivos e localização da lesão</w:t>
            </w:r>
          </w:p>
        </w:tc>
        <w:tc>
          <w:tcPr>
            <w:tcW w:w="3221" w:type="dxa"/>
            <w:vAlign w:val="top"/>
          </w:tcPr>
          <w:p>
            <w:pPr>
              <w:pStyle w:val="TabelaTexto"/>
              <w:jc w:val="left"/>
            </w:pPr>
            <w:r>
              <w:t xml:space="preserve">Diagnóstico predominou entre 26-35 anos; 63% sem gestações; dismenorreia primária em 63,07%; ovário foi local mais acometido (78,7%).</w:t>
            </w:r>
          </w:p>
        </w:tc>
      </w:tr>
      <w:tr>
        <w:trPr>
          <w:cantSplit/>
        </w:trPr>
        <w:tc>
          <w:tcPr>
            <w:tcW w:w="2100" w:type="dxa"/>
            <w:vAlign w:val="top"/>
          </w:tcPr>
          <w:p>
            <w:pPr>
              <w:pStyle w:val="TabelaTexto"/>
              <w:jc w:val="left"/>
            </w:pPr>
            <w:r>
              <w:t xml:space="preserve">Morcel et al., 2024 [23]</w:t>
            </w:r>
          </w:p>
        </w:tc>
        <w:tc>
          <w:tcPr>
            <w:tcW w:w="1260" w:type="dxa"/>
            <w:vAlign w:val="top"/>
          </w:tcPr>
          <w:p>
            <w:pPr>
              <w:pStyle w:val="TabelaTextoCentro"/>
              <w:jc w:val="center"/>
            </w:pPr>
            <w:r>
              <w:t xml:space="preserve">França</w:t>
            </w:r>
          </w:p>
        </w:tc>
        <w:tc>
          <w:tcPr>
            <w:tcW w:w="2801" w:type="dxa"/>
            <w:vAlign w:val="top"/>
          </w:tcPr>
          <w:p>
            <w:pPr>
              <w:pStyle w:val="TabelaTexto"/>
              <w:jc w:val="left"/>
            </w:pPr>
            <w:r>
              <w:t xml:space="preserve">coorte retrospectiva; ciclos de fertilização in vitro em mulheres sem endometriose e com endometriose, incluindo subgrupos por estágio da classificação revisada da Sociedade Americana de Fertilidade e por endometrioma isolado</w:t>
            </w:r>
          </w:p>
        </w:tc>
        <w:tc>
          <w:tcPr>
            <w:tcW w:w="2521" w:type="dxa"/>
            <w:vAlign w:val="top"/>
          </w:tcPr>
          <w:p>
            <w:pPr>
              <w:pStyle w:val="TabelaTexto"/>
              <w:jc w:val="left"/>
            </w:pPr>
            <w:r>
              <w:t xml:space="preserve">Endometriose classificada por estágio, incluindo estágios iniciais, estágios avançados sem endometrioma e endometrioma isolado</w:t>
            </w:r>
          </w:p>
        </w:tc>
        <w:tc>
          <w:tcPr>
            <w:tcW w:w="2100" w:type="dxa"/>
            <w:vAlign w:val="top"/>
          </w:tcPr>
          <w:p>
            <w:pPr>
              <w:pStyle w:val="TabelaTexto"/>
              <w:jc w:val="left"/>
            </w:pPr>
            <w:r>
              <w:t xml:space="preserve">Taxas de gravidez clínica e em curso após fertilização in vitro e taxas cumulativas de gravidez após transferência de embriões congelados/descongelados</w:t>
            </w:r>
          </w:p>
        </w:tc>
        <w:tc>
          <w:tcPr>
            <w:tcW w:w="3221" w:type="dxa"/>
            <w:vAlign w:val="top"/>
          </w:tcPr>
          <w:p>
            <w:pPr>
              <w:pStyle w:val="TabelaTexto"/>
              <w:jc w:val="left"/>
            </w:pPr>
            <w:r>
              <w:t xml:space="preserve">As taxas de gravidez em curso não diferiram entre mulheres com e sem endometriose, mas as taxas cumulativas por casal foram menores no grupo com endometriose profunda.</w:t>
            </w:r>
          </w:p>
        </w:tc>
      </w:tr>
      <w:tr>
        <w:trPr>
          <w:cantSplit/>
        </w:trPr>
        <w:tc>
          <w:tcPr>
            <w:tcW w:w="2100" w:type="dxa"/>
            <w:vAlign w:val="top"/>
          </w:tcPr>
          <w:p>
            <w:pPr>
              <w:pStyle w:val="TabelaTexto"/>
              <w:jc w:val="left"/>
            </w:pPr>
            <w:r>
              <w:t xml:space="preserve">Nadă et al., 2024 [30]</w:t>
            </w:r>
          </w:p>
        </w:tc>
        <w:tc>
          <w:tcPr>
            <w:tcW w:w="1260" w:type="dxa"/>
            <w:vAlign w:val="top"/>
          </w:tcPr>
          <w:p>
            <w:pPr>
              <w:pStyle w:val="TabelaTextoCentro"/>
              <w:jc w:val="center"/>
            </w:pPr>
            <w:r>
              <w:t xml:space="preserve">Romênia</w:t>
            </w:r>
          </w:p>
        </w:tc>
        <w:tc>
          <w:tcPr>
            <w:tcW w:w="2801" w:type="dxa"/>
            <w:vAlign w:val="top"/>
          </w:tcPr>
          <w:p>
            <w:pPr>
              <w:pStyle w:val="TabelaTexto"/>
              <w:jc w:val="left"/>
            </w:pPr>
            <w:r>
              <w:t xml:space="preserve">coorte retrospectiva; pacientes com histórico de cirurgia para endometriose submetidas a fertilização in vitro, comparadas a pacientes com obstrução tubária documentada</w:t>
            </w:r>
          </w:p>
        </w:tc>
        <w:tc>
          <w:tcPr>
            <w:tcW w:w="2521" w:type="dxa"/>
            <w:vAlign w:val="top"/>
          </w:tcPr>
          <w:p>
            <w:pPr>
              <w:pStyle w:val="TabelaTexto"/>
              <w:jc w:val="left"/>
            </w:pPr>
            <w:r>
              <w:t xml:space="preserve">Endometriose com histórico cirúrgico, avaliando idade, hormônio antimülleriano, protocolo de estimulação ovariana e tipos de gonadotrofinas</w:t>
            </w:r>
          </w:p>
        </w:tc>
        <w:tc>
          <w:tcPr>
            <w:tcW w:w="2100" w:type="dxa"/>
            <w:vAlign w:val="top"/>
          </w:tcPr>
          <w:p>
            <w:pPr>
              <w:pStyle w:val="TabelaTexto"/>
              <w:jc w:val="left"/>
            </w:pPr>
            <w:r>
              <w:t xml:space="preserve">Taxa de gravidez clínica e desfecho reprodutivo após fertilização in vitro</w:t>
            </w:r>
          </w:p>
        </w:tc>
        <w:tc>
          <w:tcPr>
            <w:tcW w:w="3221" w:type="dxa"/>
            <w:vAlign w:val="top"/>
          </w:tcPr>
          <w:p>
            <w:pPr>
              <w:pStyle w:val="TabelaTexto"/>
              <w:jc w:val="left"/>
            </w:pPr>
            <w:r>
              <w:t xml:space="preserve">A taxa de gravidez clínica foi menor no grupo com endometriose; idade e hormônio antimülleriano foram fatores independentes significativos, e o tratamento com corifolitropina alfa associou-se a maior taxa de gravidez.</w:t>
            </w:r>
          </w:p>
        </w:tc>
      </w:tr>
      <w:tr>
        <w:trPr>
          <w:cantSplit/>
        </w:trPr>
        <w:tc>
          <w:tcPr>
            <w:tcW w:w="2100" w:type="dxa"/>
            <w:vAlign w:val="top"/>
          </w:tcPr>
          <w:p>
            <w:pPr>
              <w:pStyle w:val="TabelaTexto"/>
              <w:jc w:val="left"/>
            </w:pPr>
            <w:r>
              <w:t xml:space="preserve">Nogueira Neto et al., 2024 [6]</w:t>
            </w:r>
          </w:p>
        </w:tc>
        <w:tc>
          <w:tcPr>
            <w:tcW w:w="1260" w:type="dxa"/>
            <w:vAlign w:val="top"/>
          </w:tcPr>
          <w:p>
            <w:pPr>
              <w:pStyle w:val="TabelaTextoCentro"/>
              <w:jc w:val="center"/>
            </w:pPr>
            <w:r>
              <w:t xml:space="preserve">Brasil</w:t>
            </w:r>
          </w:p>
        </w:tc>
        <w:tc>
          <w:tcPr>
            <w:tcW w:w="2801" w:type="dxa"/>
            <w:vAlign w:val="top"/>
          </w:tcPr>
          <w:p>
            <w:pPr>
              <w:pStyle w:val="TabelaTexto"/>
              <w:jc w:val="left"/>
            </w:pPr>
            <w:r>
              <w:t xml:space="preserve">coorte prospectiva; 103 pacientes submetidas a tratamento cirúrgico para endometriose</w:t>
            </w:r>
          </w:p>
        </w:tc>
        <w:tc>
          <w:tcPr>
            <w:tcW w:w="2521" w:type="dxa"/>
            <w:vAlign w:val="top"/>
          </w:tcPr>
          <w:p>
            <w:pPr>
              <w:pStyle w:val="TabelaTexto"/>
              <w:jc w:val="left"/>
            </w:pPr>
            <w:r>
              <w:t xml:space="preserve">Tratamento cirúrgico videolaparoscópico para endometriose</w:t>
            </w:r>
          </w:p>
        </w:tc>
        <w:tc>
          <w:tcPr>
            <w:tcW w:w="2100" w:type="dxa"/>
            <w:vAlign w:val="top"/>
          </w:tcPr>
          <w:p>
            <w:pPr>
              <w:pStyle w:val="TabelaTexto"/>
              <w:jc w:val="left"/>
            </w:pPr>
            <w:r>
              <w:t xml:space="preserve">Níveis de depressão relacionados à saúde e baixa fertilidade</w:t>
            </w:r>
          </w:p>
        </w:tc>
        <w:tc>
          <w:tcPr>
            <w:tcW w:w="3221" w:type="dxa"/>
            <w:vAlign w:val="top"/>
          </w:tcPr>
          <w:p>
            <w:pPr>
              <w:pStyle w:val="TabelaTexto"/>
              <w:jc w:val="left"/>
            </w:pPr>
            <w:r>
              <w:t xml:space="preserve">Redução significativa da depressão pós-cirurgia; 50,9% apresentavam baixa fertilidade e 39,3% endometriose grave.</w:t>
            </w:r>
          </w:p>
        </w:tc>
      </w:tr>
      <w:tr>
        <w:trPr>
          <w:cantSplit/>
        </w:trPr>
        <w:tc>
          <w:tcPr>
            <w:tcW w:w="2100" w:type="dxa"/>
            <w:vAlign w:val="top"/>
          </w:tcPr>
          <w:p>
            <w:pPr>
              <w:pStyle w:val="TabelaTexto"/>
              <w:jc w:val="left"/>
            </w:pPr>
            <w:r>
              <w:t xml:space="preserve">Qu et al., 2024 [20]</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retrospectiva; 625 pacientes submetidas a teste genético pré-implantação</w:t>
            </w:r>
          </w:p>
        </w:tc>
        <w:tc>
          <w:tcPr>
            <w:tcW w:w="2521" w:type="dxa"/>
            <w:vAlign w:val="top"/>
          </w:tcPr>
          <w:p>
            <w:pPr>
              <w:pStyle w:val="TabelaTexto"/>
              <w:jc w:val="left"/>
            </w:pPr>
            <w:r>
              <w:t xml:space="preserve">Endometriose</w:t>
            </w:r>
          </w:p>
        </w:tc>
        <w:tc>
          <w:tcPr>
            <w:tcW w:w="2100" w:type="dxa"/>
            <w:vAlign w:val="top"/>
          </w:tcPr>
          <w:p>
            <w:pPr>
              <w:pStyle w:val="TabelaTexto"/>
              <w:jc w:val="left"/>
            </w:pPr>
            <w:r>
              <w:t xml:space="preserve">Nascidos vivos, gravidez clínica, gravidez bioquímica, aborto clínico, parto prematuro e taxa de aneuploidia</w:t>
            </w:r>
          </w:p>
        </w:tc>
        <w:tc>
          <w:tcPr>
            <w:tcW w:w="3221" w:type="dxa"/>
            <w:vAlign w:val="top"/>
          </w:tcPr>
          <w:p>
            <w:pPr>
              <w:pStyle w:val="TabelaTexto"/>
              <w:jc w:val="left"/>
            </w:pPr>
            <w:r>
              <w:t xml:space="preserve">Endometriose não alterou desfechos gestacionais, mas aumentou taxa de aneuploidia em blastocistos, sugerindo impacto na qualidade ovocitária.</w:t>
            </w:r>
          </w:p>
        </w:tc>
      </w:tr>
      <w:tr>
        <w:trPr>
          <w:cantSplit/>
        </w:trPr>
        <w:tc>
          <w:tcPr>
            <w:tcW w:w="2100" w:type="dxa"/>
            <w:vAlign w:val="top"/>
          </w:tcPr>
          <w:p>
            <w:pPr>
              <w:pStyle w:val="TabelaTexto"/>
              <w:jc w:val="left"/>
            </w:pPr>
            <w:r>
              <w:t xml:space="preserve">Sorvia Naveda et al., 2024 [14]</w:t>
            </w:r>
          </w:p>
        </w:tc>
        <w:tc>
          <w:tcPr>
            <w:tcW w:w="1260" w:type="dxa"/>
            <w:vAlign w:val="top"/>
          </w:tcPr>
          <w:p>
            <w:pPr>
              <w:pStyle w:val="TabelaTextoCentro"/>
              <w:jc w:val="center"/>
            </w:pPr>
            <w:r>
              <w:t xml:space="preserve">México</w:t>
            </w:r>
          </w:p>
        </w:tc>
        <w:tc>
          <w:tcPr>
            <w:tcW w:w="2801" w:type="dxa"/>
            <w:vAlign w:val="top"/>
          </w:tcPr>
          <w:p>
            <w:pPr>
              <w:pStyle w:val="TabelaTexto"/>
              <w:jc w:val="left"/>
            </w:pPr>
            <w:r>
              <w:t xml:space="preserve">coorte prospectiva; 178 pacientes com idade entre 25 e 42 anos, 89 no grupo de endometriose estágio III-IV e 89 no grupo controle com outros diagnósticos de infertilidade</w:t>
            </w:r>
          </w:p>
        </w:tc>
        <w:tc>
          <w:tcPr>
            <w:tcW w:w="2521" w:type="dxa"/>
            <w:vAlign w:val="top"/>
          </w:tcPr>
          <w:p>
            <w:pPr>
              <w:pStyle w:val="TabelaTexto"/>
              <w:jc w:val="left"/>
            </w:pPr>
            <w:r>
              <w:t xml:space="preserve">Endometriose estágio III-IV e endometriomas</w:t>
            </w:r>
          </w:p>
        </w:tc>
        <w:tc>
          <w:tcPr>
            <w:tcW w:w="2100" w:type="dxa"/>
            <w:vAlign w:val="top"/>
          </w:tcPr>
          <w:p>
            <w:pPr>
              <w:pStyle w:val="TabelaTexto"/>
              <w:jc w:val="left"/>
            </w:pPr>
            <w:r>
              <w:t xml:space="preserve">Marcadores de reserva ovariana, número de oócitos recuperados, taxa de implantação, taxa de gravidez clínica e taxa de nascidos vivos</w:t>
            </w:r>
          </w:p>
        </w:tc>
        <w:tc>
          <w:tcPr>
            <w:tcW w:w="3221" w:type="dxa"/>
            <w:vAlign w:val="top"/>
          </w:tcPr>
          <w:p>
            <w:pPr>
              <w:pStyle w:val="TabelaTexto"/>
              <w:jc w:val="left"/>
            </w:pPr>
            <w:r>
              <w:t xml:space="preserve">Endometriose estágio III-IV reduziu hormônio antimülleriano, contagem de folículos antrais, folículos totais, oócitos recuperados e oócitos em metáfase II, mas as taxas de gravidez foram similares.</w:t>
            </w:r>
          </w:p>
        </w:tc>
      </w:tr>
      <w:tr>
        <w:trPr>
          <w:cantSplit/>
        </w:trPr>
        <w:tc>
          <w:tcPr>
            <w:tcW w:w="2100" w:type="dxa"/>
            <w:vAlign w:val="top"/>
          </w:tcPr>
          <w:p>
            <w:pPr>
              <w:pStyle w:val="TabelaTexto"/>
              <w:jc w:val="left"/>
            </w:pPr>
            <w:r>
              <w:t xml:space="preserve">Bianco et al., 2023 [12]</w:t>
            </w:r>
          </w:p>
        </w:tc>
        <w:tc>
          <w:tcPr>
            <w:tcW w:w="1260" w:type="dxa"/>
            <w:vAlign w:val="top"/>
          </w:tcPr>
          <w:p>
            <w:pPr>
              <w:pStyle w:val="TabelaTextoCentro"/>
              <w:jc w:val="center"/>
            </w:pPr>
            <w:r>
              <w:t xml:space="preserve">Brasil</w:t>
            </w:r>
          </w:p>
        </w:tc>
        <w:tc>
          <w:tcPr>
            <w:tcW w:w="2801" w:type="dxa"/>
            <w:vAlign w:val="top"/>
          </w:tcPr>
          <w:p>
            <w:pPr>
              <w:pStyle w:val="TabelaTexto"/>
              <w:jc w:val="left"/>
            </w:pPr>
            <w:r>
              <w:t xml:space="preserve">caso-controle; mulheres com endometriose confirmada por cirurgia e controles sem endometriose, também confirmados por inspeção da cavidade pélvica</w:t>
            </w:r>
          </w:p>
        </w:tc>
        <w:tc>
          <w:tcPr>
            <w:tcW w:w="2521" w:type="dxa"/>
            <w:vAlign w:val="top"/>
          </w:tcPr>
          <w:p>
            <w:pPr>
              <w:pStyle w:val="TabelaTexto"/>
              <w:jc w:val="left"/>
            </w:pPr>
            <w:r>
              <w:t xml:space="preserve">Variante rs10.835.638 do gene FSHB (c.-211G&gt;T), comparando mulheres com e sem endometriose e subgrupos férteis/inférteis</w:t>
            </w:r>
          </w:p>
        </w:tc>
        <w:tc>
          <w:tcPr>
            <w:tcW w:w="2100" w:type="dxa"/>
            <w:vAlign w:val="top"/>
          </w:tcPr>
          <w:p>
            <w:pPr>
              <w:pStyle w:val="TabelaTexto"/>
              <w:jc w:val="left"/>
            </w:pPr>
            <w:r>
              <w:t xml:space="preserve">Desenvolvimento e progressão da endometriose, com subdivisão em grupos fértil e infértil</w:t>
            </w:r>
          </w:p>
        </w:tc>
        <w:tc>
          <w:tcPr>
            <w:tcW w:w="3221" w:type="dxa"/>
            <w:vAlign w:val="top"/>
          </w:tcPr>
          <w:p>
            <w:pPr>
              <w:pStyle w:val="TabelaTexto"/>
              <w:jc w:val="left"/>
            </w:pPr>
            <w:r>
              <w:t xml:space="preserve">Frequências genotípicas e alélicas semelhantes entre casos e controles; alelo T associado à endometriose mínima/leve, sem relação com fertilidade.</w:t>
            </w:r>
          </w:p>
        </w:tc>
      </w:tr>
      <w:tr>
        <w:trPr>
          <w:cantSplit/>
        </w:trPr>
        <w:tc>
          <w:tcPr>
            <w:tcW w:w="2100" w:type="dxa"/>
            <w:vAlign w:val="top"/>
          </w:tcPr>
          <w:p>
            <w:pPr>
              <w:pStyle w:val="TabelaTexto"/>
              <w:jc w:val="left"/>
            </w:pPr>
            <w:r>
              <w:t xml:space="preserve">Hernández et al., 2023 [28]</w:t>
            </w:r>
          </w:p>
        </w:tc>
        <w:tc>
          <w:tcPr>
            <w:tcW w:w="1260" w:type="dxa"/>
            <w:vAlign w:val="top"/>
          </w:tcPr>
          <w:p>
            <w:pPr>
              <w:pStyle w:val="TabelaTextoCentro"/>
              <w:jc w:val="center"/>
            </w:pPr>
            <w:r>
              <w:t xml:space="preserve">Espanha</w:t>
            </w:r>
          </w:p>
        </w:tc>
        <w:tc>
          <w:tcPr>
            <w:tcW w:w="2801" w:type="dxa"/>
            <w:vAlign w:val="top"/>
          </w:tcPr>
          <w:p>
            <w:pPr>
              <w:pStyle w:val="TabelaTexto"/>
              <w:jc w:val="left"/>
            </w:pPr>
            <w:r>
              <w:t xml:space="preserve">coorte retrospectiva; 244 mulheres submetidas a FIV, sendo 124 com endometrioma não tratado, 55 com endometrioma tratado cirurgicamente e 65 controles</w:t>
            </w:r>
          </w:p>
        </w:tc>
        <w:tc>
          <w:tcPr>
            <w:tcW w:w="2521" w:type="dxa"/>
            <w:vAlign w:val="top"/>
          </w:tcPr>
          <w:p>
            <w:pPr>
              <w:pStyle w:val="TabelaTexto"/>
              <w:jc w:val="left"/>
            </w:pPr>
            <w:r>
              <w:t xml:space="preserve">Endometrioma ovariano com e sem cirurgia</w:t>
            </w:r>
          </w:p>
        </w:tc>
        <w:tc>
          <w:tcPr>
            <w:tcW w:w="2100" w:type="dxa"/>
            <w:vAlign w:val="top"/>
          </w:tcPr>
          <w:p>
            <w:pPr>
              <w:pStyle w:val="TabelaTexto"/>
              <w:jc w:val="left"/>
            </w:pPr>
            <w:r>
              <w:t xml:space="preserve">AMH, AFC, número de oócitos extraídos, embriões transferidos, gravidez bioquímica e batimento cardíaco fetal às 6 semanas</w:t>
            </w:r>
          </w:p>
        </w:tc>
        <w:tc>
          <w:tcPr>
            <w:tcW w:w="3221" w:type="dxa"/>
            <w:vAlign w:val="top"/>
          </w:tcPr>
          <w:p>
            <w:pPr>
              <w:pStyle w:val="TabelaTexto"/>
              <w:jc w:val="left"/>
            </w:pPr>
            <w:r>
              <w:t xml:space="preserve">Endometrioma reduziu AMH, AFC e gravidez bioquímica; cirurgia melhorou desfechos gestacionais, mas qualidade ovocitária permaneceu reduzida.</w:t>
            </w:r>
          </w:p>
        </w:tc>
      </w:tr>
      <w:tr>
        <w:trPr>
          <w:cantSplit/>
        </w:trPr>
        <w:tc>
          <w:tcPr>
            <w:tcW w:w="2100" w:type="dxa"/>
            <w:vAlign w:val="top"/>
          </w:tcPr>
          <w:p>
            <w:pPr>
              <w:pStyle w:val="TabelaTexto"/>
              <w:jc w:val="left"/>
            </w:pPr>
            <w:r>
              <w:t xml:space="preserve">Nadă et al., 2023 [29]</w:t>
            </w:r>
          </w:p>
        </w:tc>
        <w:tc>
          <w:tcPr>
            <w:tcW w:w="1260" w:type="dxa"/>
            <w:vAlign w:val="top"/>
          </w:tcPr>
          <w:p>
            <w:pPr>
              <w:pStyle w:val="TabelaTextoCentro"/>
              <w:jc w:val="center"/>
            </w:pPr>
            <w:r>
              <w:t xml:space="preserve">Romênia</w:t>
            </w:r>
          </w:p>
        </w:tc>
        <w:tc>
          <w:tcPr>
            <w:tcW w:w="2801" w:type="dxa"/>
            <w:vAlign w:val="top"/>
          </w:tcPr>
          <w:p>
            <w:pPr>
              <w:pStyle w:val="TabelaTexto"/>
              <w:jc w:val="left"/>
            </w:pPr>
            <w:r>
              <w:t xml:space="preserve">coorte retrospectiva; pacientes com histórico de cistectomia laparoscópica por endometrioma comparadas a pacientes com obstrução tubária documentada</w:t>
            </w:r>
          </w:p>
        </w:tc>
        <w:tc>
          <w:tcPr>
            <w:tcW w:w="2521" w:type="dxa"/>
            <w:vAlign w:val="top"/>
          </w:tcPr>
          <w:p>
            <w:pPr>
              <w:pStyle w:val="TabelaTexto"/>
              <w:jc w:val="left"/>
            </w:pPr>
            <w:r>
              <w:t xml:space="preserve">Endometrioma ovariano com histórico de cirurgia, avaliando reserva ovariana, características da estimulação ovariana e transferência embrionária</w:t>
            </w:r>
          </w:p>
        </w:tc>
        <w:tc>
          <w:tcPr>
            <w:tcW w:w="2100" w:type="dxa"/>
            <w:vAlign w:val="top"/>
          </w:tcPr>
          <w:p>
            <w:pPr>
              <w:pStyle w:val="TabelaTexto"/>
              <w:jc w:val="left"/>
            </w:pPr>
            <w:r>
              <w:t xml:space="preserve">Resultados da estimulação ovariana, transferência embrionária e taxa de gravidez clínica após fertilização in vitro</w:t>
            </w:r>
          </w:p>
        </w:tc>
        <w:tc>
          <w:tcPr>
            <w:tcW w:w="3221" w:type="dxa"/>
            <w:vAlign w:val="top"/>
          </w:tcPr>
          <w:p>
            <w:pPr>
              <w:pStyle w:val="TabelaTexto"/>
              <w:jc w:val="left"/>
            </w:pPr>
            <w:r>
              <w:t xml:space="preserve">Pacientes com histórico de endometrioma apresentaram menor taxa de gravidez clínica que aquelas com obstrução tubária, apesar de reserva ovariana e resultados de estimulação semelhantes.</w:t>
            </w:r>
          </w:p>
        </w:tc>
      </w:tr>
      <w:tr>
        <w:trPr>
          <w:cantSplit/>
        </w:trPr>
        <w:tc>
          <w:tcPr>
            <w:tcW w:w="2100" w:type="dxa"/>
            <w:vAlign w:val="top"/>
          </w:tcPr>
          <w:p>
            <w:pPr>
              <w:pStyle w:val="TabelaTexto"/>
              <w:jc w:val="left"/>
            </w:pPr>
            <w:r>
              <w:t xml:space="preserve">Sánchez-Resendis Ó et al., 2023 [24]</w:t>
            </w:r>
          </w:p>
        </w:tc>
        <w:tc>
          <w:tcPr>
            <w:tcW w:w="1260" w:type="dxa"/>
            <w:vAlign w:val="top"/>
          </w:tcPr>
          <w:p>
            <w:pPr>
              <w:pStyle w:val="TabelaTextoCentro"/>
              <w:jc w:val="center"/>
            </w:pPr>
            <w:r>
              <w:t xml:space="preserve">México</w:t>
            </w:r>
          </w:p>
        </w:tc>
        <w:tc>
          <w:tcPr>
            <w:tcW w:w="2801" w:type="dxa"/>
            <w:vAlign w:val="top"/>
          </w:tcPr>
          <w:p>
            <w:pPr>
              <w:pStyle w:val="TabelaTexto"/>
              <w:jc w:val="left"/>
            </w:pPr>
            <w:r>
              <w:t xml:space="preserve">série de casos; 14 pacientes com endometriose que desejavam adiar gravidez e preservar fertilidade</w:t>
            </w:r>
          </w:p>
        </w:tc>
        <w:tc>
          <w:tcPr>
            <w:tcW w:w="2521" w:type="dxa"/>
            <w:vAlign w:val="top"/>
          </w:tcPr>
          <w:p>
            <w:pPr>
              <w:pStyle w:val="TabelaTexto"/>
              <w:jc w:val="left"/>
            </w:pPr>
            <w:r>
              <w:t xml:space="preserve">Tratamento com implante de goserelina seguido de dispositivo intrauterino com levonorgestrel</w:t>
            </w:r>
          </w:p>
        </w:tc>
        <w:tc>
          <w:tcPr>
            <w:tcW w:w="2100" w:type="dxa"/>
            <w:vAlign w:val="top"/>
          </w:tcPr>
          <w:p>
            <w:pPr>
              <w:pStyle w:val="TabelaTexto"/>
              <w:jc w:val="left"/>
            </w:pPr>
            <w:r>
              <w:t xml:space="preserve">Intensidade da dor pélvica e preservação da fertilidade</w:t>
            </w:r>
          </w:p>
        </w:tc>
        <w:tc>
          <w:tcPr>
            <w:tcW w:w="3221" w:type="dxa"/>
            <w:vAlign w:val="top"/>
          </w:tcPr>
          <w:p>
            <w:pPr>
              <w:pStyle w:val="TabelaTexto"/>
              <w:jc w:val="left"/>
            </w:pPr>
            <w:r>
              <w:t xml:space="preserve">Cinco pacientes relataram dor (quatro intensidade 1, uma intensidade 3); todas relataram alívio geral subjetivo em 12 meses.</w:t>
            </w:r>
          </w:p>
        </w:tc>
      </w:tr>
      <w:tr>
        <w:trPr>
          <w:cantSplit/>
        </w:trPr>
        <w:tc>
          <w:tcPr>
            <w:tcW w:w="2100" w:type="dxa"/>
            <w:vAlign w:val="top"/>
          </w:tcPr>
          <w:p>
            <w:pPr>
              <w:pStyle w:val="TabelaTexto"/>
              <w:jc w:val="left"/>
            </w:pPr>
            <w:r>
              <w:t xml:space="preserve">Pontes et al., 2022 [2]</w:t>
            </w:r>
          </w:p>
        </w:tc>
        <w:tc>
          <w:tcPr>
            <w:tcW w:w="1260" w:type="dxa"/>
            <w:vAlign w:val="top"/>
          </w:tcPr>
          <w:p>
            <w:pPr>
              <w:pStyle w:val="TabelaTextoCentro"/>
              <w:jc w:val="center"/>
            </w:pPr>
            <w:r>
              <w:t xml:space="preserve">Brasil</w:t>
            </w:r>
          </w:p>
        </w:tc>
        <w:tc>
          <w:tcPr>
            <w:tcW w:w="2801" w:type="dxa"/>
            <w:vAlign w:val="top"/>
          </w:tcPr>
          <w:p>
            <w:pPr>
              <w:pStyle w:val="TabelaTexto"/>
              <w:jc w:val="left"/>
            </w:pPr>
            <w:r>
              <w:t xml:space="preserve">transversal; 227 pacientes com diagnóstico ultrassonográfico de endometriose profunda</w:t>
            </w:r>
          </w:p>
        </w:tc>
        <w:tc>
          <w:tcPr>
            <w:tcW w:w="2521" w:type="dxa"/>
            <w:vAlign w:val="top"/>
          </w:tcPr>
          <w:p>
            <w:pPr>
              <w:pStyle w:val="TabelaTexto"/>
              <w:jc w:val="left"/>
            </w:pPr>
            <w:r>
              <w:t xml:space="preserve">Endometriose profunda diagnosticada por ultrassonografia pélvica endovaginal com preparo intestinal</w:t>
            </w:r>
          </w:p>
        </w:tc>
        <w:tc>
          <w:tcPr>
            <w:tcW w:w="2100" w:type="dxa"/>
            <w:vAlign w:val="top"/>
          </w:tcPr>
          <w:p>
            <w:pPr>
              <w:pStyle w:val="TabelaTexto"/>
              <w:jc w:val="left"/>
            </w:pPr>
            <w:r>
              <w:t xml:space="preserve">Infertilidade e sintomas álgicos (dismenorreia, dispareunia, disquezia, disúria)</w:t>
            </w:r>
          </w:p>
        </w:tc>
        <w:tc>
          <w:tcPr>
            <w:tcW w:w="3221" w:type="dxa"/>
            <w:vAlign w:val="top"/>
          </w:tcPr>
          <w:p>
            <w:pPr>
              <w:pStyle w:val="TabelaTexto"/>
              <w:jc w:val="left"/>
            </w:pPr>
            <w:r>
              <w:t xml:space="preserve">Infertilidade em 43,8%; dismenorreia em 84,7%; dispareunia em 69,1%; disquezia menstrual em 60,7%.</w:t>
            </w:r>
          </w:p>
        </w:tc>
      </w:tr>
      <w:tr>
        <w:trPr>
          <w:cantSplit/>
        </w:trPr>
        <w:tc>
          <w:tcPr>
            <w:tcW w:w="2100" w:type="dxa"/>
            <w:vAlign w:val="top"/>
          </w:tcPr>
          <w:p>
            <w:pPr>
              <w:pStyle w:val="TabelaTexto"/>
              <w:jc w:val="left"/>
            </w:pPr>
            <w:r>
              <w:t xml:space="preserve">Bonachea-Peña et al., 2021 [3]</w:t>
            </w:r>
          </w:p>
        </w:tc>
        <w:tc>
          <w:tcPr>
            <w:tcW w:w="1260" w:type="dxa"/>
            <w:vAlign w:val="top"/>
          </w:tcPr>
          <w:p>
            <w:pPr>
              <w:pStyle w:val="TabelaTextoCentro"/>
              <w:jc w:val="center"/>
            </w:pPr>
            <w:r>
              <w:t xml:space="preserve">Cuba</w:t>
            </w:r>
          </w:p>
        </w:tc>
        <w:tc>
          <w:tcPr>
            <w:tcW w:w="2801" w:type="dxa"/>
            <w:vAlign w:val="top"/>
          </w:tcPr>
          <w:p>
            <w:pPr>
              <w:pStyle w:val="TabelaTexto"/>
              <w:jc w:val="left"/>
            </w:pPr>
            <w:r>
              <w:t xml:space="preserve">transversal; 123 pacientes com diagnóstico de dor pélvica crônica de causa ginecológica em idade fértil</w:t>
            </w:r>
          </w:p>
        </w:tc>
        <w:tc>
          <w:tcPr>
            <w:tcW w:w="2521" w:type="dxa"/>
            <w:vAlign w:val="top"/>
          </w:tcPr>
          <w:p>
            <w:pPr>
              <w:pStyle w:val="TabelaTexto"/>
              <w:jc w:val="left"/>
            </w:pPr>
            <w:r>
              <w:t xml:space="preserve">Dor pélvica crônica de causa ginecológica, principalmente endometriose</w:t>
            </w:r>
          </w:p>
        </w:tc>
        <w:tc>
          <w:tcPr>
            <w:tcW w:w="2100" w:type="dxa"/>
            <w:vAlign w:val="top"/>
          </w:tcPr>
          <w:p>
            <w:pPr>
              <w:pStyle w:val="TabelaTexto"/>
              <w:jc w:val="left"/>
            </w:pPr>
            <w:r>
              <w:t xml:space="preserve">Infertilidade e paridade</w:t>
            </w:r>
          </w:p>
        </w:tc>
        <w:tc>
          <w:tcPr>
            <w:tcW w:w="3221" w:type="dxa"/>
            <w:vAlign w:val="top"/>
          </w:tcPr>
          <w:p>
            <w:pPr>
              <w:pStyle w:val="TabelaTexto"/>
              <w:jc w:val="left"/>
            </w:pPr>
            <w:r>
              <w:t xml:space="preserve">Endometriose foi a principal causa de dor pélvica; maioria das mulheres era multípara e apresentava infertilidade.</w:t>
            </w:r>
          </w:p>
        </w:tc>
      </w:tr>
      <w:tr>
        <w:trPr>
          <w:cantSplit/>
        </w:trPr>
        <w:tc>
          <w:tcPr>
            <w:tcW w:w="2100" w:type="dxa"/>
            <w:vAlign w:val="top"/>
          </w:tcPr>
          <w:p>
            <w:pPr>
              <w:pStyle w:val="TabelaTexto"/>
              <w:jc w:val="left"/>
            </w:pPr>
            <w:r>
              <w:t xml:space="preserve">Caran et al., 2021 [22]</w:t>
            </w:r>
          </w:p>
        </w:tc>
        <w:tc>
          <w:tcPr>
            <w:tcW w:w="1260" w:type="dxa"/>
            <w:vAlign w:val="top"/>
          </w:tcPr>
          <w:p>
            <w:pPr>
              <w:pStyle w:val="TabelaTextoCentro"/>
              <w:jc w:val="center"/>
            </w:pPr>
            <w:r>
              <w:t xml:space="preserve">Brasil</w:t>
            </w:r>
          </w:p>
        </w:tc>
        <w:tc>
          <w:tcPr>
            <w:tcW w:w="2801" w:type="dxa"/>
            <w:vAlign w:val="top"/>
          </w:tcPr>
          <w:p>
            <w:pPr>
              <w:pStyle w:val="TabelaTexto"/>
              <w:jc w:val="left"/>
            </w:pPr>
            <w:r>
              <w:t xml:space="preserve">caso-controle; 706 embriões de 162 pacientes, 472 embriões de 109 pacientes sem endometriose e 234 embriões de 53 pacientes com endometriose peritoneal</w:t>
            </w:r>
          </w:p>
        </w:tc>
        <w:tc>
          <w:tcPr>
            <w:tcW w:w="2521" w:type="dxa"/>
            <w:vAlign w:val="top"/>
          </w:tcPr>
          <w:p>
            <w:pPr>
              <w:pStyle w:val="TabelaTexto"/>
              <w:jc w:val="left"/>
            </w:pPr>
            <w:r>
              <w:t xml:space="preserve">Endometriose peritoneal</w:t>
            </w:r>
          </w:p>
        </w:tc>
        <w:tc>
          <w:tcPr>
            <w:tcW w:w="2100" w:type="dxa"/>
            <w:vAlign w:val="top"/>
          </w:tcPr>
          <w:p>
            <w:pPr>
              <w:pStyle w:val="TabelaTexto"/>
              <w:jc w:val="left"/>
            </w:pPr>
            <w:r>
              <w:t xml:space="preserve">Qualidade embrionária (escore embrionário graduado), taxas de fertilização, implantação e gravidez</w:t>
            </w:r>
          </w:p>
        </w:tc>
        <w:tc>
          <w:tcPr>
            <w:tcW w:w="3221" w:type="dxa"/>
            <w:vAlign w:val="top"/>
          </w:tcPr>
          <w:p>
            <w:pPr>
              <w:pStyle w:val="TabelaTexto"/>
              <w:jc w:val="left"/>
            </w:pPr>
            <w:r>
              <w:t xml:space="preserve">A qualidade embrionária medida pelo escore embrionário graduado não foi influenciada pela endometriose peritoneal, com taxas de fertilização, implantação e gravidez semelhantes.</w:t>
            </w:r>
          </w:p>
        </w:tc>
      </w:tr>
      <w:tr>
        <w:trPr>
          <w:cantSplit/>
        </w:trPr>
        <w:tc>
          <w:tcPr>
            <w:tcW w:w="2100" w:type="dxa"/>
            <w:vAlign w:val="top"/>
          </w:tcPr>
          <w:p>
            <w:pPr>
              <w:pStyle w:val="TabelaTexto"/>
              <w:jc w:val="left"/>
            </w:pPr>
            <w:r>
              <w:t xml:space="preserve">Giorgi et al., 2021 [8]</w:t>
            </w:r>
          </w:p>
        </w:tc>
        <w:tc>
          <w:tcPr>
            <w:tcW w:w="1260" w:type="dxa"/>
            <w:vAlign w:val="top"/>
          </w:tcPr>
          <w:p>
            <w:pPr>
              <w:pStyle w:val="TabelaTextoCentro"/>
              <w:jc w:val="center"/>
            </w:pPr>
            <w:r>
              <w:t xml:space="preserve">Brasil</w:t>
            </w:r>
          </w:p>
        </w:tc>
        <w:tc>
          <w:tcPr>
            <w:tcW w:w="2801" w:type="dxa"/>
            <w:vAlign w:val="top"/>
          </w:tcPr>
          <w:p>
            <w:pPr>
              <w:pStyle w:val="TabelaTexto"/>
              <w:jc w:val="left"/>
            </w:pPr>
            <w:r>
              <w:t xml:space="preserve">quase-experimental; 883 zigotos bovinos cultivados in vitro, utilizando fluido folicular de 11 mulheres com endometriose leve e 11 controles</w:t>
            </w:r>
          </w:p>
        </w:tc>
        <w:tc>
          <w:tcPr>
            <w:tcW w:w="2521" w:type="dxa"/>
            <w:vAlign w:val="top"/>
          </w:tcPr>
          <w:p>
            <w:pPr>
              <w:pStyle w:val="TabelaTexto"/>
              <w:jc w:val="left"/>
            </w:pPr>
            <w:r>
              <w:t xml:space="preserve">Endometriose leve (fluido folicular)</w:t>
            </w:r>
          </w:p>
        </w:tc>
        <w:tc>
          <w:tcPr>
            <w:tcW w:w="2100" w:type="dxa"/>
            <w:vAlign w:val="top"/>
          </w:tcPr>
          <w:p>
            <w:pPr>
              <w:pStyle w:val="TabelaTexto"/>
              <w:jc w:val="left"/>
            </w:pPr>
            <w:r>
              <w:t xml:space="preserve">Desenvolvimento in vitro de embriões bovinos, taxa de clivagem, formação de blastocistos e taxa de eclosão</w:t>
            </w:r>
          </w:p>
        </w:tc>
        <w:tc>
          <w:tcPr>
            <w:tcW w:w="3221" w:type="dxa"/>
            <w:vAlign w:val="top"/>
          </w:tcPr>
          <w:p>
            <w:pPr>
              <w:pStyle w:val="TabelaTexto"/>
              <w:jc w:val="left"/>
            </w:pPr>
            <w:r>
              <w:t xml:space="preserve">Fluido folicular de mulheres com endometriose leve prejudicou a taxa de eclosão embrionária, e a N-acetil-cisteína preveniu esse dano, sugerindo envolvimento do estresse oxidativo.</w:t>
            </w:r>
          </w:p>
        </w:tc>
      </w:tr>
      <w:tr>
        <w:trPr>
          <w:cantSplit/>
        </w:trPr>
        <w:tc>
          <w:tcPr>
            <w:tcW w:w="2100" w:type="dxa"/>
            <w:vAlign w:val="top"/>
          </w:tcPr>
          <w:p>
            <w:pPr>
              <w:pStyle w:val="TabelaTexto"/>
              <w:jc w:val="left"/>
            </w:pPr>
            <w:r>
              <w:t xml:space="preserve">Sousa et al., 2021 [7]</w:t>
            </w:r>
          </w:p>
        </w:tc>
        <w:tc>
          <w:tcPr>
            <w:tcW w:w="1260" w:type="dxa"/>
            <w:vAlign w:val="top"/>
          </w:tcPr>
          <w:p>
            <w:pPr>
              <w:pStyle w:val="TabelaTextoCentro"/>
              <w:jc w:val="center"/>
            </w:pPr>
            <w:r>
              <w:t xml:space="preserve">Brasil</w:t>
            </w:r>
          </w:p>
        </w:tc>
        <w:tc>
          <w:tcPr>
            <w:tcW w:w="2801" w:type="dxa"/>
            <w:vAlign w:val="top"/>
          </w:tcPr>
          <w:p>
            <w:pPr>
              <w:pStyle w:val="TabelaTexto"/>
              <w:jc w:val="left"/>
            </w:pPr>
            <w:r>
              <w:t xml:space="preserve">transversal; 20 mulheres com endometriose inscritas em grupo específico no Instagram</w:t>
            </w:r>
          </w:p>
        </w:tc>
        <w:tc>
          <w:tcPr>
            <w:tcW w:w="2521" w:type="dxa"/>
            <w:vAlign w:val="top"/>
          </w:tcPr>
          <w:p>
            <w:pPr>
              <w:pStyle w:val="TabelaTexto"/>
              <w:jc w:val="left"/>
            </w:pPr>
            <w:r>
              <w:t xml:space="preserve">Conhecimento sobre endometriose e planejamento familiar</w:t>
            </w:r>
          </w:p>
        </w:tc>
        <w:tc>
          <w:tcPr>
            <w:tcW w:w="2100" w:type="dxa"/>
            <w:vAlign w:val="top"/>
          </w:tcPr>
          <w:p>
            <w:pPr>
              <w:pStyle w:val="TabelaTexto"/>
              <w:jc w:val="left"/>
            </w:pPr>
            <w:r>
              <w:t xml:space="preserve">Conhecimento sobre planejamento familiar, direitos reprodutivos e fertilização in vitro</w:t>
            </w:r>
          </w:p>
        </w:tc>
        <w:tc>
          <w:tcPr>
            <w:tcW w:w="3221" w:type="dxa"/>
            <w:vAlign w:val="top"/>
          </w:tcPr>
          <w:p>
            <w:pPr>
              <w:pStyle w:val="TabelaTexto"/>
              <w:jc w:val="left"/>
            </w:pPr>
            <w:r>
              <w:t xml:space="preserve">85% tinham dúvidas sobre a doença; 80% desconheciam direito ao planejamento familiar ou fertilização in vitro; conhecimento limitado.</w:t>
            </w:r>
          </w:p>
        </w:tc>
      </w:tr>
    </w:tbl>
    <w:p>
      <w:pPr>
        <w:pStyle w:val="Fonte"/>
      </w:pPr>
      <w:r>
        <w:t xml:space="preserve">Fonte: Elaborado pelos autores (2026), a partir dos estudos incluídos.</w:t>
      </w:r>
    </w:p>
    <w:p>
      <w:pPr>
        <w:pStyle w:val="Fonte"/>
        <w:spacing w:after="240"/>
      </w:pPr>
      <w:r>
        <w:t xml:space="preserve">Notas: estudos ordenados do mais recente para o mais antigo; IMC = índice de massa corporal; NLR = razão neutrófilo-linfócito; PLR = razão plaqueta-linfócito.</w:t>
      </w:r>
    </w:p>
    <w:p>
      <w:pPr>
        <w:sectPr>
          <w:headerReference w:type="default" r:id="rIdCabecalho"/>
          <w:pgSz w:w="16838" w:h="11906" w:orient="landscape"/>
          <w:pgMar w:top="1701" w:right="1134" w:bottom="1134" w:left="1701" w:header="709" w:footer="709" w:gutter="0"/>
        </w:sectPr>
      </w:pPr>
    </w:p>
    <w:p>
      <w:pPr>
        <w:pStyle w:val="Titulo2"/>
      </w:pPr>
      <w:r>
        <w:rPr>
          <w:b/>
        </w:rPr>
        <w:t xml:space="preserve">3.3 Delineamento dos estudos</w:t>
      </w:r>
    </w:p>
    <w:p>
      <w:pPr>
        <w:pStyle w:val="Normal"/>
      </w:pPr>
      <w:r>
        <w:t xml:space="preserve">Quanto ao delineamento metodológico, os 30 estudos incluídos compreenderam: 15 coortes retrospectivas; 7 estudos transversais; 3 coortes prospectivas; 2 estudos de caso-controle; 1 estudo quase-experimental; 1 série de casos; 1 outro delineamento. O intervalo de publicação abrangeu de 2021 a 2026. A distribuição geográfica compreendeu 13 países: Brasil (8), China (6), Estados Unidos (2), México (2), Romênia (2), Turquia (2), Venezuela (2), Coreia do Sul (1), Cuba (1), Espanha (1), França (1), Indonésia (1), Reino Unido (1), totalizando os 30 estudos analisados.</w:t>
      </w:r>
    </w:p>
    <w:p>
      <w:pPr>
        <w:pStyle w:val="Titulo2"/>
      </w:pPr>
      <w:r>
        <w:rPr>
          <w:b/>
        </w:rPr>
        <w:t xml:space="preserve">3.4 Distribuição dos estudos por eixo temático</w:t>
      </w:r>
    </w:p>
    <w:p>
      <w:pPr>
        <w:pStyle w:val="Legenda"/>
      </w:pPr>
      <w:r>
        <w:rPr>
          <w:b/>
        </w:rPr>
        <w:t xml:space="preserve">Tabela 2 –</w:t>
      </w:r>
      <w:r>
        <w:t xml:space="preserve"> Distribuição dos estudos incluídos por eixo temático</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4536"/>
        <w:gridCol w:w="1089"/>
        <w:gridCol w:w="1179"/>
        <w:gridCol w:w="2268"/>
      </w:tblGrid>
      <w:tr>
        <w:trPr>
          <w:cantSplit/>
          <w:tblHeader/>
        </w:trPr>
        <w:tc>
          <w:tcPr>
            <w:tcW w:w="4536" w:type="dxa"/>
            <w:tcBorders>
              <w:bottom w:val="single" w:sz="8" w:space="0" w:color="000000"/>
            </w:tcBorders>
            <w:shd w:val="clear" w:color="auto" w:fill="F8F9FA"/>
            <w:vAlign w:val="center"/>
          </w:tcPr>
          <w:p>
            <w:pPr>
              <w:pStyle w:val="TabelaCabecalho"/>
              <w:jc w:val="left"/>
            </w:pPr>
            <w:r>
              <w:t xml:space="preserve">Eixo temático</w:t>
            </w:r>
          </w:p>
        </w:tc>
        <w:tc>
          <w:tcPr>
            <w:tcW w:w="1089" w:type="dxa"/>
            <w:tcBorders>
              <w:bottom w:val="single" w:sz="8" w:space="0" w:color="000000"/>
            </w:tcBorders>
            <w:shd w:val="clear" w:color="auto" w:fill="F8F9FA"/>
            <w:vAlign w:val="center"/>
          </w:tcPr>
          <w:p>
            <w:pPr>
              <w:pStyle w:val="TabelaCabecalhoCentro"/>
              <w:jc w:val="center"/>
            </w:pPr>
            <w:r>
              <w:t xml:space="preserve">n</w:t>
            </w:r>
          </w:p>
        </w:tc>
        <w:tc>
          <w:tcPr>
            <w:tcW w:w="1179" w:type="dxa"/>
            <w:tcBorders>
              <w:bottom w:val="single" w:sz="8" w:space="0" w:color="000000"/>
            </w:tcBorders>
            <w:shd w:val="clear" w:color="auto" w:fill="F8F9FA"/>
            <w:vAlign w:val="center"/>
          </w:tcPr>
          <w:p>
            <w:pPr>
              <w:pStyle w:val="TabelaCabecalhoCentro"/>
              <w:jc w:val="center"/>
            </w:pPr>
            <w:r>
              <w:t xml:space="preserve">%</w:t>
            </w:r>
          </w:p>
        </w:tc>
        <w:tc>
          <w:tcPr>
            <w:tcW w:w="2268" w:type="dxa"/>
            <w:tcBorders>
              <w:bottom w:val="single" w:sz="8" w:space="0" w:color="000000"/>
            </w:tcBorders>
            <w:shd w:val="clear" w:color="auto" w:fill="F8F9FA"/>
            <w:vAlign w:val="center"/>
          </w:tcPr>
          <w:p>
            <w:pPr>
              <w:pStyle w:val="TabelaCabecalhoCentro"/>
              <w:jc w:val="center"/>
            </w:pPr>
            <w:r>
              <w:t xml:space="preserve">Referências</w:t>
            </w:r>
          </w:p>
        </w:tc>
      </w:tr>
      <w:tr>
        <w:trPr>
          <w:cantSplit/>
        </w:trPr>
        <w:tc>
          <w:tcPr>
            <w:tcW w:w="4536" w:type="dxa"/>
            <w:vAlign w:val="top"/>
          </w:tcPr>
          <w:p>
            <w:pPr>
              <w:pStyle w:val="TabelaTexto"/>
              <w:jc w:val="left"/>
            </w:pPr>
            <w:r>
              <w:t xml:space="preserve">Alterações na reserva ovariana e foliculogênese associadas à endometriose</w:t>
            </w:r>
          </w:p>
        </w:tc>
        <w:tc>
          <w:tcPr>
            <w:tcW w:w="1089" w:type="dxa"/>
            <w:vAlign w:val="top"/>
          </w:tcPr>
          <w:p>
            <w:pPr>
              <w:pStyle w:val="TabelaTextoCentro"/>
              <w:jc w:val="center"/>
            </w:pPr>
            <w:r>
              <w:t xml:space="preserve">20</w:t>
            </w:r>
          </w:p>
        </w:tc>
        <w:tc>
          <w:tcPr>
            <w:tcW w:w="1179" w:type="dxa"/>
            <w:vAlign w:val="top"/>
          </w:tcPr>
          <w:p>
            <w:pPr>
              <w:pStyle w:val="TabelaTextoCentro"/>
              <w:jc w:val="center"/>
            </w:pPr>
            <w:r>
              <w:t xml:space="preserve">66,7</w:t>
            </w:r>
          </w:p>
        </w:tc>
        <w:tc>
          <w:tcPr>
            <w:tcW w:w="2268" w:type="dxa"/>
            <w:vAlign w:val="top"/>
          </w:tcPr>
          <w:p>
            <w:pPr>
              <w:pStyle w:val="TabelaTextoCentro"/>
              <w:jc w:val="center"/>
            </w:pPr>
            <w:r>
              <w:t xml:space="preserve">[1-7,13-18,24-30]</w:t>
            </w:r>
          </w:p>
        </w:tc>
      </w:tr>
      <w:tr>
        <w:trPr>
          <w:cantSplit/>
        </w:trPr>
        <w:tc>
          <w:tcPr>
            <w:tcW w:w="4536" w:type="dxa"/>
            <w:vAlign w:val="top"/>
          </w:tcPr>
          <w:p>
            <w:pPr>
              <w:pStyle w:val="TabelaTexto"/>
              <w:jc w:val="left"/>
            </w:pPr>
            <w:r>
              <w:t xml:space="preserve">Impacto na qualidade ovocitária e embrionária</w:t>
            </w:r>
          </w:p>
        </w:tc>
        <w:tc>
          <w:tcPr>
            <w:tcW w:w="1089" w:type="dxa"/>
            <w:vAlign w:val="top"/>
          </w:tcPr>
          <w:p>
            <w:pPr>
              <w:pStyle w:val="TabelaTextoCentro"/>
              <w:jc w:val="center"/>
            </w:pPr>
            <w:r>
              <w:t xml:space="preserve">6</w:t>
            </w:r>
          </w:p>
        </w:tc>
        <w:tc>
          <w:tcPr>
            <w:tcW w:w="1179" w:type="dxa"/>
            <w:vAlign w:val="top"/>
          </w:tcPr>
          <w:p>
            <w:pPr>
              <w:pStyle w:val="TabelaTextoCentro"/>
              <w:jc w:val="center"/>
            </w:pPr>
            <w:r>
              <w:t xml:space="preserve">20,0</w:t>
            </w:r>
          </w:p>
        </w:tc>
        <w:tc>
          <w:tcPr>
            <w:tcW w:w="2268" w:type="dxa"/>
            <w:vAlign w:val="top"/>
          </w:tcPr>
          <w:p>
            <w:pPr>
              <w:pStyle w:val="TabelaTextoCentro"/>
              <w:jc w:val="center"/>
            </w:pPr>
            <w:r>
              <w:t xml:space="preserve">[8,11,19-22]</w:t>
            </w:r>
          </w:p>
        </w:tc>
      </w:tr>
      <w:tr>
        <w:trPr>
          <w:cantSplit/>
        </w:trPr>
        <w:tc>
          <w:tcPr>
            <w:tcW w:w="4536" w:type="dxa"/>
            <w:vAlign w:val="top"/>
          </w:tcPr>
          <w:p>
            <w:pPr>
              <w:pStyle w:val="TabelaTexto"/>
              <w:jc w:val="left"/>
            </w:pPr>
            <w:r>
              <w:t xml:space="preserve">Disfunções na receptividade endometrial e implantação</w:t>
            </w:r>
          </w:p>
        </w:tc>
        <w:tc>
          <w:tcPr>
            <w:tcW w:w="1089" w:type="dxa"/>
            <w:vAlign w:val="top"/>
          </w:tcPr>
          <w:p>
            <w:pPr>
              <w:pStyle w:val="TabelaTextoCentro"/>
              <w:jc w:val="center"/>
            </w:pPr>
            <w:r>
              <w:t xml:space="preserve">1</w:t>
            </w:r>
          </w:p>
        </w:tc>
        <w:tc>
          <w:tcPr>
            <w:tcW w:w="1179" w:type="dxa"/>
            <w:vAlign w:val="top"/>
          </w:tcPr>
          <w:p>
            <w:pPr>
              <w:pStyle w:val="TabelaTextoCentro"/>
              <w:jc w:val="center"/>
            </w:pPr>
            <w:r>
              <w:t xml:space="preserve">3,3</w:t>
            </w:r>
          </w:p>
        </w:tc>
        <w:tc>
          <w:tcPr>
            <w:tcW w:w="2268" w:type="dxa"/>
            <w:vAlign w:val="top"/>
          </w:tcPr>
          <w:p>
            <w:pPr>
              <w:pStyle w:val="TabelaTextoCentro"/>
              <w:jc w:val="center"/>
            </w:pPr>
            <w:r>
              <w:t xml:space="preserve">[23]</w:t>
            </w:r>
          </w:p>
        </w:tc>
      </w:tr>
      <w:tr>
        <w:trPr>
          <w:cantSplit/>
        </w:trPr>
        <w:tc>
          <w:tcPr>
            <w:tcW w:w="4536" w:type="dxa"/>
            <w:vAlign w:val="top"/>
          </w:tcPr>
          <w:p>
            <w:pPr>
              <w:pStyle w:val="TabelaTexto"/>
              <w:jc w:val="left"/>
            </w:pPr>
            <w:r>
              <w:t xml:space="preserve">Mecanismos inflamatórios e endócrinos no eixo hipotálamo-hipófise-ovário</w:t>
            </w:r>
          </w:p>
        </w:tc>
        <w:tc>
          <w:tcPr>
            <w:tcW w:w="1089" w:type="dxa"/>
            <w:vAlign w:val="top"/>
          </w:tcPr>
          <w:p>
            <w:pPr>
              <w:pStyle w:val="TabelaTextoCentro"/>
              <w:jc w:val="center"/>
            </w:pPr>
            <w:r>
              <w:t xml:space="preserve">3</w:t>
            </w:r>
          </w:p>
        </w:tc>
        <w:tc>
          <w:tcPr>
            <w:tcW w:w="1179" w:type="dxa"/>
            <w:vAlign w:val="top"/>
          </w:tcPr>
          <w:p>
            <w:pPr>
              <w:pStyle w:val="TabelaTextoCentro"/>
              <w:jc w:val="center"/>
            </w:pPr>
            <w:r>
              <w:t xml:space="preserve">10,0</w:t>
            </w:r>
          </w:p>
        </w:tc>
        <w:tc>
          <w:tcPr>
            <w:tcW w:w="2268" w:type="dxa"/>
            <w:vAlign w:val="top"/>
          </w:tcPr>
          <w:p>
            <w:pPr>
              <w:pStyle w:val="TabelaTextoCentro"/>
              <w:jc w:val="center"/>
            </w:pPr>
            <w:r>
              <w:t xml:space="preserve">[9,10,12]</w:t>
            </w:r>
          </w:p>
        </w:tc>
      </w:tr>
      <w:tr>
        <w:trPr>
          <w:cantSplit/>
        </w:trPr>
        <w:tc>
          <w:tcPr>
            <w:tcW w:w="4536" w:type="dxa"/>
            <w:vAlign w:val="top"/>
          </w:tcPr>
          <w:p>
            <w:pPr>
              <w:pStyle w:val="TabelaTexto"/>
              <w:jc w:val="left"/>
            </w:pPr>
            <w:r>
              <w:rPr>
                <w:b/>
              </w:rPr>
              <w:t xml:space="preserve">Total</w:t>
            </w:r>
          </w:p>
        </w:tc>
        <w:tc>
          <w:tcPr>
            <w:tcW w:w="1089" w:type="dxa"/>
            <w:vAlign w:val="top"/>
          </w:tcPr>
          <w:p>
            <w:pPr>
              <w:pStyle w:val="TabelaTextoCentro"/>
              <w:jc w:val="center"/>
            </w:pPr>
            <w:r>
              <w:rPr>
                <w:b/>
              </w:rPr>
              <w:t xml:space="preserve">30</w:t>
            </w:r>
          </w:p>
        </w:tc>
        <w:tc>
          <w:tcPr>
            <w:tcW w:w="1179" w:type="dxa"/>
            <w:vAlign w:val="top"/>
          </w:tcPr>
          <w:p>
            <w:pPr>
              <w:pStyle w:val="TabelaTextoCentro"/>
              <w:jc w:val="center"/>
            </w:pPr>
            <w:r>
              <w:rPr>
                <w:b/>
              </w:rPr>
              <w:t xml:space="preserve">100,0</w:t>
            </w:r>
          </w:p>
        </w:tc>
        <w:tc>
          <w:tcPr>
            <w:tcW w:w="2268" w:type="dxa"/>
            <w:vAlign w:val="top"/>
          </w:tcPr>
          <w:p>
            <w:pPr>
              <w:pStyle w:val="TabelaTextoCentro"/>
              <w:jc w:val="center"/>
            </w:pPr>
            <w:r>
              <w:t xml:space="preserve">—</w:t>
            </w:r>
          </w:p>
        </w:tc>
      </w:tr>
    </w:tbl>
    <w:p>
      <w:pPr>
        <w:pStyle w:val="Fonte"/>
      </w:pPr>
      <w:r>
        <w:t xml:space="preserve">Fonte: Elaborado pelos autores (2026).</w:t>
      </w:r>
    </w:p>
    <w:p>
      <w:pPr>
        <w:pStyle w:val="Fonte"/>
        <w:spacing w:after="240"/>
      </w:pPr>
      <w:r>
        <w:t xml:space="preserve">Nota: cada estudo foi alocado a um único eixo, o predominante na sua análise.</w:t>
      </w:r>
    </w:p>
    <w:p>
      <w:pPr>
        <w:pStyle w:val="Titulo1"/>
      </w:pPr>
      <w:r>
        <w:rPr>
          <w:b/>
        </w:rPr>
        <w:t xml:space="preserve">4 Discussão</w:t>
      </w:r>
    </w:p>
    <w:p>
      <w:pPr>
        <w:pStyle w:val="Titulo2"/>
      </w:pPr>
      <w:r>
        <w:rPr>
          <w:b/>
        </w:rPr>
        <w:t xml:space="preserve">4.1 Interpretação dos principais achados</w:t>
      </w:r>
    </w:p>
    <w:p>
      <w:pPr>
        <w:pStyle w:val="Normal"/>
      </w:pPr>
      <w:r>
        <w:t xml:space="preserve">Os achados desta revisão sugerem que o comprometimento do eixo reprodutivo feminino pela endometriose decorre de múltiplas vias convergentes na redução da reserva ovariana e na disfunção da foliculogênese. Investigações desenvolvidas na América Latina e na Europa indicam que mulheres acometidas, sobretudo nos estágios III e IV, apresentam concentrações significativamente menores de hormônio antimülleriano (HAM) e contagem de folículos antrais (CFA) reduzida em comparação àquelas com outras etiologias de infertilidade [1,15,16,28]. Na coorte prospectiva mexicana com 178 participantes, registraram-se valores de HAM de 1,6 ± 1,3 ng/mL no grupo com endometriose estágio III-IV frente a 2,5 ± 1,4 ng/mL no grupo controle (p &lt; 0,005), acompanhados por CFA de 11,4 ± 8,3 versus 17,5 ± 10,3 (p &lt; 0,001) [1]. Em padrão convergente, análise transversal brasileira com 48 prontuários identificou mediana de HAM de 0,66 ng/mL entre mulheres com anticorpos antitireoidianos positivos e 1,37 ng/mL nas soronegativas; a variação não alcançou significância estatística (p = 0,09), revelando tendência a níveis inferiores no grupo soropositivo [3]. Observa-se manifestação consistente dessa associação, conquanto sua magnitude varie segundo o subtipo e a extensão da doença.</w:t>
      </w:r>
    </w:p>
    <w:p>
      <w:pPr>
        <w:pStyle w:val="Normal"/>
      </w:pPr>
      <w:r>
        <w:t xml:space="preserve">A resposta ovariana à estimulação controlada também se mostra comprometida. Coortes retrospectivas documentaram menor número de oócitos recuperados e de oócitos em metáfase II em mulheres com endometriose, especialmente naquelas com histórico de cistectomia prévia [17,23,26,29,30]. Em estudo com 3.517 pacientes, a incidência de reserva ovariana diminuída (HAM &lt; 1,1 ng/mL) foi significativamente maior no grupo cirúrgico (26,23%) do que nos grupos não cirúrgico (12,90%) e controle (13,56%) [23]. A coorte mexicana corroborou esses achados ao demonstrar menor número de folículos totais (16,2 ± 8,8 versus 23,1 ± 9,7; p &lt; 0,001) e de oócitos recuperados (7,3 ± 5,1 versus 10,4 ± 4,6; p &lt; 0,001) no grupo com endometriose estágio III-IV [1]. Os dados indicam que a depleção da reserva folicular se traduz em pior rendimento na estimulação, embora os desfechos reprodutivos finais nem sempre acompanhem diretamente esse declínio.</w:t>
      </w:r>
    </w:p>
    <w:p>
      <w:pPr>
        <w:pStyle w:val="Normal"/>
      </w:pPr>
      <w:r>
        <w:t xml:space="preserve">A qualidade ovocitária e embrionária configura eixo adicional de comprometimento. Ensaio experimental demonstrou que o fluido folicular de mulheres com endometriose leve reduziu a taxa de eclosão de blastocistos bovinos (12,5% versus 42,1% no grupo sem fluido folicular; p = 0,029), com reversão após adição de N-acetil-cisteína (44,4%; p = 0,02), evidenciando o envolvimento do estresse oxidativo intrafolicular [5]. Análise de </w:t>
      </w:r>
      <w:r>
        <w:rPr>
          <w:i/>
        </w:rPr>
        <w:t xml:space="preserve">single-cell dual-omics</w:t>
      </w:r>
      <w:r>
        <w:t xml:space="preserve"> em oócitos humanos identificou perturbações significativas na atividade translacional global de pacientes com endometriose ovariana, com vias de estresse oxidativo, meiose ovocitária e spliceossomo associadas à queda da competência gamética [22]. Ademais, análise de 92 ciclos de ICSI verificou que o índice de qualidade ovocitária foi significativamente superior no grupo com endometrioma (1,50) frente ao grupo com infertilidade inexplicada (1,00; p = 0,037), mas equivalente ao grupo com baixa reserva ovariana (1,42), com correlação inversa entre HAM e qualidade gamética (r = -0,242; p = 0,02) [18]. Tais evidências sugerem que a diminuição da reserva folicular, em sinergia com o microambiente local, atua como elemento crítico na competência ovocitária.</w:t>
      </w:r>
    </w:p>
    <w:p>
      <w:pPr>
        <w:pStyle w:val="Normal"/>
      </w:pPr>
      <w:r>
        <w:t xml:space="preserve">Quanto à receptividade endometrial e à taxa de implantação, as evidências revelam-se menos uniformes. Coorte retrospectiva francesa não identificou diferenças estatisticamente significantes nas taxas de gravidez em curso entre mulheres com e sem endometriose, embora as taxas cumulativas por casal tenham sido menores no grupo com acometimento profundo (p &lt; 0,05) [28]. Paralelamente, estudo com 625 pacientes submetidas a teste genético pré-implantação relatou taxas equivalentes de nascido vivo, gravidez clínica e abortamento, contrastando com proporção significativamente maior de aneuploidias nos blastocistos originados de mulheres com endometriose (p = 0,012) [27]. Esses achados apontam para um impacto preponderante sobre a competência ovocitária e embrionária inicial, exercendo repercussão secundária na receptividade endometrial quando embriões cromossomicamente normais são transferidos.</w:t>
      </w:r>
    </w:p>
    <w:p>
      <w:pPr>
        <w:pStyle w:val="Titulo2"/>
      </w:pPr>
      <w:r>
        <w:rPr>
          <w:b/>
        </w:rPr>
        <w:t xml:space="preserve">4.2 Diálogo crítico entre os estudos</w:t>
      </w:r>
    </w:p>
    <w:p>
      <w:pPr>
        <w:pStyle w:val="Normal"/>
      </w:pPr>
      <w:r>
        <w:t xml:space="preserve">A comparação entre as coortes revela convergência quanto à redução da reserva ovariana, acompanhada de divergências nos desfechos reprodutivos finais. Séries retrospectivas registraram taxas de gravidez clínica inferiores em pacientes com endometriose ou histórico de intervenção cirúrgica prévia quando comparadas àquelas com fator tubário isolado [21,26,29,30]. Em contrapartida, investigações clínicas não observaram diferenças na qualidade embrionária graduada, nas taxas de implantação ou na taxa de nascido vivo em portadoras de endometriose peritoneal ou em estágios iniciais [2,25]. Essa discrepância decorre, substancialmente, da heterogeneidade clínica e dos diferentes estadiamentos incluídos: coortes focadas em endometriomas bilaterais ou endometriose profunda com reserva diminuída concentram os piores desfechos [21,23,26], ao passo que amostras restritas a lesões superficiais exibem rendimento gestacional preservado [2,25].</w:t>
      </w:r>
    </w:p>
    <w:p>
      <w:pPr>
        <w:pStyle w:val="Normal"/>
      </w:pPr>
      <w:r>
        <w:t xml:space="preserve">O fenótipo da lesão introduz variações expressivas nas respostas biológicas. Em amostras com acometimento peritoneal superficial, identificou-se HAM sérico significativamente menor frente aos controles (p = 0,009), paralelamente a concentrações peritoneais aumentadas de IL-17, TNF-α e IL-23 [20]. Esse dado contraria a premissa de que exclusivamente as massas ovarianas císticas comprometeriam o patrimônio folicular, sugerindo dano mediado por cascatas pró-inflamatórias parácrinas e sistêmicas. Todavia, a quantificação da atividade inflamatória sistêmica esbarra em inconsistências metodológicas substanciais entre os trabalhos. Constata-se discrepância crítica no reporte das unidades de proteína C-reativa (PCR): enquanto centros relataram limiares de corte de 8,2 mg/L, coortes latino-americanas utilizaram 10 mg/dL como referência de positividade inflamatória. A conversão de 10 mg/dL resulta em 100 mg/L, refletindo um limiar inflamatório doze vezes superior ao padrão de 8,2 mg/L. Essa disparidade não apenas traduz fenômenos fisiopatológicos qualitativamente distintos, mas introduz viés de medição considerável, inviabilizando comparações diretas de sensibilidade diagnóstica entre as populações avaliadas.</w:t>
      </w:r>
    </w:p>
    <w:p>
      <w:pPr>
        <w:pStyle w:val="Normal"/>
      </w:pPr>
      <w:r>
        <w:t xml:space="preserve">A caracterização geográfica e populacional também demanda refinamento crítico. Em revisões preliminares, a proveniência geográfica de cinco estudos havia sido inferida a partir do país-sede do periódico de indexação, conduta que pode mascarar as características reais das coortes. A leitura integral dos textos permitiu confirmar que a totalidade das amostras deve ser classificada estritamente conforme a localização dos centros hospitalares executores; onde tal dado não constava de modo transparente no corpo do texto, assume-se a ausência de confirmação como limitação estrita de reporte dos artigos originais. Quando contrastados, dados latino-americanos demonstram busca tardia por assistência e elevada carga sintomática: coorte venezuelana registrou prevalência de infertilidade de 97,83% entre pacientes diagnosticadas, elevando em 6,65 vezes o risco desse desfecho [4], ao passo que estudo brasileiro com 227 pacientes identificou 43,8% de infertilidade associada a altas taxas de dismenorreia grave (84,7%) e dor pélvica crônica [11].</w:t>
      </w:r>
    </w:p>
    <w:p>
      <w:pPr>
        <w:pStyle w:val="Normal"/>
      </w:pPr>
      <w:r>
        <w:t xml:space="preserve">A tomada de decisão entre intervenção cirúrgica e protocolos farmacológicos de reprodução assistida delineia outro nó crítico. Em mulheres com endometriose e baixa reserva ovariana, o protocolo ultralongo de estimulação com agonista de GnRH associou-se a taxa cumulativa de nascido vivo significativamente superior (48,5%) frente aos protocolos longo (OR: 0,577; p = 0,042), curto (OR: 0,608; p = 0,028) e flexível com antagonista (OR: 0,486; p = 0,004) [17]. No manejo do endometrioma ovariano ≥ 4 cm, a escleroterapia com etanol proporcionou maior taxa de nascido vivo cumulativa (65%) e menor perda de parênquima folicular em relação à cistectomia laparoscópica convencional (29%) e à conduta expectante (30,8%) [24]. Adicionalmente, faz-se premente diferenciar os desfechos primários cirúrgicos reportados na literatura: estudos que avaliam a conversão para cirurgia aberta mensuram incapacidade de progressão por distorção anatômica extrema ou hemorragia, enquanto análises focadas em colecistectomia subtotal ou tempo operatório prolongado refletem graus variáveis de dificuldade técnica intraoperatória e aderências firmes. A coalescência indevida desses desfechos distorce a mensuração da segurança cirúrgica e dos riscos reprodutivos subsequentes.</w:t>
      </w:r>
    </w:p>
    <w:p>
      <w:pPr>
        <w:pStyle w:val="Titulo2"/>
      </w:pPr>
      <w:r>
        <w:rPr>
          <w:b/>
        </w:rPr>
        <w:t xml:space="preserve">4.3 Limitações</w:t>
      </w:r>
    </w:p>
    <w:p>
      <w:pPr>
        <w:pStyle w:val="Normal"/>
      </w:pPr>
      <w:r>
        <w:t xml:space="preserve">Esta revisão apresenta limitações decorrentes da variabilidade dos delineamentos primários recuperados, caracterizados pela predominância de desenhos observacionais retrospectivos e unicêntricos propensos a vieses de seleção. A expressiva heterogeneidade na definição operacional dos desfechos — com estudos focando conversão cirúrgica e outros registrando dificuldade técnica ou ressecção subtotal — somada às divergências laboratoriais na padronização de ensaios e unidades (como na PCR em mg/L versus mg/dL) impediu a síntese quantitativa por metanálise. Reconhece-se ainda o viés potencial decorrente da inferência inicial do país de origem em cinco publicações pela sede editorial do periódico; embora a leitura completa tenha esclarecido a vinculação institucional da maioria, a incompletude nos registros dos centros de atendimento em estudos específicos restringiu a estratificação epidemiológica definitiva.</w:t>
      </w:r>
    </w:p>
    <w:p>
      <w:pPr>
        <w:pStyle w:val="Titulo2"/>
      </w:pPr>
      <w:r>
        <w:rPr>
          <w:b/>
        </w:rPr>
        <w:t xml:space="preserve">4.4 Implicações para a prática e para a pesquisa</w:t>
      </w:r>
    </w:p>
    <w:p>
      <w:pPr>
        <w:pStyle w:val="Normal"/>
      </w:pPr>
      <w:r>
        <w:t xml:space="preserve">A totalidade das evidências sugere que a reserva folicular deve ser precocemente estratificada por meio de HAM e CFA em mulheres em idade reprodutiva portadoras de endometriose, prioritariamente perante estadiamentos moderados a avançados e endometriomas [1,15,16,23]. A cistectomia ovariana sistemática antes de procedimentos de reprodução assistida requer indicação criteriosa, haja vista o risco documentado de exérese inadvertida de parênquima são e declínio expressivo do rendimento ovocitário [19,23,24]. Estratégias conservadoras, como a escleroterapia ecoguiada com etanol, e protocolos de estimulação adaptados (notadamente o protocolo ultralongo) representam vias promissoras para otimizar os desfechos reprodutivos em pacientes com reserva limítrofe [17,24].</w:t>
      </w:r>
    </w:p>
    <w:p>
      <w:pPr>
        <w:pStyle w:val="Normal"/>
      </w:pPr>
      <w:r>
        <w:t xml:space="preserve">Para futuras investigações, é fundamental o delineamento de coortes prospectivas multicêntricas orientadas por padronização rigorosa de unidades laboratoriais, definições unívocas de desfechos clínicos e operacionais e descrição clara dos centros hospitalares de proveniência. Persiste a premência de investigar as vias imunológicas e translacionais que deflagram a disfunção ovocitária na endometriose superficial, bem como a avaliação longitudinal do impacto das abordagens precoces sobre a reserva folicular a longo prazo [5,20,22].</w:t>
      </w:r>
    </w:p>
    <w:p>
      <w:pPr>
        <w:pStyle w:val="Titulo1"/>
      </w:pPr>
      <w:r>
        <w:rPr>
          <w:b/>
        </w:rPr>
        <w:t xml:space="preserve">5 Conclusão</w:t>
      </w:r>
    </w:p>
    <w:p>
      <w:pPr>
        <w:pStyle w:val="Normal"/>
      </w:pPr>
      <w:r>
        <w:t xml:space="preserve">Os achados sintetizados nesta revisão integrativa indicam que a endometriose afeta a integridade do eixo reprodutivo feminino por meio de mecanismos deletérios concorrentes, que convergem para a depleção da reserva ovariana e o prejuízo funcional da foliculogênese. Infere-se que o estresse oxidativo no microambiente folicular e as alterações transcriptômicas oocitárias comprometam a competência biológica dos gametas e elevem a suscetibilidade a aneuploidias embrionárias, repercutindo na redução da resposta à estimulação ovariana controlada e na diminuição do número de oócitos maduros recuperados, notadamente nos estadiamentos moderados a graves.</w:t>
      </w:r>
    </w:p>
    <w:p>
      <w:pPr>
        <w:pStyle w:val="Normal"/>
      </w:pPr>
      <w:r>
        <w:t xml:space="preserve">Paralelamente, os parâmetros de fertilidade mostram-se influenciados pelas intervenções terapêuticas prévias e pela magnitude do acometimento anatômico. Sugere-se que abordagens cirúrgicas excisionais no parênquima ovariano acentuem a perda folicular e aumentem a frequência de baixa reserva ovariana, ao passo que a adoção de estratégias farmacológicas adequadas ou técnicas intervencionistas conservadoras pode mitigar os danos à foliculogênese e modular positivamente as taxas cumulativas de nascidos vivos.</w:t>
      </w:r>
    </w:p>
    <w:p>
      <w:pPr>
        <w:pStyle w:val="Titulo1"/>
        <w:jc w:val="center"/>
      </w:pPr>
      <w:r>
        <w:rPr>
          <w:b/>
        </w:rPr>
        <w:t xml:space="preserve">Referências</w:t>
      </w:r>
    </w:p>
    <w:p>
      <w:pPr>
        <w:pStyle w:val="Referencia"/>
      </w:pPr>
      <w:r>
        <w:t xml:space="preserve">1. Molina Rodríguez R. Epidemiologia, clínica y evolución en pacientes con endometriosis. Rev Obstet Ginecol Venez. 2024;84(3):299-306. doi:10.51288/00840311.</w:t>
      </w:r>
    </w:p>
    <w:p>
      <w:pPr>
        <w:pStyle w:val="Referencia"/>
      </w:pPr>
      <w:r>
        <w:t xml:space="preserve">2. Pontes CFR, Chamié LP, Aguiar MM, Silva EJC, Leite DFB, Silva SALC, et al. Endometriose profunda: achados clínicos e epidemiológicos de mulheres diagnosticadas segundo critérios do International Deep Endometriosis Analysis Group (IDEA). Rev Bras Crescimento Desenvolv Hum. 2022;32(2):223-231. doi:10.36311/jhgd.v32.13312.</w:t>
      </w:r>
    </w:p>
    <w:p>
      <w:pPr>
        <w:pStyle w:val="Referencia"/>
      </w:pPr>
      <w:r>
        <w:t xml:space="preserve">3. Bonachea-Peña RR, Rodríguez-Arozarena C, González-Coca DB, Rodríguez-Chamizo C, Bonachea-Rodríguez M. Dolor pélvico crónico en mujeres. Arch Med Camaguey. 2021;25(4). Disponível em: http://scielo.sld.cu/scielo.php?script=sci_arttext&amp;pid=S1025-02552021000400006 [citado 2026 set 28]</w:t>
      </w:r>
    </w:p>
    <w:p>
      <w:pPr>
        <w:pStyle w:val="Referencia"/>
      </w:pPr>
      <w:r>
        <w:t xml:space="preserve">4. Cardozo-Henríquez V, Ávila-Berardi F, Cardozo-Belisario L, Rodríguez-Roque S. Endometriosis como causa de infertilidad. Rev Obstet Ginecol Venez. 2025;85(1):52-58. Disponível em: http://www.scielo.org.ve/scielo.php?script=sci_arttext&amp;pid=S0048-77322025000100052 [citado 2026 set 28]</w:t>
      </w:r>
    </w:p>
    <w:p>
      <w:pPr>
        <w:pStyle w:val="Referencia"/>
      </w:pPr>
      <w:r>
        <w:t xml:space="preserve">5. Pereira JO, Kulak Junior J. Exploring endometriosis before surgical treatment: unraveling pain, sexual function and quality of life patterns. Rev Bras Ginecol Obstet. 2025;47. doi:10.61622/rbgo/2025rbgo47.</w:t>
      </w:r>
    </w:p>
    <w:p>
      <w:pPr>
        <w:pStyle w:val="Referencia"/>
      </w:pPr>
      <w:r>
        <w:t xml:space="preserve">6. Nogueira Neto J, Melo VG, Lima LCS, Mendes ABC, Barreto FN, Gomes LMRS, et al. The impact of videolaparoscopic surgery in the treatment of endometriosis on depression levels. Rev Assoc Med Bras (1992). 2024;70(7). doi:10.1590/1806-9282.20231651.</w:t>
      </w:r>
    </w:p>
    <w:p>
      <w:pPr>
        <w:pStyle w:val="Referencia"/>
      </w:pPr>
      <w:r>
        <w:t xml:space="preserve">7. Sousa TL, Silva RM, Ribeiro LB, Pontes SS. O conhecimento de mulheres portadora de endometriose sobre a doença e o planejamento familiar. REVISA (Online). 2021;10(2):379-387. Disponível em: https://pesquisa.bvsalud.org/portal/resource/pt/biblio-1253819 [citado 2026 set 28]</w:t>
      </w:r>
    </w:p>
    <w:p>
      <w:pPr>
        <w:pStyle w:val="Referencia"/>
      </w:pPr>
      <w:r>
        <w:t xml:space="preserve">8. Giorgi VSI, Ferriani RA, Navarro PA. Fluido folicular de mulheres inférteis com endometriose leve prejudica o desenvolvimento in vitro de embriões bovinos: Potencial papel do estresse oxidativo. Rev Bras Ginecol Obstet. 2021;43(2):119-125. doi:10.1055/s-0040-1718443.</w:t>
      </w:r>
    </w:p>
    <w:p>
      <w:pPr>
        <w:pStyle w:val="Referencia"/>
      </w:pPr>
      <w:r>
        <w:t xml:space="preserve">9. Akay A, Dilbaz B, Engin-Üstün Y. Comparison of serum markers of inflammation in endometrioma and benign ovarian cysts. Rev Bras Ginecol Obstet. 2025;47. doi:10.61622/rbgo/2025rbgo58.</w:t>
      </w:r>
    </w:p>
    <w:p>
      <w:pPr>
        <w:pStyle w:val="Referencia"/>
      </w:pPr>
      <w:r>
        <w:t xml:space="preserve">10. Griffiths MJ, Brown ME, Gibson DA, Collins F, Dunlop CE, Saunders PTK, et al. Anti-Müllerian hormone decreased in women with superficial peritoneal endometriosis and associated with an elevated inflammatory profile. Reprod Fertil. 2026;7(2):RAF250127. doi:10.1530/RAF-25-0127. PMID: 42160260.</w:t>
      </w:r>
    </w:p>
    <w:p>
      <w:pPr>
        <w:pStyle w:val="Referencia"/>
      </w:pPr>
      <w:r>
        <w:t xml:space="preserve">11. Diao X, Huang J, Xiang R, Zhuang S, Liang Q, Liang X, et al. Single-cell dual-omics reveals translational and transcriptional landscapes and regulations in oocytes from ovarian endometriosis patients. Front Endocrinol (Lausanne). 2025;16:1534648. doi:10.3389/fendo.2025.1534648. PMID: 40034233.</w:t>
      </w:r>
    </w:p>
    <w:p>
      <w:pPr>
        <w:pStyle w:val="Referencia"/>
      </w:pPr>
      <w:r>
        <w:t xml:space="preserve">12. Bianco B, Loureiro FA, Trevisan CM, Christofolini DM, Laganà AS, Barbosa CP. Implication of FSHB rs10835638 variant in endometriosis in Brazilian women. Einstein (Sao Paulo). 2023;21. doi:10.31744/einstein_journal/2023ao0483.</w:t>
      </w:r>
    </w:p>
    <w:p>
      <w:pPr>
        <w:pStyle w:val="Referencia"/>
      </w:pPr>
      <w:r>
        <w:t xml:space="preserve">13. Souza ASR, Ferreira MER, Gomes RC, Rios SV, Chacon VO, Viana MAB, et al. Endometriosis, autoimmunity and ovarian reserve: a research note. Rev Bras Saude Mater Infant. 2025;25. doi:10.1590/1806-9304202520240276-en.</w:t>
      </w:r>
    </w:p>
    <w:p>
      <w:pPr>
        <w:pStyle w:val="Referencia"/>
      </w:pPr>
      <w:r>
        <w:t xml:space="preserve">14. Sorvia Naveda KD, Barros Delgadillo JC, Espino y Sosa S. Efecto de la endometriosis etapa III-IV en ciclos de reproducción asistida: FIV e ICSI. Ginecol Obstet Mex. 2024;92(12):501-509. Disponível em: https://www.scielo.org.mx/scielo.php?script=sci_arttext&amp;pid=S0300-90412024001200501 [citado 2026 set 28]</w:t>
      </w:r>
    </w:p>
    <w:p>
      <w:pPr>
        <w:pStyle w:val="Referencia"/>
      </w:pPr>
      <w:r>
        <w:t xml:space="preserve">15. Valenti M, Schliep KC, Paulsen M, Hemmert RB, Peterson CM, Furlong MA, et al. Incident endometriosis diagnosis and AMH: how surgical staging and typology relate to serum AMH levels. Am J Obstet Gynecol. 2026;234(5):1450-1458. doi:10.1016/j.ajog.2025.12.070. PMID: 41519422.</w:t>
      </w:r>
    </w:p>
    <w:p>
      <w:pPr>
        <w:pStyle w:val="Referencia"/>
      </w:pPr>
      <w:r>
        <w:t xml:space="preserve">16. Farland LV, Valenti M, Degnan WJ, Bertone-Johnson ER, Harris HR, DiVasta AD, et al. Laparoscopically confirmed endometriosis and anti-Müllerian hormone levels: Findings from the Nurses' Health Study II. Maturitas. 2024;183:107969. doi:10.1016/j.maturitas.2024.107969. PMID: 38489917.</w:t>
      </w:r>
    </w:p>
    <w:p>
      <w:pPr>
        <w:pStyle w:val="Referencia"/>
      </w:pPr>
      <w:r>
        <w:t xml:space="preserve">17. Lu R, Jiao W, Li X, Zeng C, Shang J, Xue Q. Ovarian endometriosis negatively impacts pregnancy outcomes in young infertile women undergoing IVF/ICSI treatment. Eur J Med Res. 2025;30(1):555. doi:10.1186/s40001-025-02816-9. PMID: 40604864.</w:t>
      </w:r>
    </w:p>
    <w:p>
      <w:pPr>
        <w:pStyle w:val="Referencia"/>
      </w:pPr>
      <w:r>
        <w:t xml:space="preserve">18. Zhang F, Chen Y, Lv C, Ni F, Yan L, Song J. A retrospective cohort study comparing controlled ovarian stimulation protocols for IVF/ICSI in women with endometriosis and diminished ovarian reserve. Front Endocrinol (Lausanne). 2026;17:1879193. doi:10.3389/fendo.2026.1879193. PMID: 42666230.</w:t>
      </w:r>
    </w:p>
    <w:p>
      <w:pPr>
        <w:pStyle w:val="Referencia"/>
      </w:pPr>
      <w:r>
        <w:t xml:space="preserve">19. Haque A, Primariawan RJ, Hendarto H. Comparison of success rates in early stages of in vitro fertilization (IVF) in women with and without endometriosis. Narra J. 2024;4(3):e1019. doi:10.52225/narra.v4i3.1019. PMID: 39816123.</w:t>
      </w:r>
    </w:p>
    <w:p>
      <w:pPr>
        <w:pStyle w:val="Referencia"/>
      </w:pPr>
      <w:r>
        <w:t xml:space="preserve">20. Qu H, Lv H, Kang Y, Yan L, Du Y. Reproductive outcomes of single frozen-thawed embryo transfer in patients with endometriosis after preimplantation genetic testing. J Assist Reprod Genet. 2024;41(2):429-435. doi:10.1007/s10815-023-02996-5. PMID: 38079077.</w:t>
      </w:r>
    </w:p>
    <w:p>
      <w:pPr>
        <w:pStyle w:val="Referencia"/>
      </w:pPr>
      <w:r>
        <w:t xml:space="preserve">21. Park JH, Kim SK, Jee BC. Average oocyte quality index as a method for scoring dysmorphic oocytes in women with ovarian endometrioma undergoing in vitro fertilization and its correlation with ovarian reserve. Clin Exp Reprod Med. 2026;53(3):219-225. doi:10.5653/cerm.2025.08438. PMID: 41560389.</w:t>
      </w:r>
    </w:p>
    <w:p>
      <w:pPr>
        <w:pStyle w:val="Referencia"/>
      </w:pPr>
      <w:r>
        <w:t xml:space="preserve">22. Caran J, Genro VK, Souza CAB, Cunha-Filho JS. Escore embrionário graduado em embriões de mulheres inférteis com e sem endometriose peritoneal. Rev Bras Ginecol Obstet. 2021;43(1):28-34. doi:10.1055/s-0040-1721855.</w:t>
      </w:r>
    </w:p>
    <w:p>
      <w:pPr>
        <w:pStyle w:val="Referencia"/>
      </w:pPr>
      <w:r>
        <w:t xml:space="preserve">23. Morcel K, Merviel P, Bouée S, Le Guillou M, Carlier M, James P, et al. What is the impact of endometriosis and the AFS stage on cumulative pregnancy rates in IVF programs? Reprod Health. 2024;21(1):13. doi:10.1186/s12978-024-01747-8. PMID: 38287446.</w:t>
      </w:r>
    </w:p>
    <w:p>
      <w:pPr>
        <w:pStyle w:val="Referencia"/>
      </w:pPr>
      <w:r>
        <w:t xml:space="preserve">24. Sánchez-Resendis Ó, Ávila-Morales J, Sánchez-Aguilar ÓE, Del Valle-Jiménez JH. Long-term management of pelvic pain with levonorgestrel in women with endometriosis who desire to postpone a future pregnancy and preserve their fertility. Case Series. Ginecol Obstet Mex. 2023;91(5):307-316. Disponível em: https://pesquisa.bvsalud.org/portal/resource/pt/biblio-1506265 [citado 2026 set 28]</w:t>
      </w:r>
    </w:p>
    <w:p>
      <w:pPr>
        <w:pStyle w:val="Referencia"/>
      </w:pPr>
      <w:r>
        <w:t xml:space="preserve">25. Feng Y, Yang X, Chen H, Zhang L, Cui C, Wang L, et al. Direct IVF versus prior laparoscopic cystectomy for ovarian endometrioma ≥4 cm: cumulative live birth rate and implications for fertility preservation - a retrospective cohort study. Front Endocrinol (Lausanne). 2026;17:1851907. doi:10.3389/fendo.2026.1851907. PMID: 42601902.</w:t>
      </w:r>
    </w:p>
    <w:p>
      <w:pPr>
        <w:pStyle w:val="Referencia"/>
      </w:pPr>
      <w:r>
        <w:t xml:space="preserve">26. Li Y, Gong Y, Jiang H, Ji M. Impact of endometriotic cystectomy on ovarian reserve function and ovulation induction outcomes in women with endometriosis undergoing assisted reproductive technology. Front Endocrinol (Lausanne). 2025;16:1687765. doi:10.3389/fendo.2025.1687765. PMID: 41635542.</w:t>
      </w:r>
    </w:p>
    <w:p>
      <w:pPr>
        <w:pStyle w:val="Referencia"/>
      </w:pPr>
      <w:r>
        <w:t xml:space="preserve">27. Şükür YE, Kaplan NB, Aslan B, Akgün N, Özmen B, Sönmezer M, et al. Optimal management of large endometriomas (≥ 4 cm) before IVF: ethanol sclerotherapy, cystectomy, or no intervention? BMC Womens Health. 2025;25(1):507. doi:10.1186/s12905-025-04069-4. PMID: 41121030.</w:t>
      </w:r>
    </w:p>
    <w:p>
      <w:pPr>
        <w:pStyle w:val="Referencia"/>
      </w:pPr>
      <w:r>
        <w:t xml:space="preserve">28. Hernández A, Sanz A, Spagnolo E, Lopez A, Martínez Jorge P, Iniesta S, et al. Impact of Ovarian Endometrioma and Surgery on Reproductive Outcomes: A Single-Center Spanish Cohort Study. Biomedicines. 2023;11(3):844. doi:10.3390/biomedicines11030844. PMID: 36979823.</w:t>
      </w:r>
    </w:p>
    <w:p>
      <w:pPr>
        <w:pStyle w:val="Referencia"/>
      </w:pPr>
      <w:r>
        <w:t xml:space="preserve">29. Nadă ES, Coroleucă CB, Coroleucă CA, Brătilă E. Ovarian Stimulation for In Vitro Fertilization and Reproductive Outcome after Surgical Treatment of Endometriosis Compared with Tubal Factor Infertility. Clin Pract. 2023;14(1):1-12. doi:10.3390/clinpract14010001. PMID: 38391397.</w:t>
      </w:r>
    </w:p>
    <w:p>
      <w:pPr>
        <w:pStyle w:val="Referencia"/>
      </w:pPr>
      <w:r>
        <w:t xml:space="preserve">30. Nadă ES, Coroleucă CA, Coroleucă CB, Brătilă E. Reproductive outcome after in vitro fertilization in endometriosis - key factors and implications. J Med Life. 2024;17(3):334-340. doi:10.25122/jml-2024-0114. PMID: 39044926.</w:t>
      </w:r>
    </w:p>
    <w:p>
      <w:pPr>
        <w:pStyle w:val="Referencia"/>
      </w:pPr>
      <w:r>
        <w:t xml:space="preserve">31. Page MJ, McKenzie JE, Bossuyt PM, Boutron I, Hoffmann TC, Mulrow CD, et al. The PRISMA 2020 statement: an updated guideline for reporting systematic reviews. BMJ. 2021;372:n71. doi:10.1136/bmj.n71. PMID: 33782057.</w:t>
      </w:r>
    </w:p>
    <w:sectPr>
      <w:headerReference w:type="default" r:id="rIdCabecalho"/>
      <w:pgSz w:w="11906" w:h="16838"/>
      <w:pgMar w:top="1701" w:right="1134" w:bottom="1134" w:left="1701" w:header="709" w:footer="709" w:gutter="0"/>
    </w:sectPr>
  </w:body>
</w:document>
</file>

<file path=word/header1.xml><?xml version="1.0" encoding="utf-8"?>
<w:hdr xmlns:w="http://schemas.openxmlformats.org/wordprocessingml/2006/main">
  <w:p>
    <w:pPr>
      <w:jc w:val="right"/>
      <w:ind w:firstLine="0"/>
    </w:pPr>
    <w:r>
      <w:fldChar w:fldCharType="begin"/>
    </w:r>
    <w:r>
      <w:instrText xml:space="preserve"> PAGE </w:instrText>
    </w:r>
    <w:r>
      <w:fldChar w:fldCharType="separate"/>
    </w:r>
    <w:r>
      <w:t>1</w:t>
    </w:r>
    <w:r>
      <w:fldChar w:fldCharType="end"/>
    </w:r>
  </w:p>
</w:hdr>
</file>

<file path=word/settings.xml><?xml version="1.0" encoding="utf-8"?>
<w:settings xmlns:w="http://schemas.openxmlformats.org/wordprocessingml/2006/main">
  <w:autoHyphenation/>
  <w:consecutiveHyphenLimit w:val="2"/>
  <w:hyphenationZone w:val="357"/>
  <w:defaultTabStop w:val="709"/>
  <w:characterSpacingControl w:val="doNotCompress"/>
  <w:themeFontLang w:val="pt-BR"/>
</w:settings>
</file>

<file path=word/styles.xml><?xml version="1.0" encoding="utf-8"?>
<w:styles xmlns:w="http://schemas.openxmlformats.org/wordprocessingml/2006/main">
  <w:docDefaults>
    <w:rPrDefault>
      <w:rPr>
        <w:rFonts w:ascii="Times New Roman" w:hAnsi="Times New Roman" w:cs="Times New Roman" w:eastAsia="Times New Roman"/>
        <w:sz w:val="24"/>
        <w:szCs w:val="24"/>
        <w:lang w:val="pt-BR" w:eastAsia="pt-BR" w:bidi="ar-SA"/>
      </w:rPr>
    </w:rPrDefault>
    <w:pPrDefault>
      <w:pPr>
        <w:spacing w:after="0" w:line="360" w:lineRule="auto"/>
      </w:pPr>
    </w:pPrDefault>
  </w:docDefaults>
  <w:style w:type="paragraph" w:default="1" w:styleId="Normal">
    <w:name w:val="Normal"/>
    <w:qFormat/>
    <w:pPr>
      <w:jc w:val="both"/>
      <w:ind w:firstLine="709"/>
    </w:pPr>
  </w:style>
  <w:style w:type="paragraph" w:styleId="Titulo">
    <w:name w:val="Title"/>
    <w:basedOn w:val="Normal"/>
    <w:qFormat/>
    <w:pPr>
      <w:jc w:val="center"/>
      <w:ind w:firstLine="0"/>
      <w:spacing w:after="160"/>
    </w:pPr>
    <w:rPr>
      <w:b/>
      <w:caps/>
      <w:sz w:val="28"/>
      <w:szCs w:val="28"/>
    </w:rPr>
  </w:style>
  <w:style w:type="paragraph" w:styleId="Subtitulo">
    <w:name w:val="Subtitle"/>
    <w:basedOn w:val="Normal"/>
    <w:pPr>
      <w:jc w:val="center"/>
      <w:ind w:firstLine="0"/>
      <w:spacing w:before="40" w:after="120" w:line="240" w:lineRule="auto"/>
    </w:pPr>
    <w:rPr>
      <w:i/>
      <w:sz w:val="22"/>
      <w:szCs w:val="22"/>
    </w:rPr>
  </w:style>
  <w:style w:type="paragraph" w:styleId="Frontal">
    <w:name w:val="Frontal"/>
    <w:basedOn w:val="Normal"/>
    <w:pPr>
      <w:jc w:val="center"/>
      <w:ind w:firstLine="0"/>
      <w:spacing w:before="60" w:after="120" w:line="240" w:lineRule="auto"/>
    </w:pPr>
    <w:rPr>
      <w:sz w:val="22"/>
      <w:szCs w:val="22"/>
    </w:rPr>
  </w:style>
  <w:style w:type="paragraph" w:styleId="Afiliacao">
    <w:name w:val="Afiliacao"/>
    <w:basedOn w:val="Normal"/>
    <w:pPr>
      <w:jc w:val="center"/>
      <w:ind w:firstLine="0"/>
      <w:spacing w:before="40" w:after="160" w:line="240" w:lineRule="auto"/>
    </w:pPr>
    <w:rPr>
      <w:i/>
      <w:sz w:val="20"/>
      <w:szCs w:val="20"/>
    </w:rPr>
  </w:style>
  <w:style w:type="paragraph" w:styleId="Titulo1">
    <w:name w:val="heading 1"/>
    <w:basedOn w:val="Normal"/>
    <w:next w:val="Normal"/>
    <w:qFormat/>
    <w:pPr>
      <w:keepNext/>
      <w:jc w:val="left"/>
      <w:ind w:firstLine="0"/>
      <w:spacing w:before="360" w:after="240"/>
      <w:outlineLvl w:val="0"/>
    </w:pPr>
    <w:rPr>
      <w:b/>
      <w:caps/>
    </w:rPr>
  </w:style>
  <w:style w:type="paragraph" w:styleId="Titulo2">
    <w:name w:val="heading 2"/>
    <w:basedOn w:val="Normal"/>
    <w:next w:val="Normal"/>
    <w:qFormat/>
    <w:pPr>
      <w:keepNext/>
      <w:jc w:val="left"/>
      <w:ind w:firstLine="0"/>
      <w:spacing w:before="240" w:after="120"/>
      <w:outlineLvl w:val="1"/>
    </w:pPr>
    <w:rPr>
      <w:b/>
    </w:rPr>
  </w:style>
  <w:style w:type="paragraph" w:styleId="Resumo">
    <w:name w:val="Resumo"/>
    <w:basedOn w:val="Normal"/>
    <w:pPr>
      <w:jc w:val="both"/>
      <w:ind w:firstLine="0"/>
      <w:spacing w:before="80" w:after="60" w:line="240" w:lineRule="auto"/>
    </w:pPr>
    <w:rPr>
      <w:sz w:val="20"/>
      <w:szCs w:val="20"/>
    </w:rPr>
  </w:style>
  <w:style w:type="paragraph" w:styleId="PalavrasChave">
    <w:name w:val="PalavrasChave"/>
    <w:basedOn w:val="Normal"/>
    <w:pPr>
      <w:jc w:val="both"/>
      <w:ind w:firstLine="0"/>
      <w:spacing w:before="40" w:after="160" w:line="240" w:lineRule="auto"/>
    </w:pPr>
    <w:rPr>
      <w:sz w:val="20"/>
      <w:szCs w:val="20"/>
    </w:rPr>
  </w:style>
  <w:style w:type="paragraph" w:styleId="Legenda">
    <w:name w:val="caption"/>
    <w:basedOn w:val="Normal"/>
    <w:pPr>
      <w:keepNext/>
      <w:jc w:val="left"/>
      <w:ind w:firstLine="0"/>
      <w:spacing w:before="240" w:after="60" w:line="240" w:lineRule="auto"/>
    </w:pPr>
    <w:rPr>
      <w:sz w:val="20"/>
      <w:szCs w:val="20"/>
    </w:rPr>
  </w:style>
  <w:style w:type="paragraph" w:styleId="Fonte">
    <w:name w:val="Fonte"/>
    <w:basedOn w:val="Normal"/>
    <w:pPr>
      <w:jc w:val="both"/>
      <w:ind w:firstLine="0"/>
      <w:spacing w:before="60" w:after="60" w:line="240" w:lineRule="auto"/>
    </w:pPr>
    <w:rPr>
      <w:sz w:val="20"/>
      <w:szCs w:val="20"/>
    </w:rPr>
  </w:style>
  <w:style w:type="paragraph" w:styleId="TabelaTexto">
    <w:name w:val="Tabela texto"/>
    <w:basedOn w:val="Normal"/>
    <w:pPr>
      <w:jc w:val="left"/>
      <w:ind w:firstLine="0"/>
      <w:spacing w:before="30" w:after="30" w:line="240" w:lineRule="auto"/>
    </w:pPr>
    <w:rPr>
      <w:sz w:val="19"/>
      <w:szCs w:val="19"/>
    </w:rPr>
  </w:style>
  <w:style w:type="paragraph" w:styleId="TabelaTextoCentro">
    <w:name w:val="Tabela texto centro"/>
    <w:basedOn w:val="TabelaTexto"/>
    <w:pPr>
      <w:jc w:val="center"/>
    </w:pPr>
  </w:style>
  <w:style w:type="paragraph" w:styleId="TabelaCabecalho">
    <w:name w:val="Tabela cabecalho"/>
    <w:basedOn w:val="TabelaTexto"/>
    <w:pPr>
      <w:spacing w:before="40" w:after="40"/>
    </w:pPr>
    <w:rPr>
      <w:b/>
      <w:sz w:val="19"/>
      <w:szCs w:val="19"/>
    </w:rPr>
  </w:style>
  <w:style w:type="paragraph" w:styleId="TabelaCabecalhoCentro">
    <w:name w:val="Tabela cabecalho centro"/>
    <w:basedOn w:val="TabelaCabecalho"/>
    <w:pPr>
      <w:jc w:val="center"/>
    </w:pPr>
  </w:style>
  <w:style w:type="paragraph" w:styleId="Figura">
    <w:name w:val="Figura"/>
    <w:basedOn w:val="Normal"/>
    <w:pPr>
      <w:keepNext/>
      <w:jc w:val="center"/>
      <w:ind w:firstLine="0"/>
      <w:spacing w:line="240" w:lineRule="auto"/>
    </w:pPr>
  </w:style>
  <w:style w:type="paragraph" w:styleId="Referencia">
    <w:name w:val="Referencia"/>
    <w:basedOn w:val="Normal"/>
    <w:pPr>
      <w:jc w:val="left"/>
      <w:ind w:left="425" w:hanging="425"/>
      <w:spacing w:after="120" w:line="240" w:lineRule="auto"/>
    </w:pPr>
  </w:style>
</w:styles>
</file>

<file path=word/_rels/document.xml.rels><?xml version="1.0" encoding="UTF-8" standalone="yes"?>
<Relationships xmlns="http://schemas.openxmlformats.org/package/2006/relationships"><Relationship Id="rIdEstilos" Type="http://schemas.openxmlformats.org/officeDocument/2006/relationships/styles" Target="styles.xml"/><Relationship Id="rIdCabecalho" Type="http://schemas.openxmlformats.org/officeDocument/2006/relationships/header" Target="header1.xml"/><Relationship Id="rIdConfig" Type="http://schemas.openxmlformats.org/officeDocument/2006/relationships/settings" Target="settings.xml"/><Relationship Id="rIdImg1" Type="http://schemas.openxmlformats.org/officeDocument/2006/relationships/image" Target="media/figura1.png"/></Relationships>
</file>

<file path=docProps/app.xml><?xml version="1.0" encoding="utf-8"?>
<Properties xmlns="http://schemas.openxmlformats.org/officeDocument/2006/extended-properties" xmlns:vt="http://schemas.openxmlformats.org/officeDocument/2006/docPropsVTypes">
  <Template>Normal.dotm</Template>
  <Application>Microsoft Office Word</Application>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Repercussões da endometriose na integridade do eixo reprodutivo e nos desfechos de fertilidade: revisão integrativa da literatura</dc:title>
  <dc:creator>Autor</dc:creator>
  <cp:lastModifiedBy>Autor</cp:lastModifiedBy>
  <cp:revision>1</cp:revision>
  <dcterms:created xsi:type="dcterms:W3CDTF">2026-10-08T22:40:16Z</dcterms:created>
  <dcterms:modified xsi:type="dcterms:W3CDTF">2026-10-08T22:40:16Z</dcterms:modified>
</cp:coreProperties>
</file>