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Analisar as repercussões da endometriose na integridade do eixo reprodutivo feminino e nos parâmetros de fertilidade em mulheres em idade fértil. </w:t>
      </w:r>
      <w:r>
        <w:rPr>
          <w:b/>
        </w:rPr>
        <w:t xml:space="preserve">Métodos:</w:t>
      </w:r>
      <w:r>
        <w:t xml:space="preserve"> Revisão integrativa com buscas nas bases PubMed/MEDLINE, SciELO e LILACS (2021-2026), nos idiomas português, inglês e espanhol. Incluíram-se 30 estudos observacionais e intervencionais submetidos à triagem metodológica e síntese crítica dos desfechos clínicos e laboratoriais. </w:t>
      </w:r>
      <w:r>
        <w:rPr>
          <w:b/>
        </w:rPr>
        <w:t xml:space="preserve">Resultados:</w:t>
      </w:r>
      <w:r>
        <w:t xml:space="preserve"> A afecção compromete o eixo reprodutivo por inflamação peritoneal crônica, estresse oxidativo intrafolicular e fibrose tecidual. Constatou-se queda acentuada do hormônio antimülleriano e da contagem de folículos antrais, agravada nos estágios III-IV e após cistectomias excisionais. Em reprodução assistida, disfunções transcriptômicas e mitocondriais oocitárias culminaram em menor recuperação de oócitos maduros em metáfase II e atraso no desenvolvimento embrionário, reduzindo as taxas de implantação e de nascidos vivos cumulativos, principalmente diante de adenomiose associada. </w:t>
      </w:r>
      <w:r>
        <w:rPr>
          <w:b/>
        </w:rPr>
        <w:t xml:space="preserve">Conclusão:</w:t>
      </w:r>
      <w:r>
        <w:t xml:space="preserve"> A endometriose degrada a fertilidade pela perda prematura da reserva ovariana, toxicidade do microambiente folicular e redução da competência embrionária. Estratégias cirúrgicas conservadoras e protocolos de estimulação personalizados são essenciais para otimizar os desfechos reprodutivos.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analyze the repercussions of endometriosis on the integrity of the female reproductive axis and fertility parameters in women of reproductive age. </w:t>
      </w:r>
      <w:r>
        <w:rPr>
          <w:b/>
        </w:rPr>
        <w:t xml:space="preserve">Methods:</w:t>
      </w:r>
      <w:r>
        <w:t xml:space="preserve"> Integrative review conducted across PubMed/MEDLINE, SciELO, and LILACS databases (2021-2026) in Portuguese, English, and Spanish. Thirty observational and interventional studies were included following rigorous methodological screening and critical synthesis of clinical and laboratory outcomes. </w:t>
      </w:r>
      <w:r>
        <w:rPr>
          <w:b/>
        </w:rPr>
        <w:t xml:space="preserve">Results:</w:t>
      </w:r>
      <w:r>
        <w:t xml:space="preserve"> The disease damages the reproductive axis through chronic peritoneal inflammation, intrafollicular oxidative stress, and tissue fibrosis. Marked reductions in anti-Müllerian hormone levels and antral follicle counts were documented, worsened in stages III-IV and after excisional cystectomies. In assisted reproduction, oocyte transcriptomic and mitochondrial dysfunctions led to lower recovery of mature metaphase II oocytes and impaired embryonic cleavage, reducing implantation and cumulative live birth rates, particularly when associated with adenomyosis. </w:t>
      </w:r>
      <w:r>
        <w:rPr>
          <w:b/>
        </w:rPr>
        <w:t xml:space="preserve">Conclusion:</w:t>
      </w:r>
      <w:r>
        <w:t xml:space="preserve"> Endometriosis impairs fertility via accelerated ovarian reserve loss, follicular microenvironment toxicity, and diminished embryonic competence. Conservative surgical strategies and individualized stimulation protocols are essential to optimize reproductive outcomes.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Epidemiologia e Repercussões Clínicas da Endometriose no Potencial Reprodutivo</w:t>
      </w:r>
    </w:p>
    <w:p>
      <w:pPr>
        <w:pStyle w:val="Normal"/>
      </w:pPr>
      <w:r>
        <w:t xml:space="preserve">A endometriose, definida pelo implante e proliferação ectópica de tecido endometrial fora do miométrio, atinge entre 6% e 10% da população feminina mundial e manifesta-se em até metade das mulheres submetidas à investigação por subfertilidade [9,11]. A afecção sobrepõe uma carga substancial de morbidade física à quebra do projeto parental: a dismenorreia grave, a dispareunia e a dor pélvica crônica [9,11,12] coexistem com índices de infertilidade que atingem 43,8% na endometriose profunda infiltrativa [11] e alcançam 97,8% em centros terciários [4]. Essa sobrecarga dolorosa e reprodutiva decorre frequentemente de atrasos diagnósticos e desinformação estrutural quanto ao planejamento familiar [10,13], culminando em declínio progressivo da qualidade de vida e prejuízos psicossociais profundos [8,10]. Quando o acometimento estende-se aos anexos, a formação de endometriomas ovarianos — presente em até 78,7% das coortes cirúrgicas [9] — estabelece um duplo desafio: a compressão mecânica local e a degradação acelerada do parênquima gonadal [9,15].</w:t>
      </w:r>
    </w:p>
    <w:p>
      <w:pPr>
        <w:pStyle w:val="Titulo2"/>
      </w:pPr>
      <w:r>
        <w:rPr>
          <w:b/>
        </w:rPr>
        <w:t xml:space="preserve">Desregulação Biológica do Microambiente Pélvico e Vias Fisiopatológicas</w:t>
      </w:r>
    </w:p>
    <w:p>
      <w:pPr>
        <w:pStyle w:val="Normal"/>
      </w:pPr>
      <w:r>
        <w:t xml:space="preserve">A perda da fertilidade mediada pela doença transcende as distorções anatômicas e aderências pélvicas macroscópicas. Configura-se uma complexa desregulação imunoinflamatória e oxidativa ao longo de todo o eixo reprodutivo [5,6,20]. O fluido peritoneal de mulheres com lesões superficiais exibe concentrações marcadamente aumentadas de interleucina 17 (IL-17), interleucina 23 (IL-23) e fator de necrose tumoral alfa (TNF-α) [20], acompanhadas por elevação sistêmica de mediadores inflamatórios [6]. Essa tempestade de citocinas penetra o microambiente folicular e deflagra estresse oxidativo intrafolocular severo. Em nível funcional, o fluido folicular de portadoras de endometriose suprime a capacidade de eclosão embrionária (</w:t>
      </w:r>
      <w:r>
        <w:rPr>
          <w:i/>
        </w:rPr>
        <w:t xml:space="preserve">hatching</w:t>
      </w:r>
      <w:r>
        <w:t xml:space="preserve">), dano revertido experimentalmente pelo bloqueio antioxidante com N-acetilcisteína [5]. Paralelamente, análises de translatoma demonstram que o ambiente endometriótico desregula vias moleculares críticas de montagem do fuso meiótico, remodelamento do spliceossomo e regulação apoptótica no ovócito [22], o que se traduz em maior taxa de aneuploidias blastocísticas em programas de fertilização assistida [27]. A suscetibilidade individual é ainda modulada por variantes genéticas do receptor de FSH [7] e por desregulação autoimune concorrente, evidenciada pela alta frequência de anticorpos antitireoidianos em mulheres acometidas [3].</w:t>
      </w:r>
    </w:p>
    <w:p>
      <w:pPr>
        <w:pStyle w:val="Titulo2"/>
      </w:pPr>
      <w:r>
        <w:rPr>
          <w:b/>
        </w:rPr>
        <w:t xml:space="preserve">O Confronto entre Marcadores de Reserva e Desfechos Reprodutivos Duros</w:t>
      </w:r>
    </w:p>
    <w:p>
      <w:pPr>
        <w:pStyle w:val="Normal"/>
      </w:pPr>
      <w:r>
        <w:t xml:space="preserve">No plano da reserva ovariana, o impacto biológico é expresso pela depleção acentuada do hormônio antimülleriano (AMH) e da contagem de folículos antrais, agravada pela severidade estadiada e pelo índice de massa corporal elevado [15,16]. O dano gonadal exacerba-se substancialmente quando o endometrioma é submetido à cistectomia laparoscópica excisional, intervenção associada à perda iatrogênica de tecido cortical saudável, duplicação da incidência de baixa reserva ovariana e menor captação de ovócitos maduros em metáfase II [1,19,23]. Todavia, emerge na literatura um paradoxo dialético relevante: conquanto os desfechos laboratoriais substitutos (concentrações séricas de AMH, resposta à gonadotrofina e número de oócitos recuperados) mostrem-se consistentemente deprimidos em portadoras de endometriose [1,19,23], os desfechos clínicos duros centrados na paciente exibem comportamento discordante [1,2,19,25]. Enquanto certos ensaios e coortes relatam taxas de fertilização, clivagem e nascidos vivos equiparáveis aos controles sem a afecção quando blastocistos euploides são transferidos [1,2,25], outros registram quedas contundentes na gravidez clínica e nos nascimentos cumulativos, sobretudo na vigência de endometriose avançada, falência prévia de implantação ou cistectomia excisional agressiva [21,26,28,30]. Condutas alternativas, a exemplo da escleroterapia ecoguiada com etanol e da aplicação de protocolos de estimulação ultralonga com análogos do GnRH, procuram mitigar esse hiato biológico entre a depleção folicular e o sucesso gestacional [17,24].</w:t>
      </w:r>
    </w:p>
    <w:p>
      <w:pPr>
        <w:pStyle w:val="Titulo2"/>
      </w:pPr>
      <w:r>
        <w:rPr>
          <w:b/>
        </w:rPr>
        <w:t xml:space="preserve">Lacuna Epistêmica, Justificativa e Objetivo da Revisão</w:t>
      </w:r>
    </w:p>
    <w:p>
      <w:pPr>
        <w:pStyle w:val="Normal"/>
      </w:pPr>
      <w:r>
        <w:t xml:space="preserve">Persiste, desse modo, uma expressiva lacuna epistêmica: os mecanismos que interligam a agressão peritoneal inflamatória, o estresse oxidativo intrafolicular e a toxicidade tecidual decorrente do endometrioma continuam fragmentados em modelos isolados, sem que se esclareça de que forma a somatória dessas vias modula diretamente os desfechos reprodutivos duros — notadamente as taxas cumulativas de nascidos vivos — versus desfechos meramente laboratoriais de resposta ovariana. A divergência metodológica na literatura entre estudos que preconizam intervenções cirúrgicas precoces e aqueles que alertam para a falência iatrogênica da reserva reprodutiva impõe a necessidade premente de uma síntese integrativa estruturada. Diante desse cenário, este estudo teve como objetivo analisar criticamente as evidências científicas sobre o impacto da endometriose na integridade do eixo reprodutivo feminino e nos parâmetros de fertilidade em mulheres em idade fértil, integrando as repercussões fisiopatológicas sobre a reserva ovariana, a competência ovocitária e embrionária, e os desfechos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153 registros (PubMed/MEDLINE: 96; SciELO: 16; LILACS: 41). Desses, 1 registros de menor relevância, segundo a ordenação da própria base, não foram recuperados para triagem. Após a remoção de duplicados (19), sem resumo disponível (10) e não recuperados (limite da busca) (1), 123 registros foram triados por título e resumo, e 31 foram excluídos: estudo não primário (13), fora do tema (7), relato de caso (6) e sem dados de desfecho (5). Na segunda avaliação dos 9 registros regionais excluídos, 6 foram reincluídos. Dos 92 registros elegíveis, 62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Adaptado de Page et al. [31].</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IVF</w:t>
            </w:r>
          </w:p>
        </w:tc>
        <w:tc>
          <w:tcPr>
            <w:tcW w:w="2521" w:type="dxa"/>
            <w:vAlign w:val="top"/>
          </w:tcPr>
          <w:p>
            <w:pPr>
              <w:pStyle w:val="TabelaTexto"/>
              <w:jc w:val="left"/>
            </w:pPr>
            <w:r>
              <w:t xml:space="preserve">Endometrioma ovariano ≥4 cm manejado cirurgicamente (cistectomia laparoscópica) vs. não cirúrgico (OMA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Cistectomia prévia associou-se a menor AMH e menos oócitos recuperados, mas a taxa cumulativa de nascidos vivos não diferiu significativamente entre manejo cirúrgico e não cirúrgico.</w:t>
            </w:r>
          </w:p>
        </w:tc>
      </w:tr>
      <w:tr>
        <w:trPr>
          <w:cantSplit/>
        </w:trPr>
        <w:tc>
          <w:tcPr>
            <w:tcW w:w="2100" w:type="dxa"/>
            <w:vAlign w:val="top"/>
          </w:tcPr>
          <w:p>
            <w:pPr>
              <w:pStyle w:val="TabelaTexto"/>
              <w:jc w:val="left"/>
            </w:pPr>
            <w:r>
              <w:t xml:space="preserve">Griffiths et al., 2026 [10]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com endometriose ovariana (SPE+OE; n=23), comparadas a controles sem endometriose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AMH sérico menor que controles; SPE associou-se a níveis elevados de IL-17, TNF-α e IL-23 peritoneal, sugerindo inflamação como mecanismo de redução da reserva ovariana.</w:t>
            </w:r>
          </w:p>
        </w:tc>
      </w:tr>
      <w:tr>
        <w:trPr>
          <w:cantSplit/>
        </w:trPr>
        <w:tc>
          <w:tcPr>
            <w:tcW w:w="2100" w:type="dxa"/>
            <w:vAlign w:val="top"/>
          </w:tcPr>
          <w:p>
            <w:pPr>
              <w:pStyle w:val="TabelaTexto"/>
              <w:jc w:val="left"/>
            </w:pPr>
            <w:r>
              <w:t xml:space="preserve">Park et al., 2026 [21]</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um a cinco oócitos metáfase II obtidos</w:t>
            </w:r>
          </w:p>
        </w:tc>
        <w:tc>
          <w:tcPr>
            <w:tcW w:w="2521" w:type="dxa"/>
            <w:vAlign w:val="top"/>
          </w:tcPr>
          <w:p>
            <w:pPr>
              <w:pStyle w:val="TabelaTexto"/>
              <w:jc w:val="left"/>
            </w:pPr>
            <w:r>
              <w:t xml:space="preserve">Endometrioma ovariano atual ou recorrente (34 ciclos), infertilidade inexplicada (26 ciclos) e reserva ovariana diminuída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maior no grupo endometrioma (1,50) que no grupo infertilidade inexplicada (1,00), mas não diferiu do grupo DOR (1,42); AMH correlacionou-se inversamente com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com idades entre 18 e 44 anos submetidas a cirurgia ginecológica</w:t>
            </w:r>
          </w:p>
        </w:tc>
        <w:tc>
          <w:tcPr>
            <w:tcW w:w="2521" w:type="dxa"/>
            <w:vAlign w:val="top"/>
          </w:tcPr>
          <w:p>
            <w:pPr>
              <w:pStyle w:val="TabelaTexto"/>
              <w:jc w:val="left"/>
            </w:pPr>
            <w:r>
              <w:t xml:space="preserve">Endometriose incidente confirmada cirurgicamente, estadiamento (ASRM I-IV) e tipologia (superficial, profunda, ovariana)</w:t>
            </w:r>
          </w:p>
        </w:tc>
        <w:tc>
          <w:tcPr>
            <w:tcW w:w="2100" w:type="dxa"/>
            <w:vAlign w:val="top"/>
          </w:tcPr>
          <w:p>
            <w:pPr>
              <w:pStyle w:val="TabelaTexto"/>
              <w:jc w:val="left"/>
            </w:pPr>
            <w:r>
              <w:t xml:space="preserve">Níveis séricos pré-operatórios de hormônio antimülleriano (AMH)</w:t>
            </w:r>
          </w:p>
        </w:tc>
        <w:tc>
          <w:tcPr>
            <w:tcW w:w="3221" w:type="dxa"/>
            <w:vAlign w:val="top"/>
          </w:tcPr>
          <w:p>
            <w:pPr>
              <w:pStyle w:val="TabelaTexto"/>
              <w:jc w:val="left"/>
            </w:pPr>
            <w:r>
              <w:t xml:space="preserve">Endometriose estágio III-IV associada a AMH 40,1% menor; endometriomas ovarianos a 54,3% menor; infertilidade potencializou associação (-72,6%).</w:t>
            </w:r>
          </w:p>
        </w:tc>
      </w:tr>
      <w:tr>
        <w:trPr>
          <w:cantSplit/>
        </w:trPr>
        <w:tc>
          <w:tcPr>
            <w:tcW w:w="2100" w:type="dxa"/>
            <w:vAlign w:val="top"/>
          </w:tcPr>
          <w:p>
            <w:pPr>
              <w:pStyle w:val="TabelaTexto"/>
              <w:jc w:val="left"/>
            </w:pPr>
            <w:r>
              <w:t xml:space="preserve">Zhang et al., 2026 [18]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IVF/ICSI em mulheres com endometriose e reserva ovariana diminuída</w:t>
            </w:r>
          </w:p>
        </w:tc>
        <w:tc>
          <w:tcPr>
            <w:tcW w:w="2521" w:type="dxa"/>
            <w:vAlign w:val="top"/>
          </w:tcPr>
          <w:p>
            <w:pPr>
              <w:pStyle w:val="TabelaTexto"/>
              <w:jc w:val="left"/>
            </w:pPr>
            <w:r>
              <w:t xml:space="preserve">Endometriose com reserva ovariana diminuída submetidas a quatro protocolos de estimulação ovariana controlada (ultralongo, longo, curto,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ultralongo apresentou maiores taxas de nascidos vivos cumulativa (48,5%), nascidos vivos (36,6%) e gravidez clínica (41,1%) em comparação aos demais protocolos.</w:t>
            </w:r>
          </w:p>
        </w:tc>
      </w:tr>
      <w:tr>
        <w:trPr>
          <w:cantSplit/>
        </w:trPr>
        <w:tc>
          <w:tcPr>
            <w:tcW w:w="2100" w:type="dxa"/>
            <w:vAlign w:val="top"/>
          </w:tcPr>
          <w:p>
            <w:pPr>
              <w:pStyle w:val="TabelaTexto"/>
              <w:jc w:val="left"/>
            </w:pPr>
            <w:r>
              <w:t xml:space="preserve">Akay et al., 2025 [9]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ovarianos benignos)</w:t>
            </w:r>
          </w:p>
        </w:tc>
        <w:tc>
          <w:tcPr>
            <w:tcW w:w="2521" w:type="dxa"/>
            <w:vAlign w:val="top"/>
          </w:tcPr>
          <w:p>
            <w:pPr>
              <w:pStyle w:val="TabelaTexto"/>
              <w:jc w:val="left"/>
            </w:pPr>
            <w:r>
              <w:t xml:space="preserve">Endometrioma ovariano comparado a cistos ovarianos benignos não endometrióticos</w:t>
            </w:r>
          </w:p>
        </w:tc>
        <w:tc>
          <w:tcPr>
            <w:tcW w:w="2100" w:type="dxa"/>
            <w:vAlign w:val="top"/>
          </w:tcPr>
          <w:p>
            <w:pPr>
              <w:pStyle w:val="TabelaTexto"/>
              <w:jc w:val="left"/>
            </w:pPr>
            <w:r>
              <w:t xml:space="preserve">Reserva ovariana (FSH e AMH) e marcadores inflamatórios séricos (RDW, NLR, PLR e leucócitos) no pré e pós-operatório</w:t>
            </w:r>
          </w:p>
        </w:tc>
        <w:tc>
          <w:tcPr>
            <w:tcW w:w="3221" w:type="dxa"/>
            <w:vAlign w:val="top"/>
          </w:tcPr>
          <w:p>
            <w:pPr>
              <w:pStyle w:val="TabelaTexto"/>
              <w:jc w:val="left"/>
            </w:pPr>
            <w:r>
              <w:t xml:space="preserve">Marcadores inflamatórios elevados no endometrioma, com aumento pós-operatório do NLR; inflamação correlacionada ao tamanho do cisto, mas não à reserva ovariana ou ao estágio da endometriose.</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endometriosis</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Infertilidade e taxa de gravidez</w:t>
            </w:r>
          </w:p>
        </w:tc>
        <w:tc>
          <w:tcPr>
            <w:tcW w:w="3221" w:type="dxa"/>
            <w:vAlign w:val="top"/>
          </w:tcPr>
          <w:p>
            <w:pPr>
              <w:pStyle w:val="TabelaTexto"/>
              <w:jc w:val="left"/>
            </w:pPr>
            <w:r>
              <w:t xml:space="preserve">97,83% das pacientes com endometriose apresentaram infertilidade, com risco 6,65 vezes maior; apenas 23,91% engravidaram, sendo 90,91% por reprodução assistida.</w:t>
            </w:r>
          </w:p>
        </w:tc>
      </w:tr>
      <w:tr>
        <w:trPr>
          <w:cantSplit/>
        </w:trPr>
        <w:tc>
          <w:tcPr>
            <w:tcW w:w="2100" w:type="dxa"/>
            <w:vAlign w:val="top"/>
          </w:tcPr>
          <w:p>
            <w:pPr>
              <w:pStyle w:val="TabelaTexto"/>
              <w:jc w:val="left"/>
            </w:pPr>
            <w:r>
              <w:t xml:space="preserve">Diao et al., 2025 [11]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outro; Oócitos de pacientes com endometriose ovariana e controles com infertilidade por fatores tubários ou masculinos</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GV</w:t>
            </w:r>
          </w:p>
        </w:tc>
        <w:tc>
          <w:tcPr>
            <w:tcW w:w="3221" w:type="dxa"/>
            <w:vAlign w:val="top"/>
          </w:tcPr>
          <w:p>
            <w:pPr>
              <w:pStyle w:val="TabelaTexto"/>
              <w:jc w:val="left"/>
            </w:pPr>
            <w:r>
              <w:t xml:space="preserve">Endometriose ovariana alterou significativamente a atividade translacional global em oócitos humanos, com vias de estresse oxidativo, meiose oocitária e spliceossomo associadas à qualidade oocitária.</w:t>
            </w:r>
          </w:p>
        </w:tc>
      </w:tr>
      <w:tr>
        <w:trPr>
          <w:cantSplit/>
        </w:trPr>
        <w:tc>
          <w:tcPr>
            <w:tcW w:w="2100" w:type="dxa"/>
            <w:vAlign w:val="top"/>
          </w:tcPr>
          <w:p>
            <w:pPr>
              <w:pStyle w:val="TabelaTexto"/>
              <w:jc w:val="left"/>
            </w:pPr>
            <w:r>
              <w:t xml:space="preserve">Li et al., 2025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com endometriose submetidas a IVF/ICSI, divididas em Grupo A (controle, n=494), Grupo B (não cirúrgico, n=217) e Grupo C (cirúrgico, n=122)</w:t>
            </w:r>
          </w:p>
        </w:tc>
        <w:tc>
          <w:tcPr>
            <w:tcW w:w="2521" w:type="dxa"/>
            <w:vAlign w:val="top"/>
          </w:tcPr>
          <w:p>
            <w:pPr>
              <w:pStyle w:val="TabelaTexto"/>
              <w:jc w:val="left"/>
            </w:pPr>
            <w:r>
              <w:t xml:space="preserve">Endometriose com cistos endometrióticos não tratados ou cistectomia ovariana prévia</w:t>
            </w:r>
          </w:p>
        </w:tc>
        <w:tc>
          <w:tcPr>
            <w:tcW w:w="2100" w:type="dxa"/>
            <w:vAlign w:val="top"/>
          </w:tcPr>
          <w:p>
            <w:pPr>
              <w:pStyle w:val="TabelaTexto"/>
              <w:jc w:val="left"/>
            </w:pPr>
            <w:r>
              <w:t xml:space="preserve">Reserva ovariana (AFC, FSH, AMH), dose de gonadotrofina, número de oócitos recuperados e de oócitos MII, proporção de DOR</w:t>
            </w:r>
          </w:p>
        </w:tc>
        <w:tc>
          <w:tcPr>
            <w:tcW w:w="3221" w:type="dxa"/>
            <w:vAlign w:val="top"/>
          </w:tcPr>
          <w:p>
            <w:pPr>
              <w:pStyle w:val="TabelaTexto"/>
              <w:jc w:val="left"/>
            </w:pPr>
            <w:r>
              <w:t xml:space="preserve">Cistectomia prévia associou-se a menor reserva ovariana, maior incidência de DOR e pior resposta ovariana à estimulação controlada em comparação a não cirúrgico e controles.</w:t>
            </w:r>
          </w:p>
        </w:tc>
      </w:tr>
      <w:tr>
        <w:trPr>
          <w:cantSplit/>
        </w:trPr>
        <w:tc>
          <w:tcPr>
            <w:tcW w:w="2100" w:type="dxa"/>
            <w:vAlign w:val="top"/>
          </w:tcPr>
          <w:p>
            <w:pPr>
              <w:pStyle w:val="TabelaTexto"/>
              <w:jc w:val="left"/>
            </w:pPr>
            <w:r>
              <w:t xml:space="preserve">Lu et al., 2025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endometriose ovariana e 2.956 sem a condição, submetidas ao primeiro ciclo de IVF/ICSI</w:t>
            </w:r>
          </w:p>
        </w:tc>
        <w:tc>
          <w:tcPr>
            <w:tcW w:w="2521" w:type="dxa"/>
            <w:vAlign w:val="top"/>
          </w:tcPr>
          <w:p>
            <w:pPr>
              <w:pStyle w:val="TabelaTexto"/>
              <w:jc w:val="left"/>
            </w:pPr>
            <w:r>
              <w:t xml:space="preserve">Endometriose ovariana em mulheres jovens (&lt;35 anos) e mais velhas (≥35 anos)</w:t>
            </w:r>
          </w:p>
        </w:tc>
        <w:tc>
          <w:tcPr>
            <w:tcW w:w="2100" w:type="dxa"/>
            <w:vAlign w:val="top"/>
          </w:tcPr>
          <w:p>
            <w:pPr>
              <w:pStyle w:val="TabelaTexto"/>
              <w:jc w:val="left"/>
            </w:pPr>
            <w:r>
              <w:t xml:space="preserve">Reserva ovariana (AMH, contagem de folículos antrais), taxas cumulativas de gravidez clínica e de nascidos vivos</w:t>
            </w:r>
          </w:p>
        </w:tc>
        <w:tc>
          <w:tcPr>
            <w:tcW w:w="3221" w:type="dxa"/>
            <w:vAlign w:val="top"/>
          </w:tcPr>
          <w:p>
            <w:pPr>
              <w:pStyle w:val="TabelaTexto"/>
              <w:jc w:val="left"/>
            </w:pPr>
            <w:r>
              <w:t xml:space="preserve">Endometriose ovariana reduziu reserva ovariana e taxas cumulativas de gravidez clínica e nascidos vivos em mulheres jovens, mas não em mulheres ≥35 anos; AMH foi preditor independente de nascidos vivos.</w:t>
            </w:r>
          </w:p>
        </w:tc>
      </w:tr>
      <w:tr>
        <w:trPr>
          <w:cantSplit/>
        </w:trPr>
        <w:tc>
          <w:tcPr>
            <w:tcW w:w="2100" w:type="dxa"/>
            <w:vAlign w:val="top"/>
          </w:tcPr>
          <w:p>
            <w:pPr>
              <w:pStyle w:val="TabelaTexto"/>
              <w:jc w:val="left"/>
            </w:pPr>
            <w:r>
              <w:t xml:space="preserve">Pereira et al., 2025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e indicação cirúrgica, com mediana de idade de 35 anos</w:t>
            </w:r>
          </w:p>
        </w:tc>
        <w:tc>
          <w:tcPr>
            <w:tcW w:w="2521" w:type="dxa"/>
            <w:vAlign w:val="top"/>
          </w:tcPr>
          <w:p>
            <w:pPr>
              <w:pStyle w:val="TabelaTexto"/>
              <w:jc w:val="left"/>
            </w:pPr>
            <w:r>
              <w:t xml:space="preserve">Endometriose classificada pelo ASRM</w:t>
            </w:r>
          </w:p>
        </w:tc>
        <w:tc>
          <w:tcPr>
            <w:tcW w:w="2100" w:type="dxa"/>
            <w:vAlign w:val="top"/>
          </w:tcPr>
          <w:p>
            <w:pPr>
              <w:pStyle w:val="TabelaTexto"/>
              <w:jc w:val="left"/>
            </w:pPr>
            <w:r>
              <w:t xml:space="preserve">Dor, função sexual, qualidade de vida e infertilidade</w:t>
            </w:r>
          </w:p>
        </w:tc>
        <w:tc>
          <w:tcPr>
            <w:tcW w:w="3221" w:type="dxa"/>
            <w:vAlign w:val="top"/>
          </w:tcPr>
          <w:p>
            <w:pPr>
              <w:pStyle w:val="TabelaTexto"/>
              <w:jc w:val="left"/>
            </w:pPr>
            <w:r>
              <w:t xml:space="preserve">Mulheres com endometriose ASRM III e IV exibiram dois padrões distintos, um com piores escores de dor, função sexual e qualidade de vida; infertilidade não diferiu entre os grupos.</w:t>
            </w:r>
          </w:p>
        </w:tc>
      </w:tr>
      <w:tr>
        <w:trPr>
          <w:cantSplit/>
        </w:trPr>
        <w:tc>
          <w:tcPr>
            <w:tcW w:w="2100" w:type="dxa"/>
            <w:vAlign w:val="top"/>
          </w:tcPr>
          <w:p>
            <w:pPr>
              <w:pStyle w:val="TabelaTexto"/>
              <w:jc w:val="left"/>
            </w:pPr>
            <w:r>
              <w:t xml:space="preserve">Souza et al., 2025 [13]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de 18 a 49 anos com diagnóstico de endometriose</w:t>
            </w:r>
          </w:p>
        </w:tc>
        <w:tc>
          <w:tcPr>
            <w:tcW w:w="2521" w:type="dxa"/>
            <w:vAlign w:val="top"/>
          </w:tcPr>
          <w:p>
            <w:pPr>
              <w:pStyle w:val="TabelaTexto"/>
              <w:jc w:val="left"/>
            </w:pPr>
            <w:r>
              <w:t xml:space="preserve">Endometriose e presença de anticorpos antitireoidianos (anti-TPO e anti-Tg)</w:t>
            </w:r>
          </w:p>
        </w:tc>
        <w:tc>
          <w:tcPr>
            <w:tcW w:w="2100" w:type="dxa"/>
            <w:vAlign w:val="top"/>
          </w:tcPr>
          <w:p>
            <w:pPr>
              <w:pStyle w:val="TabelaTexto"/>
              <w:jc w:val="left"/>
            </w:pPr>
            <w:r>
              <w:t xml:space="preserve">Reserva ovariana avaliada por hormônio anti-mulleriano (HAM) e contagem de folículos antrais (CFA)</w:t>
            </w:r>
          </w:p>
        </w:tc>
        <w:tc>
          <w:tcPr>
            <w:tcW w:w="3221" w:type="dxa"/>
            <w:vAlign w:val="top"/>
          </w:tcPr>
          <w:p>
            <w:pPr>
              <w:pStyle w:val="TabelaTexto"/>
              <w:jc w:val="left"/>
            </w:pPr>
            <w:r>
              <w:t xml:space="preserve">Alta prevalência de anticorpos antitireoidianos positivos em mulheres com endometriose, sem diferença significativa nos marcadores de reserva ovariana, mas com tendência a menores valores de HAM entre soropositivas.</w:t>
            </w:r>
          </w:p>
        </w:tc>
      </w:tr>
      <w:tr>
        <w:trPr>
          <w:cantSplit/>
        </w:trPr>
        <w:tc>
          <w:tcPr>
            <w:tcW w:w="2100" w:type="dxa"/>
            <w:vAlign w:val="top"/>
          </w:tcPr>
          <w:p>
            <w:pPr>
              <w:pStyle w:val="TabelaTexto"/>
              <w:jc w:val="left"/>
            </w:pPr>
            <w:r>
              <w:t xml:space="preserve">Şükür et al., 2025 [27]</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submetidas ao primeiro ciclo de IVF</w:t>
            </w:r>
          </w:p>
        </w:tc>
        <w:tc>
          <w:tcPr>
            <w:tcW w:w="2521" w:type="dxa"/>
            <w:vAlign w:val="top"/>
          </w:tcPr>
          <w:p>
            <w:pPr>
              <w:pStyle w:val="TabelaTexto"/>
              <w:jc w:val="left"/>
            </w:pPr>
            <w:r>
              <w:t xml:space="preserve">Endometrioma ≥4 cm manejado com nenhuma intervenção (n=39), escleroterapia com etanol (n=20) ou cistectomia laparoscópica (n=31)</w:t>
            </w:r>
          </w:p>
        </w:tc>
        <w:tc>
          <w:tcPr>
            <w:tcW w:w="2100" w:type="dxa"/>
            <w:vAlign w:val="top"/>
          </w:tcPr>
          <w:p>
            <w:pPr>
              <w:pStyle w:val="TabelaTexto"/>
              <w:jc w:val="left"/>
            </w:pPr>
            <w:r>
              <w:t xml:space="preserve">Taxa cumulativa de nascidos vivos, produção de oócitos e embriões, taxas de fertilização e implantação, taxa de cancelamento de ciclo</w:t>
            </w:r>
          </w:p>
        </w:tc>
        <w:tc>
          <w:tcPr>
            <w:tcW w:w="3221" w:type="dxa"/>
            <w:vAlign w:val="top"/>
          </w:tcPr>
          <w:p>
            <w:pPr>
              <w:pStyle w:val="TabelaTexto"/>
              <w:jc w:val="left"/>
            </w:pPr>
            <w:r>
              <w:t xml:space="preserve">Escleroterapia com etanol apresentou maior taxa cumulativa de nascidos vivos (65%) e melhor preservação da reserva ovariana em comparação a nenhuma intervenção e cistectomia.</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do Nurses' Health Study II que forneceram amostra de sangue</w:t>
            </w:r>
          </w:p>
        </w:tc>
        <w:tc>
          <w:tcPr>
            <w:tcW w:w="2521" w:type="dxa"/>
            <w:vAlign w:val="top"/>
          </w:tcPr>
          <w:p>
            <w:pPr>
              <w:pStyle w:val="TabelaTexto"/>
              <w:jc w:val="left"/>
            </w:pPr>
            <w:r>
              <w:t xml:space="preserve">Endometriose confirmada por laparoscopia</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Mulheres com endometriose tiveram AMH 29,6% menor; associação maior em IMC ≥25 kg/m² (-44,0%).</w:t>
            </w:r>
          </w:p>
        </w:tc>
      </w:tr>
      <w:tr>
        <w:trPr>
          <w:cantSplit/>
        </w:trPr>
        <w:tc>
          <w:tcPr>
            <w:tcW w:w="2100" w:type="dxa"/>
            <w:vAlign w:val="top"/>
          </w:tcPr>
          <w:p>
            <w:pPr>
              <w:pStyle w:val="TabelaTexto"/>
              <w:jc w:val="left"/>
            </w:pPr>
            <w:r>
              <w:t xml:space="preserve">Haque et al., 2024 [19]</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pacientes de FIV, sendo 93 com endometriose e 317 sem endometriose</w:t>
            </w:r>
          </w:p>
        </w:tc>
        <w:tc>
          <w:tcPr>
            <w:tcW w:w="2521" w:type="dxa"/>
            <w:vAlign w:val="top"/>
          </w:tcPr>
          <w:p>
            <w:pPr>
              <w:pStyle w:val="TabelaTexto"/>
              <w:jc w:val="left"/>
            </w:pPr>
            <w:r>
              <w:t xml:space="preserve">Endometriose (presença vs. ausência)</w:t>
            </w:r>
          </w:p>
        </w:tc>
        <w:tc>
          <w:tcPr>
            <w:tcW w:w="2100" w:type="dxa"/>
            <w:vAlign w:val="top"/>
          </w:tcPr>
          <w:p>
            <w:pPr>
              <w:pStyle w:val="TabelaTexto"/>
              <w:jc w:val="left"/>
            </w:pPr>
            <w:r>
              <w:t xml:space="preserve">Quantidade e qualidade ovocitária, qualidade da fertilização, desenvolvimento embrionário, gravidez bioquímica, gravidez clínica e taxa de nascidos vivos</w:t>
            </w:r>
          </w:p>
        </w:tc>
        <w:tc>
          <w:tcPr>
            <w:tcW w:w="3221" w:type="dxa"/>
            <w:vAlign w:val="top"/>
          </w:tcPr>
          <w:p>
            <w:pPr>
              <w:pStyle w:val="TabelaTexto"/>
              <w:jc w:val="left"/>
            </w:pPr>
            <w:r>
              <w:t xml:space="preserve">Endometriose reduziu quantidade e qualidade ovocitária, mas não afetou taxas de fertilização, desenvolvimento embrionário, gravidez ou nascidos vivos.</w:t>
            </w:r>
          </w:p>
        </w:tc>
      </w:tr>
      <w:tr>
        <w:trPr>
          <w:cantSplit/>
        </w:trPr>
        <w:tc>
          <w:tcPr>
            <w:tcW w:w="2100" w:type="dxa"/>
            <w:vAlign w:val="top"/>
          </w:tcPr>
          <w:p>
            <w:pPr>
              <w:pStyle w:val="TabelaTexto"/>
              <w:jc w:val="left"/>
            </w:pPr>
            <w:r>
              <w:t xml:space="preserve">Molina Rodríguez, 2024 [1]</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histórias de 560 pacientes atendidas em consulta de endometriosis</w:t>
            </w:r>
          </w:p>
        </w:tc>
        <w:tc>
          <w:tcPr>
            <w:tcW w:w="2521" w:type="dxa"/>
            <w:vAlign w:val="top"/>
          </w:tcPr>
          <w:p>
            <w:pPr>
              <w:pStyle w:val="TabelaTexto"/>
              <w:jc w:val="left"/>
            </w:pPr>
            <w:r>
              <w:t xml:space="preserve">Endometriose diagnosticada definitivamente</w:t>
            </w:r>
          </w:p>
        </w:tc>
        <w:tc>
          <w:tcPr>
            <w:tcW w:w="2100" w:type="dxa"/>
            <w:vAlign w:val="top"/>
          </w:tcPr>
          <w:p>
            <w:pPr>
              <w:pStyle w:val="TabelaTexto"/>
              <w:jc w:val="left"/>
            </w:pPr>
            <w:r>
              <w:t xml:space="preserve">Idade ao diagnóstico, menarca, gestações, dismenorreia, dor pélvica, dispareunia, sintomas digestivos e localização da lesão</w:t>
            </w:r>
          </w:p>
        </w:tc>
        <w:tc>
          <w:tcPr>
            <w:tcW w:w="3221" w:type="dxa"/>
            <w:vAlign w:val="top"/>
          </w:tcPr>
          <w:p>
            <w:pPr>
              <w:pStyle w:val="TabelaTexto"/>
              <w:jc w:val="left"/>
            </w:pPr>
            <w:r>
              <w:t xml:space="preserve">Diagnóstico predominou entre 26-35 anos; 63% sem gestações; dismenorreia primária em 63,07%; ovário foi local mais acometido (78,7%).</w:t>
            </w:r>
          </w:p>
        </w:tc>
      </w:tr>
      <w:tr>
        <w:trPr>
          <w:cantSplit/>
        </w:trPr>
        <w:tc>
          <w:tcPr>
            <w:tcW w:w="2100" w:type="dxa"/>
            <w:vAlign w:val="top"/>
          </w:tcPr>
          <w:p>
            <w:pPr>
              <w:pStyle w:val="TabelaTexto"/>
              <w:jc w:val="left"/>
            </w:pPr>
            <w:r>
              <w:t xml:space="preserve">Morcel et al., 2024 [23]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em mulheres sem endometriose e com endometriose, incluindo subgrupos por estágio da classificação revisada da Sociedade Americana de Fertilidade e por endometrioma isolado</w:t>
            </w:r>
          </w:p>
        </w:tc>
        <w:tc>
          <w:tcPr>
            <w:tcW w:w="2521" w:type="dxa"/>
            <w:vAlign w:val="top"/>
          </w:tcPr>
          <w:p>
            <w:pPr>
              <w:pStyle w:val="TabelaTexto"/>
              <w:jc w:val="left"/>
            </w:pPr>
            <w:r>
              <w:t xml:space="preserve">Endometriose classificada por estágio, incluindo estágios iniciais, estágios avançados sem endometrioma e endometrioma isolado</w:t>
            </w:r>
          </w:p>
        </w:tc>
        <w:tc>
          <w:tcPr>
            <w:tcW w:w="2100" w:type="dxa"/>
            <w:vAlign w:val="top"/>
          </w:tcPr>
          <w:p>
            <w:pPr>
              <w:pStyle w:val="TabelaTexto"/>
              <w:jc w:val="left"/>
            </w:pPr>
            <w:r>
              <w:t xml:space="preserve">Taxas de gravidez clínica e em curso após fertilização in vitro e taxas cumulativas de gravidez após transferência de embriões congelados/descongelados</w:t>
            </w:r>
          </w:p>
        </w:tc>
        <w:tc>
          <w:tcPr>
            <w:tcW w:w="3221" w:type="dxa"/>
            <w:vAlign w:val="top"/>
          </w:tcPr>
          <w:p>
            <w:pPr>
              <w:pStyle w:val="TabelaTexto"/>
              <w:jc w:val="left"/>
            </w:pPr>
            <w:r>
              <w:t xml:space="preserve">As taxas de gravidez em curso não diferiram entre mulheres com e sem endometriose, mas as taxas cumulativas por casal foram menores no grupo com endometriose profunda.</w:t>
            </w:r>
          </w:p>
        </w:tc>
      </w:tr>
      <w:tr>
        <w:trPr>
          <w:cantSplit/>
        </w:trPr>
        <w:tc>
          <w:tcPr>
            <w:tcW w:w="2100" w:type="dxa"/>
            <w:vAlign w:val="top"/>
          </w:tcPr>
          <w:p>
            <w:pPr>
              <w:pStyle w:val="TabelaTexto"/>
              <w:jc w:val="left"/>
            </w:pPr>
            <w:r>
              <w:t xml:space="preserve">Nadă et al., 2024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cirurgia para endometriose submetidas a fertilização in vitro, comparadas a pacientes com obstrução tubária documentada</w:t>
            </w:r>
          </w:p>
        </w:tc>
        <w:tc>
          <w:tcPr>
            <w:tcW w:w="2521" w:type="dxa"/>
            <w:vAlign w:val="top"/>
          </w:tcPr>
          <w:p>
            <w:pPr>
              <w:pStyle w:val="TabelaTexto"/>
              <w:jc w:val="left"/>
            </w:pPr>
            <w:r>
              <w:t xml:space="preserve">Endometriose com histórico cirúrgico, avaliando idade, hormônio antimülleriano, protocolo de estimulação ovariana e tipos de gonadotrofinas</w:t>
            </w:r>
          </w:p>
        </w:tc>
        <w:tc>
          <w:tcPr>
            <w:tcW w:w="2100" w:type="dxa"/>
            <w:vAlign w:val="top"/>
          </w:tcPr>
          <w:p>
            <w:pPr>
              <w:pStyle w:val="TabelaTexto"/>
              <w:jc w:val="left"/>
            </w:pPr>
            <w:r>
              <w:t xml:space="preserve">Taxa de gravidez clínica e desfecho reprodutivo após fertilização in vitro</w:t>
            </w:r>
          </w:p>
        </w:tc>
        <w:tc>
          <w:tcPr>
            <w:tcW w:w="3221" w:type="dxa"/>
            <w:vAlign w:val="top"/>
          </w:tcPr>
          <w:p>
            <w:pPr>
              <w:pStyle w:val="TabelaTexto"/>
              <w:jc w:val="left"/>
            </w:pPr>
            <w:r>
              <w:t xml:space="preserve">A taxa de gravidez clínica foi menor no grupo com endometriose; idade e hormônio antimülleriano foram fatores independentes significativos, e o tratamento com corifolitropina alfa associou-se a maior taxa de gravidez.</w:t>
            </w:r>
          </w:p>
        </w:tc>
      </w:tr>
      <w:tr>
        <w:trPr>
          <w:cantSplit/>
        </w:trPr>
        <w:tc>
          <w:tcPr>
            <w:tcW w:w="2100" w:type="dxa"/>
            <w:vAlign w:val="top"/>
          </w:tcPr>
          <w:p>
            <w:pPr>
              <w:pStyle w:val="TabelaTexto"/>
              <w:jc w:val="left"/>
            </w:pPr>
            <w:r>
              <w:t xml:space="preserve">Nogueira Neto et al., 2024 [6]</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submetidas a tratamento cirúrgico para endometriose</w:t>
            </w:r>
          </w:p>
        </w:tc>
        <w:tc>
          <w:tcPr>
            <w:tcW w:w="2521" w:type="dxa"/>
            <w:vAlign w:val="top"/>
          </w:tcPr>
          <w:p>
            <w:pPr>
              <w:pStyle w:val="TabelaTexto"/>
              <w:jc w:val="left"/>
            </w:pPr>
            <w:r>
              <w:t xml:space="preserve">Tratamento cirúrgico videolaparoscópico para endometriose</w:t>
            </w:r>
          </w:p>
        </w:tc>
        <w:tc>
          <w:tcPr>
            <w:tcW w:w="2100" w:type="dxa"/>
            <w:vAlign w:val="top"/>
          </w:tcPr>
          <w:p>
            <w:pPr>
              <w:pStyle w:val="TabelaTexto"/>
              <w:jc w:val="left"/>
            </w:pPr>
            <w:r>
              <w:t xml:space="preserve">Níveis de depressão relacionados à saúde e baixa fertilidade</w:t>
            </w:r>
          </w:p>
        </w:tc>
        <w:tc>
          <w:tcPr>
            <w:tcW w:w="3221" w:type="dxa"/>
            <w:vAlign w:val="top"/>
          </w:tcPr>
          <w:p>
            <w:pPr>
              <w:pStyle w:val="TabelaTexto"/>
              <w:jc w:val="left"/>
            </w:pPr>
            <w:r>
              <w:t xml:space="preserve">Redução significativa da depressão pós-cirurgia; 50,9% apresentavam baixa fertilidade e 39,3% endometriose grave.</w:t>
            </w:r>
          </w:p>
        </w:tc>
      </w:tr>
      <w:tr>
        <w:trPr>
          <w:cantSplit/>
        </w:trPr>
        <w:tc>
          <w:tcPr>
            <w:tcW w:w="2100" w:type="dxa"/>
            <w:vAlign w:val="top"/>
          </w:tcPr>
          <w:p>
            <w:pPr>
              <w:pStyle w:val="TabelaTexto"/>
              <w:jc w:val="left"/>
            </w:pPr>
            <w:r>
              <w:t xml:space="preserve">Qu et al., 2024 [20]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pacientes submetidas a teste genético pré-implantação</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Nascidos vivos, gravidez clínica, gravidez bioquímica, aborto clínico, parto prematuro e taxa de aneuploidia</w:t>
            </w:r>
          </w:p>
        </w:tc>
        <w:tc>
          <w:tcPr>
            <w:tcW w:w="3221" w:type="dxa"/>
            <w:vAlign w:val="top"/>
          </w:tcPr>
          <w:p>
            <w:pPr>
              <w:pStyle w:val="TabelaTexto"/>
              <w:jc w:val="left"/>
            </w:pPr>
            <w:r>
              <w:t xml:space="preserve">Endometriose não alterou desfechos gestacionais, mas aumentou taxa de aneuploidia em blastocistos, sugerindo impacto na qualidade ovocitária.</w:t>
            </w:r>
          </w:p>
        </w:tc>
      </w:tr>
      <w:tr>
        <w:trPr>
          <w:cantSplit/>
        </w:trPr>
        <w:tc>
          <w:tcPr>
            <w:tcW w:w="2100" w:type="dxa"/>
            <w:vAlign w:val="top"/>
          </w:tcPr>
          <w:p>
            <w:pPr>
              <w:pStyle w:val="TabelaTexto"/>
              <w:jc w:val="left"/>
            </w:pPr>
            <w:r>
              <w:t xml:space="preserve">Sorvia Naveda et al., 2024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com idade entre 25 e 42 anos, 89 no grupo de endometriose estágio III-IV e 89 no grupo controle com outros diagnósticos de infertilidade</w:t>
            </w:r>
          </w:p>
        </w:tc>
        <w:tc>
          <w:tcPr>
            <w:tcW w:w="2521" w:type="dxa"/>
            <w:vAlign w:val="top"/>
          </w:tcPr>
          <w:p>
            <w:pPr>
              <w:pStyle w:val="TabelaTexto"/>
              <w:jc w:val="left"/>
            </w:pPr>
            <w:r>
              <w:t xml:space="preserve">Endometriose estágio III-IV e endometriomas</w:t>
            </w:r>
          </w:p>
        </w:tc>
        <w:tc>
          <w:tcPr>
            <w:tcW w:w="2100" w:type="dxa"/>
            <w:vAlign w:val="top"/>
          </w:tcPr>
          <w:p>
            <w:pPr>
              <w:pStyle w:val="TabelaTexto"/>
              <w:jc w:val="left"/>
            </w:pPr>
            <w:r>
              <w:t xml:space="preserve">Marcadores de reserva ovariana, número de oócitos recuperados, taxa de implantação, taxa de gravidez clínica e taxa de nascidos vivos</w:t>
            </w:r>
          </w:p>
        </w:tc>
        <w:tc>
          <w:tcPr>
            <w:tcW w:w="3221" w:type="dxa"/>
            <w:vAlign w:val="top"/>
          </w:tcPr>
          <w:p>
            <w:pPr>
              <w:pStyle w:val="TabelaTexto"/>
              <w:jc w:val="left"/>
            </w:pPr>
            <w:r>
              <w:t xml:space="preserve">Endometriose estágio III-IV reduziu hormônio antimülleriano, contagem de folículos antrais, folículos totais, oócitos recuperados e oócitos em metáfase II, mas as taxas de gravidez foram similares.</w:t>
            </w:r>
          </w:p>
        </w:tc>
      </w:tr>
      <w:tr>
        <w:trPr>
          <w:cantSplit/>
        </w:trPr>
        <w:tc>
          <w:tcPr>
            <w:tcW w:w="2100" w:type="dxa"/>
            <w:vAlign w:val="top"/>
          </w:tcPr>
          <w:p>
            <w:pPr>
              <w:pStyle w:val="TabelaTexto"/>
              <w:jc w:val="left"/>
            </w:pPr>
            <w:r>
              <w:t xml:space="preserve">Bianco et al., 2023 [12]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confirmada por cirurgia e controles sem endometriose, também confirmados por inspeção da cavidade pélvica</w:t>
            </w:r>
          </w:p>
        </w:tc>
        <w:tc>
          <w:tcPr>
            <w:tcW w:w="2521" w:type="dxa"/>
            <w:vAlign w:val="top"/>
          </w:tcPr>
          <w:p>
            <w:pPr>
              <w:pStyle w:val="TabelaTexto"/>
              <w:jc w:val="left"/>
            </w:pPr>
            <w:r>
              <w:t xml:space="preserve">Variante rs10.835.638 do gene FSHB (c.-211G&gt;T), comparando mulheres com e sem endometriose e subgrupos férteis/inférteis</w:t>
            </w:r>
          </w:p>
        </w:tc>
        <w:tc>
          <w:tcPr>
            <w:tcW w:w="2100" w:type="dxa"/>
            <w:vAlign w:val="top"/>
          </w:tcPr>
          <w:p>
            <w:pPr>
              <w:pStyle w:val="TabelaTexto"/>
              <w:jc w:val="left"/>
            </w:pPr>
            <w:r>
              <w:t xml:space="preserve">Desenvolvimento e progressão da endometriose, com subdivisão em grupos fértil e infértil</w:t>
            </w:r>
          </w:p>
        </w:tc>
        <w:tc>
          <w:tcPr>
            <w:tcW w:w="3221" w:type="dxa"/>
            <w:vAlign w:val="top"/>
          </w:tcPr>
          <w:p>
            <w:pPr>
              <w:pStyle w:val="TabelaTexto"/>
              <w:jc w:val="left"/>
            </w:pPr>
            <w:r>
              <w:t xml:space="preserve">Frequências genotípicas e alélicas semelhantes entre casos e controles; alelo T associado à endometriose mínima/leve, sem relação com fertilidade.</w:t>
            </w:r>
          </w:p>
        </w:tc>
      </w:tr>
      <w:tr>
        <w:trPr>
          <w:cantSplit/>
        </w:trPr>
        <w:tc>
          <w:tcPr>
            <w:tcW w:w="2100" w:type="dxa"/>
            <w:vAlign w:val="top"/>
          </w:tcPr>
          <w:p>
            <w:pPr>
              <w:pStyle w:val="TabelaTexto"/>
              <w:jc w:val="left"/>
            </w:pPr>
            <w:r>
              <w:t xml:space="preserve">Hernández et al., 2023 [28]</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mulheres submetidas a FIV, sendo 124 com endometrioma não tratado, 55 com endometrioma tratado cirurgicamente e 65 controles</w:t>
            </w:r>
          </w:p>
        </w:tc>
        <w:tc>
          <w:tcPr>
            <w:tcW w:w="2521" w:type="dxa"/>
            <w:vAlign w:val="top"/>
          </w:tcPr>
          <w:p>
            <w:pPr>
              <w:pStyle w:val="TabelaTexto"/>
              <w:jc w:val="left"/>
            </w:pPr>
            <w:r>
              <w:t xml:space="preserve">Endometrioma ovariano com e sem cirurgia</w:t>
            </w:r>
          </w:p>
        </w:tc>
        <w:tc>
          <w:tcPr>
            <w:tcW w:w="2100" w:type="dxa"/>
            <w:vAlign w:val="top"/>
          </w:tcPr>
          <w:p>
            <w:pPr>
              <w:pStyle w:val="TabelaTexto"/>
              <w:jc w:val="left"/>
            </w:pPr>
            <w:r>
              <w:t xml:space="preserve">AMH, AFC, número de oócitos extraídos, embriões transferidos, gravidez bioquímica e batimento cardíaco fetal às 6 semanas</w:t>
            </w:r>
          </w:p>
        </w:tc>
        <w:tc>
          <w:tcPr>
            <w:tcW w:w="3221" w:type="dxa"/>
            <w:vAlign w:val="top"/>
          </w:tcPr>
          <w:p>
            <w:pPr>
              <w:pStyle w:val="TabelaTexto"/>
              <w:jc w:val="left"/>
            </w:pPr>
            <w:r>
              <w:t xml:space="preserve">Endometrioma reduziu AMH, AFC e gravidez bioquímica; cirurgia melhorou desfechos gestacionais, mas qualidade ovocitária permaneceu reduzida.</w:t>
            </w:r>
          </w:p>
        </w:tc>
      </w:tr>
      <w:tr>
        <w:trPr>
          <w:cantSplit/>
        </w:trPr>
        <w:tc>
          <w:tcPr>
            <w:tcW w:w="2100" w:type="dxa"/>
            <w:vAlign w:val="top"/>
          </w:tcPr>
          <w:p>
            <w:pPr>
              <w:pStyle w:val="TabelaTexto"/>
              <w:jc w:val="left"/>
            </w:pPr>
            <w:r>
              <w:t xml:space="preserve">Nadă et al., 2023 [29]</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laparoscópica por endometrioma comparadas a pacientes com obstrução tubária documentada</w:t>
            </w:r>
          </w:p>
        </w:tc>
        <w:tc>
          <w:tcPr>
            <w:tcW w:w="2521" w:type="dxa"/>
            <w:vAlign w:val="top"/>
          </w:tcPr>
          <w:p>
            <w:pPr>
              <w:pStyle w:val="TabelaTexto"/>
              <w:jc w:val="left"/>
            </w:pPr>
            <w:r>
              <w:t xml:space="preserve">Endometrioma ovariano com histórico de cirurgia, avaliando reserva ovariana, características da estimulação ovariana e transferência embrionária</w:t>
            </w:r>
          </w:p>
        </w:tc>
        <w:tc>
          <w:tcPr>
            <w:tcW w:w="2100" w:type="dxa"/>
            <w:vAlign w:val="top"/>
          </w:tcPr>
          <w:p>
            <w:pPr>
              <w:pStyle w:val="TabelaTexto"/>
              <w:jc w:val="left"/>
            </w:pPr>
            <w:r>
              <w:t xml:space="preserve">Resultados da estimulação ovariana, transferência embrionária e taxa de gravidez clínica após fertilização in vitro</w:t>
            </w:r>
          </w:p>
        </w:tc>
        <w:tc>
          <w:tcPr>
            <w:tcW w:w="3221" w:type="dxa"/>
            <w:vAlign w:val="top"/>
          </w:tcPr>
          <w:p>
            <w:pPr>
              <w:pStyle w:val="TabelaTexto"/>
              <w:jc w:val="left"/>
            </w:pPr>
            <w:r>
              <w:t xml:space="preserve">Pacientes com histórico de endometrioma apresentaram menor taxa de gravidez clínica que aquelas com obstrução tubária, apesar de reserva ovariana e resultados de estimulação semelhantes.</w:t>
            </w:r>
          </w:p>
        </w:tc>
      </w:tr>
      <w:tr>
        <w:trPr>
          <w:cantSplit/>
        </w:trPr>
        <w:tc>
          <w:tcPr>
            <w:tcW w:w="2100" w:type="dxa"/>
            <w:vAlign w:val="top"/>
          </w:tcPr>
          <w:p>
            <w:pPr>
              <w:pStyle w:val="TabelaTexto"/>
              <w:jc w:val="left"/>
            </w:pPr>
            <w:r>
              <w:t xml:space="preserve">Sánchez-Resendis Ó et al., 2023 [24]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14 pacientes com endometriose que desejavam adiar gravidez e preservar fertilidade</w:t>
            </w:r>
          </w:p>
        </w:tc>
        <w:tc>
          <w:tcPr>
            <w:tcW w:w="2521" w:type="dxa"/>
            <w:vAlign w:val="top"/>
          </w:tcPr>
          <w:p>
            <w:pPr>
              <w:pStyle w:val="TabelaTexto"/>
              <w:jc w:val="left"/>
            </w:pPr>
            <w:r>
              <w:t xml:space="preserve">Tratamento com implante de goserelina seguido de dispositivo intrauterino com levonorgestrel</w:t>
            </w:r>
          </w:p>
        </w:tc>
        <w:tc>
          <w:tcPr>
            <w:tcW w:w="2100" w:type="dxa"/>
            <w:vAlign w:val="top"/>
          </w:tcPr>
          <w:p>
            <w:pPr>
              <w:pStyle w:val="TabelaTexto"/>
              <w:jc w:val="left"/>
            </w:pPr>
            <w:r>
              <w:t xml:space="preserve">Intensidade da dor pélvica e preservação da fertilidade</w:t>
            </w:r>
          </w:p>
        </w:tc>
        <w:tc>
          <w:tcPr>
            <w:tcW w:w="3221" w:type="dxa"/>
            <w:vAlign w:val="top"/>
          </w:tcPr>
          <w:p>
            <w:pPr>
              <w:pStyle w:val="TabelaTexto"/>
              <w:jc w:val="left"/>
            </w:pPr>
            <w:r>
              <w:t xml:space="preserve">Cinco pacientes relataram dor (quatro intensidade 1, uma intensidade 3); todas relataram alívio geral subjetivo em 12 meses.</w:t>
            </w:r>
          </w:p>
        </w:tc>
      </w:tr>
      <w:tr>
        <w:trPr>
          <w:cantSplit/>
        </w:trPr>
        <w:tc>
          <w:tcPr>
            <w:tcW w:w="2100" w:type="dxa"/>
            <w:vAlign w:val="top"/>
          </w:tcPr>
          <w:p>
            <w:pPr>
              <w:pStyle w:val="TabelaTexto"/>
              <w:jc w:val="left"/>
            </w:pPr>
            <w:r>
              <w:t xml:space="preserve">Pontes et al., 2022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diagnóstico ultrassonográfico de endometriose profunda</w:t>
            </w:r>
          </w:p>
        </w:tc>
        <w:tc>
          <w:tcPr>
            <w:tcW w:w="2521" w:type="dxa"/>
            <w:vAlign w:val="top"/>
          </w:tcPr>
          <w:p>
            <w:pPr>
              <w:pStyle w:val="TabelaTexto"/>
              <w:jc w:val="left"/>
            </w:pPr>
            <w:r>
              <w:t xml:space="preserve">Endometriose profunda diagnosticada por ultrassonografia pélvica endovaginal com preparo intestinal</w:t>
            </w:r>
          </w:p>
        </w:tc>
        <w:tc>
          <w:tcPr>
            <w:tcW w:w="2100" w:type="dxa"/>
            <w:vAlign w:val="top"/>
          </w:tcPr>
          <w:p>
            <w:pPr>
              <w:pStyle w:val="TabelaTexto"/>
              <w:jc w:val="left"/>
            </w:pPr>
            <w:r>
              <w:t xml:space="preserve">Infertilidade e sintomas álgicos (dismenorreia, dispareunia, disquezia, disúria)</w:t>
            </w:r>
          </w:p>
        </w:tc>
        <w:tc>
          <w:tcPr>
            <w:tcW w:w="3221" w:type="dxa"/>
            <w:vAlign w:val="top"/>
          </w:tcPr>
          <w:p>
            <w:pPr>
              <w:pStyle w:val="TabelaTexto"/>
              <w:jc w:val="left"/>
            </w:pPr>
            <w:r>
              <w:t xml:space="preserve">Infertilidade em 43,8%; dismenorreia em 84,7%; dispareunia em 69,1%; disquezia menstrual em 60,7%.</w:t>
            </w:r>
          </w:p>
        </w:tc>
      </w:tr>
      <w:tr>
        <w:trPr>
          <w:cantSplit/>
        </w:trPr>
        <w:tc>
          <w:tcPr>
            <w:tcW w:w="2100" w:type="dxa"/>
            <w:vAlign w:val="top"/>
          </w:tcPr>
          <w:p>
            <w:pPr>
              <w:pStyle w:val="TabelaTexto"/>
              <w:jc w:val="left"/>
            </w:pPr>
            <w:r>
              <w:t xml:space="preserve">Bonachea-Peña et al., 2021 [3]</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pacientes com diagnóstico de dor pélvica crônica de causa ginecológica em idade fértil</w:t>
            </w:r>
          </w:p>
        </w:tc>
        <w:tc>
          <w:tcPr>
            <w:tcW w:w="2521" w:type="dxa"/>
            <w:vAlign w:val="top"/>
          </w:tcPr>
          <w:p>
            <w:pPr>
              <w:pStyle w:val="TabelaTexto"/>
              <w:jc w:val="left"/>
            </w:pPr>
            <w:r>
              <w:t xml:space="preserve">Dor pélvica crônica de causa ginecológica, principalmente endometriose</w:t>
            </w:r>
          </w:p>
        </w:tc>
        <w:tc>
          <w:tcPr>
            <w:tcW w:w="2100" w:type="dxa"/>
            <w:vAlign w:val="top"/>
          </w:tcPr>
          <w:p>
            <w:pPr>
              <w:pStyle w:val="TabelaTexto"/>
              <w:jc w:val="left"/>
            </w:pPr>
            <w:r>
              <w:t xml:space="preserve">Infertilidade e paridade</w:t>
            </w:r>
          </w:p>
        </w:tc>
        <w:tc>
          <w:tcPr>
            <w:tcW w:w="3221" w:type="dxa"/>
            <w:vAlign w:val="top"/>
          </w:tcPr>
          <w:p>
            <w:pPr>
              <w:pStyle w:val="TabelaTexto"/>
              <w:jc w:val="left"/>
            </w:pPr>
            <w:r>
              <w:t xml:space="preserve">Endometriose foi a principal causa de dor pélvica; maioria das mulheres era multípara e apresentava infertilidade.</w:t>
            </w:r>
          </w:p>
        </w:tc>
      </w:tr>
      <w:tr>
        <w:trPr>
          <w:cantSplit/>
        </w:trPr>
        <w:tc>
          <w:tcPr>
            <w:tcW w:w="2100" w:type="dxa"/>
            <w:vAlign w:val="top"/>
          </w:tcPr>
          <w:p>
            <w:pPr>
              <w:pStyle w:val="TabelaTexto"/>
              <w:jc w:val="left"/>
            </w:pPr>
            <w:r>
              <w:t xml:space="preserve">Caran et al., 2021 [22]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706 embriões de 162 pacientes, 472 embriões de 109 pacientes sem endometriose e 234 embriões de 53 pacientes com endometriose peritoneal</w:t>
            </w:r>
          </w:p>
        </w:tc>
        <w:tc>
          <w:tcPr>
            <w:tcW w:w="2521" w:type="dxa"/>
            <w:vAlign w:val="top"/>
          </w:tcPr>
          <w:p>
            <w:pPr>
              <w:pStyle w:val="TabelaTexto"/>
              <w:jc w:val="left"/>
            </w:pPr>
            <w:r>
              <w:t xml:space="preserve">Endometriose peritoneal</w:t>
            </w:r>
          </w:p>
        </w:tc>
        <w:tc>
          <w:tcPr>
            <w:tcW w:w="2100" w:type="dxa"/>
            <w:vAlign w:val="top"/>
          </w:tcPr>
          <w:p>
            <w:pPr>
              <w:pStyle w:val="TabelaTexto"/>
              <w:jc w:val="left"/>
            </w:pPr>
            <w:r>
              <w:t xml:space="preserve">Qualidade embrionária (escore embrionário graduado), taxas de fertilização, implantação e gravidez</w:t>
            </w:r>
          </w:p>
        </w:tc>
        <w:tc>
          <w:tcPr>
            <w:tcW w:w="3221" w:type="dxa"/>
            <w:vAlign w:val="top"/>
          </w:tcPr>
          <w:p>
            <w:pPr>
              <w:pStyle w:val="TabelaTexto"/>
              <w:jc w:val="left"/>
            </w:pPr>
            <w:r>
              <w:t xml:space="preserve">A qualidade embrionária medida pelo escore embrionário graduado não foi influenciada pela endometriose peritoneal, com taxas de fertilização, implantação e gravidez semelhantes.</w:t>
            </w:r>
          </w:p>
        </w:tc>
      </w:tr>
      <w:tr>
        <w:trPr>
          <w:cantSplit/>
        </w:trPr>
        <w:tc>
          <w:tcPr>
            <w:tcW w:w="2100" w:type="dxa"/>
            <w:vAlign w:val="top"/>
          </w:tcPr>
          <w:p>
            <w:pPr>
              <w:pStyle w:val="TabelaTexto"/>
              <w:jc w:val="left"/>
            </w:pPr>
            <w:r>
              <w:t xml:space="preserve">Giorgi et al., 2021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quase-experimental; 883 zigotos bovinos cultivados in vitro, utilizando fluido folicular de 11 mulheres com endometriose leve e 11 controles</w:t>
            </w:r>
          </w:p>
        </w:tc>
        <w:tc>
          <w:tcPr>
            <w:tcW w:w="2521" w:type="dxa"/>
            <w:vAlign w:val="top"/>
          </w:tcPr>
          <w:p>
            <w:pPr>
              <w:pStyle w:val="TabelaTexto"/>
              <w:jc w:val="left"/>
            </w:pPr>
            <w:r>
              <w:t xml:space="preserve">Endometriose leve (fluido folicular)</w:t>
            </w:r>
          </w:p>
        </w:tc>
        <w:tc>
          <w:tcPr>
            <w:tcW w:w="2100" w:type="dxa"/>
            <w:vAlign w:val="top"/>
          </w:tcPr>
          <w:p>
            <w:pPr>
              <w:pStyle w:val="TabelaTexto"/>
              <w:jc w:val="left"/>
            </w:pPr>
            <w:r>
              <w:t xml:space="preserve">Desenvolvimento in vitro de embriões bovinos, taxa de clivagem, formação de blastocistos e taxa de eclosão</w:t>
            </w:r>
          </w:p>
        </w:tc>
        <w:tc>
          <w:tcPr>
            <w:tcW w:w="3221" w:type="dxa"/>
            <w:vAlign w:val="top"/>
          </w:tcPr>
          <w:p>
            <w:pPr>
              <w:pStyle w:val="TabelaTexto"/>
              <w:jc w:val="left"/>
            </w:pPr>
            <w:r>
              <w:t xml:space="preserve">Fluido folicular de mulheres com endometriose leve prejudicou a taxa de eclosão embrionária, e a N-acetil-cisteína preveniu esse dano, sugerindo envolvimento do estresse oxidativo.</w:t>
            </w:r>
          </w:p>
        </w:tc>
      </w:tr>
      <w:tr>
        <w:trPr>
          <w:cantSplit/>
        </w:trPr>
        <w:tc>
          <w:tcPr>
            <w:tcW w:w="2100" w:type="dxa"/>
            <w:vAlign w:val="top"/>
          </w:tcPr>
          <w:p>
            <w:pPr>
              <w:pStyle w:val="TabelaTexto"/>
              <w:jc w:val="left"/>
            </w:pPr>
            <w:r>
              <w:t xml:space="preserve">Sousa et al., 2021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20 mulheres com endometriose inscritas em grupo específico no Instagram</w:t>
            </w:r>
          </w:p>
        </w:tc>
        <w:tc>
          <w:tcPr>
            <w:tcW w:w="2521" w:type="dxa"/>
            <w:vAlign w:val="top"/>
          </w:tcPr>
          <w:p>
            <w:pPr>
              <w:pStyle w:val="TabelaTexto"/>
              <w:jc w:val="left"/>
            </w:pPr>
            <w:r>
              <w:t xml:space="preserve">Conhecimento sobre endometriose e planejamento familiar</w:t>
            </w:r>
          </w:p>
        </w:tc>
        <w:tc>
          <w:tcPr>
            <w:tcW w:w="2100" w:type="dxa"/>
            <w:vAlign w:val="top"/>
          </w:tcPr>
          <w:p>
            <w:pPr>
              <w:pStyle w:val="TabelaTexto"/>
              <w:jc w:val="left"/>
            </w:pPr>
            <w:r>
              <w:t xml:space="preserve">Conhecimento sobre planejamento familiar, direitos reprodutivos e fertilização in vitro</w:t>
            </w:r>
          </w:p>
        </w:tc>
        <w:tc>
          <w:tcPr>
            <w:tcW w:w="3221" w:type="dxa"/>
            <w:vAlign w:val="top"/>
          </w:tcPr>
          <w:p>
            <w:pPr>
              <w:pStyle w:val="TabelaTexto"/>
              <w:jc w:val="left"/>
            </w:pPr>
            <w:r>
              <w:t xml:space="preserve">85% tinham dúvidas sobre a doença; 80% desconheciam direito ao planejamento familiar ou fertilização in vitro; conhecimento limitado.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IMC = índice de massa corporal; NLR = razão neutrófilo-linfócito; PLR = razão plaqueta-linfócito.</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15 coortes retrospectivas; 7 estudos transversais; 3 coortes prospectivas; 2 estudos de caso-controle; 1 estudo quase-experimental; 1 série de casos; 1 outro delineamento. O intervalo de publicação abrangeu de 2021 a 2026. A distribuição geográfica compreendeu 13 países: Brasil (8), China (6), Estados Unidos (2), México (2), Romênia (2), Turquia (2), Venezuela (2), Coreia do Sul (1), Cuba (1), Espanha (1), França (1), Indonésia (1), Reino Unido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Alterações na reserva ovariana e foliculogênese associadas à endometriose</w:t>
            </w:r>
          </w:p>
        </w:tc>
        <w:tc>
          <w:tcPr>
            <w:tcW w:w="1089" w:type="dxa"/>
            <w:vAlign w:val="top"/>
          </w:tcPr>
          <w:p>
            <w:pPr>
              <w:pStyle w:val="TabelaTextoCentro"/>
              <w:jc w:val="center"/>
            </w:pPr>
            <w:r>
              <w:t xml:space="preserve">20</w:t>
            </w:r>
          </w:p>
        </w:tc>
        <w:tc>
          <w:tcPr>
            <w:tcW w:w="1179" w:type="dxa"/>
            <w:vAlign w:val="top"/>
          </w:tcPr>
          <w:p>
            <w:pPr>
              <w:pStyle w:val="TabelaTextoCentro"/>
              <w:jc w:val="center"/>
            </w:pPr>
            <w:r>
              <w:t xml:space="preserve">66,7</w:t>
            </w:r>
          </w:p>
        </w:tc>
        <w:tc>
          <w:tcPr>
            <w:tcW w:w="2268" w:type="dxa"/>
            <w:vAlign w:val="top"/>
          </w:tcPr>
          <w:p>
            <w:pPr>
              <w:pStyle w:val="TabelaTextoCentro"/>
              <w:jc w:val="center"/>
            </w:pPr>
            <w:r>
              <w:t xml:space="preserve">[1-7,13-18,24-30]</w:t>
            </w:r>
          </w:p>
        </w:tc>
      </w:tr>
      <w:tr>
        <w:trPr>
          <w:cantSplit/>
        </w:trPr>
        <w:tc>
          <w:tcPr>
            <w:tcW w:w="4536" w:type="dxa"/>
            <w:vAlign w:val="top"/>
          </w:tcPr>
          <w:p>
            <w:pPr>
              <w:pStyle w:val="TabelaTexto"/>
              <w:jc w:val="left"/>
            </w:pPr>
            <w:r>
              <w:t xml:space="preserve">Impacto na qualidade ovocitária e embrionária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[8,11,19-22]</w:t>
            </w:r>
          </w:p>
        </w:tc>
      </w:tr>
      <w:tr>
        <w:trPr>
          <w:cantSplit/>
        </w:trPr>
        <w:tc>
          <w:tcPr>
            <w:tcW w:w="4536" w:type="dxa"/>
            <w:vAlign w:val="top"/>
          </w:tcPr>
          <w:p>
            <w:pPr>
              <w:pStyle w:val="TabelaTexto"/>
              <w:jc w:val="left"/>
            </w:pPr>
            <w:r>
              <w:t xml:space="preserve">Disfunções na receptividade endometrial e implantação</w:t>
            </w:r>
          </w:p>
        </w:tc>
        <w:tc>
          <w:tcPr>
            <w:tcW w:w="1089" w:type="dxa"/>
            <w:vAlign w:val="top"/>
          </w:tcPr>
          <w:p>
            <w:pPr>
              <w:pStyle w:val="TabelaTextoCentro"/>
              <w:jc w:val="center"/>
            </w:pPr>
            <w:r>
              <w:t xml:space="preserve">1</w:t>
            </w:r>
          </w:p>
        </w:tc>
        <w:tc>
          <w:tcPr>
            <w:tcW w:w="1179" w:type="dxa"/>
            <w:vAlign w:val="top"/>
          </w:tcPr>
          <w:p>
            <w:pPr>
              <w:pStyle w:val="TabelaTextoCentro"/>
              <w:jc w:val="center"/>
            </w:pPr>
            <w:r>
              <w:t xml:space="preserve">3,3</w:t>
            </w:r>
          </w:p>
        </w:tc>
        <w:tc>
          <w:tcPr>
            <w:tcW w:w="2268" w:type="dxa"/>
            <w:vAlign w:val="top"/>
          </w:tcPr>
          <w:p>
            <w:pPr>
              <w:pStyle w:val="TabelaTextoCentro"/>
              <w:jc w:val="center"/>
            </w:pPr>
            <w:r>
              <w:t xml:space="preserve">[23]</w:t>
            </w:r>
          </w:p>
        </w:tc>
      </w:tr>
      <w:tr>
        <w:trPr>
          <w:cantSplit/>
        </w:trPr>
        <w:tc>
          <w:tcPr>
            <w:tcW w:w="4536" w:type="dxa"/>
            <w:vAlign w:val="top"/>
          </w:tcPr>
          <w:p>
            <w:pPr>
              <w:pStyle w:val="TabelaTexto"/>
              <w:jc w:val="left"/>
            </w:pPr>
            <w:r>
              <w:t xml:space="preserve">Mecanismos inflamatórios e endócrinos no eixo hipotálamo-hipófise-ovário</w:t>
            </w:r>
          </w:p>
        </w:tc>
        <w:tc>
          <w:tcPr>
            <w:tcW w:w="1089" w:type="dxa"/>
            <w:vAlign w:val="top"/>
          </w:tcPr>
          <w:p>
            <w:pPr>
              <w:pStyle w:val="TabelaTextoCentro"/>
              <w:jc w:val="center"/>
            </w:pPr>
            <w:r>
              <w:t xml:space="preserve">3</w:t>
            </w:r>
          </w:p>
        </w:tc>
        <w:tc>
          <w:tcPr>
            <w:tcW w:w="1179" w:type="dxa"/>
            <w:vAlign w:val="top"/>
          </w:tcPr>
          <w:p>
            <w:pPr>
              <w:pStyle w:val="TabelaTextoCentro"/>
              <w:jc w:val="center"/>
            </w:pPr>
            <w:r>
              <w:t xml:space="preserve">10,0</w:t>
            </w:r>
          </w:p>
        </w:tc>
        <w:tc>
          <w:tcPr>
            <w:tcW w:w="2268" w:type="dxa"/>
            <w:vAlign w:val="top"/>
          </w:tcPr>
          <w:p>
            <w:pPr>
              <w:pStyle w:val="TabelaTextoCentro"/>
              <w:jc w:val="center"/>
            </w:pPr>
            <w:r>
              <w:t xml:space="preserve">[9,10,12]</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A endometriose compromete o eixo reprodutivo por vias biológicas multifatoriais, que culminam no declínio acelerado da reserva folicular e na deterioração da competência meiótica dos gametas. Evidências clínicas na América Latina e na Europa demonstram que pacientes portadoras de doença moderada a grave (estágios III e IV) sofrem decréscimos substanciais em biomarcadores ovarianos substitutos, especificamente no hormônio antimülleriano (HAM) sérico e na contagem de folículos antrais (CFA), quando comparadas a mulheres inférteis por fatores masculinos ou tubários [1,15,16,28]. Em coorte prospectiva mexicana com 178 participantes, mulheres com estadiamento III-IV apresentaram HAM médio de 1,6 ± 1,3 ng/mL frente a 2,5 ± 1,4 ng/mL nos controles (p &lt; 0,005), paralelamente a um encolhimento expressivo da CFA de 11,4 ± 8,3 contra 17,5 ± 10,3 (p &lt; 0,001) [1]. Na mesma linha de investigação, coorte transversal brasileira registrou mediana de HAM de 0,66 ng/mL em portadoras com presença de autoanticorpos antitireoidianos versus 1,37 ng/mL no estrato soronegativo (p = 0,09) [3]. Embora esse último contraste não tenha alcançado significância estatística convencional em razão do poder amostral limitado, a tendência aponta para uma vulnerabilidade folicular exacerbada quando fenômenos autoimunes sobrepõem-se ao microambiente da endometriose [3].</w:t>
      </w:r>
    </w:p>
    <w:p>
      <w:pPr>
        <w:pStyle w:val="Normal"/>
      </w:pPr>
      <w:r>
        <w:t xml:space="preserve">Essa depleção quantitativa repercute na resposta ovariana à estimulação exógena. Casuísticas multicêntricas confirmam colheitas ovocitárias reduzidas e rendimento inferior de oócitos em metáfase II, agravo que atinge magnitude crítica naquelas submetidas à ablação cirúrgica ovariana prévia [17,23,26,29,30]. Em coorte com 3.517 pacientes, a incidência de baixa reserva ovariana (definida por HAM &lt; 1,1 ng/mL) alcançou 26,23% nas mulheres submetidas a cistectomia, sobrepujando os índices observados na conduta não cirúrgica (12,90%) e nos controles sem afecção ovariana (13,56%) [23]. A coorte mexicana corroborou essa restrição quantitativa: o grupo com endometriose moderada a grave desenvolveu menos folículos totais (16,2 ± 8,8 versus 23,1 ± 9,7; p &lt; 0,001) e produziu uma colheita ovocitária significativamente deprimida (7,3 ± 5,1 versus 10,4 ± 4,6; p &lt; 0,001) [1]. Essa perda de biomarcadores substitutos sinaliza menor volume de trabalho para o laboratório de embriologia, impondo limitações numéricas imediatas ao processo de fertilização.</w:t>
      </w:r>
    </w:p>
    <w:p>
      <w:pPr>
        <w:pStyle w:val="Normal"/>
      </w:pPr>
      <w:r>
        <w:t xml:space="preserve">A agressão transcende a contagem de folículos e atinge a qualidade biológica intrínseca do oócito. Em modelo translacional controlado, o fluido folicular colhido de pacientes com endometriose inicial provocou colapso na taxa de eclosão de blastocistos para 12,5%, contra 42,1% no controle não exposto (p = 0,029); a adição do antioxidante N-acetil-cisteína neutralizou essa injúria e restaurou a eclosão para 44,4% (p = 0,02) [5]. O achado corrobora a hipótese de que o excesso de espécies reativas de oxigênio e mediadores lipoperoxidativos no estroma gonadal lesa a integridade de organelas e inviabiliza o desenvolvimento embrionário inicial [5]. Paralelamente, análises de sequenciamento em célula única (</w:t>
      </w:r>
      <w:r>
        <w:rPr>
          <w:i/>
        </w:rPr>
        <w:t xml:space="preserve">single-cell dual-omics</w:t>
      </w:r>
      <w:r>
        <w:t xml:space="preserve">) identificaram desarranjos na maquinaria de tradução proteica de gametas expostos ao microambiente do endometrioma, desregulando vias de resposta ao estresse oxidativo, checkpoints de meiose e o complexo do spliceossomo [22]. Essa vulnerabilidade reflete-se na morfologia: análise de 92 ciclos de injeção intracitoplasmática revelou índice de desbalanço morfológico ovocitário (AOQI) de 1,50 nas mulheres com endometrioma, significativamente superior ao valor de 1,00 observado na infertilidade sem causa aparente (p = 0,037), equiparando-se ao dano visto no grupo com reserva ovariana diminuída (1,42) e mantendo correlação inversa com os títulos de HAM (r = -0,242; p = 0,02) [18]. A lesão oxidativa crônica degrada o aparelho citoplasmático antes mesmo da fertilização.</w:t>
      </w:r>
    </w:p>
    <w:p>
      <w:pPr>
        <w:pStyle w:val="Normal"/>
      </w:pPr>
      <w:r>
        <w:t xml:space="preserve">No polo endometrial, os dados dissociam desfechos substitutos de desfechos clínicos duros. Uma coorte francesa não detectou prejuízos na taxa de gravidez em curso no cômputo geral, embora desfechos cumulativos por casal tenham recuado no fenótipo com endometriose profunda infiltrativa (p &lt; 0,05) [28]. Sob outra perspectiva, análise de 625 ciclos com rastreamento genético pré-implantacional para aneuploidias demonstrou equivalência estrita nas taxas de implantação, gestação clínica e nascidos vivos, não obstante uma taxa mais expressiva de aneuploidias nos blastocistos gerados por mulheres com endometriose (p = 0,012) [27]. Essa dissociação elucida um mecanismo preponderante: uma vez contornado o filtro da seleção embrionária pela transferência de blastocistos comprovadamente euploides, o endométrio dessas pacientes preserva capacidade funcional satisfatória para suportar a nidação e a evolução gestacional até o parto.</w:t>
      </w:r>
    </w:p>
    <w:p>
      <w:pPr>
        <w:pStyle w:val="Titulo2"/>
      </w:pPr>
      <w:r>
        <w:rPr>
          <w:b/>
        </w:rPr>
        <w:t xml:space="preserve">4.2 Diálogo crítico entre os estudos</w:t>
      </w:r>
    </w:p>
    <w:p>
      <w:pPr>
        <w:pStyle w:val="Normal"/>
      </w:pPr>
      <w:r>
        <w:t xml:space="preserve">A literatura exibe concordância substancial quanto ao dano folicular quantitativo, mas polariza-se quando os desfechos analisados migram de parâmetros laboratoriais intermediários para desfechos clínicos centrados no paciente. Séries clínicas clássicas associam a endometriose ovariana e a cirurgia prévia a quedas contundentes na taxa de gestação clínica quando comparadas ao fator tubário puro [21,26,29,30]. Em contrapartida, coortes contemporâneas não identificaram decréscimos significativos nas taxas de fertilização, qualidade morfológica embrionária ou nascidos vivos, especialmente em quadros peritoneais incipientes [2,25]. A raiz dessa disparidade repousa na heterogeneidade clínica e metodológica das amostras. Coortes com prognósticos desfavoráveis agregam endometriomas bilaterais volumosos, estágios cirúrgicos IV e histórico de múltiplas intervenções ovarianas [21,23,26]. Já as casuísticas que relatam taxas gestacionais sobreponíveis concentram endometriose mínima a leve ou populações jovens, nas quais a reserva biológica remanescente compensa perdas pontuais [2,25].</w:t>
      </w:r>
    </w:p>
    <w:p>
      <w:pPr>
        <w:pStyle w:val="Normal"/>
      </w:pPr>
      <w:r>
        <w:t xml:space="preserve">Essa diferença fenotípica não torna a doença peritoneal biologicamente inócua. Em mulheres com implantes peritoneais superficiais isolados, as concentrações séricas de HAM apresentaram-se inferiores às de controles saudáveis (p = 0,009), acompanhadas por elevação marcante de interleucina 17 (IL-17), interleucina 23 (IL-23) e TNF-α no fluido peritoneal [20]. O achado descontrói o pressuposto de que a depleção folicular decorre exclusivamente do efeito de massa mecânica exercido pelo endometrioma: a difusão transmural de mediadores imunes inflamatórios agride o córtex ovariano por sinalização parácrina e sistêmica contínua [20]. Todavia, comparar a resposta imune entre coortes distintas esbarra em distorções laboratoriais acentuadas, perceptíveis no reporte da proteína C-reativa (PCR). A literatura opera com ensaios ultrassensíveis que definem limiares patológicos a partir de 8,2 mg/L, ao passo que coortes clínicas adotam pontos de corte convencionais fixados em 100 mg/L (frequentemente relatados como 10 mg/dL). Essa variação de mais de doze vezes impede a confrontação direta da magnitude do estresse inflamatório entre populações cirúrgicas e ambulatoriais.</w:t>
      </w:r>
    </w:p>
    <w:p>
      <w:pPr>
        <w:pStyle w:val="Normal"/>
      </w:pPr>
      <w:r>
        <w:t xml:space="preserve">Vieses de seleção e disparidades sociodemográficas regionais aprofundam a heterogeneidade dos desfechos duros. Em centros de referência da América Latina, onde o atraso diagnóstico protela o manejo por quase uma década, as pacientes ingressam no sistema em estágios avançados de destruição anatômica. Em coorte venezuelana, 97,83% das mulheres diagnosticadas apresentavam infertilidade, perfazendo uma razão de risco de 6,65 para o agravo [4]. Similarmente, casuística brasileira com 227 pacientes identificou infertilidade em 43,8% dos casos, associada a taxas alarmantes de dismenorreia grave (84,7%) e dor pélvica crônica incapacitante [11]. Essa severidade basal contrasta com séries do norte europeu, nas quais diagnósticos precoces atenuam o dano inflamatório crônico sobre os anexos uterinos.</w:t>
      </w:r>
    </w:p>
    <w:p>
      <w:pPr>
        <w:pStyle w:val="Normal"/>
      </w:pPr>
      <w:r>
        <w:t xml:space="preserve">No campo intervencional, o dilema entre cirurgia excisional e encaminhamento imediato para fertilização assistida define trajetórias reprodutivas divergentes. Em portadoras de endometriose com reserva diminuída, a condução da estimulação ovariana sob protocolo ultralongo com agonista de GnRH rendeu uma taxa cumulativa de nascidos vivos de 48,5%, suplantando o protocolo longo tradicional (OR: 0,577; p = 0,042), o protocolo curto (OR: 0,608; p = 0,028) e os esquemas flexíveis com antagonista de GnRH (OR: 0,486; p = 0,004) [17]. A supressão profunda prévia arrefece a tempestade inflamatória pélvica e melhora a sincronia folicular [17]. Frente a endometriomas ≥4 cm, a escleroterapia ecoguiada com etanol alcançou taxa cumulativa de nascidos vivos de 65%, superando tanto a cistectomia laparoscópica (29%) quanto o manejo puramente expectante (30,8%) [24]. Esse contraste consolida o princípio de que a cistectomia mecânica indiscriminada retira estroma cortical sadio junto à cápsula do cisto e impõe dano térmico vascular irreparável, sacrificando o patrimônio folicular em troca de um desfecho estritamente anatômico [19,23,24].</w:t>
      </w:r>
    </w:p>
    <w:p>
      <w:pPr>
        <w:pStyle w:val="Titulo2"/>
      </w:pPr>
      <w:r>
        <w:rPr>
          <w:b/>
        </w:rPr>
        <w:t xml:space="preserve">4.3 Limitações</w:t>
      </w:r>
    </w:p>
    <w:p>
      <w:pPr>
        <w:pStyle w:val="Normal"/>
      </w:pPr>
      <w:r>
        <w:t xml:space="preserve">Esta revisão integrativa herda as limitações metodológicas intrínsecas aos estudos primários analisados. Prevalecem coortes retrospectivas e transversais unicêntricas, sujeitas a viés de seleção e de atrito amostral, onde mulheres com dor refratária e infertilidade prolongada são sobrerrepresentadas em relação à população comunitária assintomática. A inconsistência na mensuração de desfechos operatórios também restringe conclusões robustas: investigações primárias aglutinam eventos extremos de conversão para laparotomia a parâmetros técnicos moderados, como a ressecção subtotal da cápsula e o prolongamento do tempo cirúrgico, impedindo a quantificação unívoca do trauma cirúrgico sobre o parênquima ovariano. Outro fator restritivo reside na padronização analítica de biomarcadores laboratoriais, com desvios metodológicos que abrangem desde cortes discrepantes de PCR até a ausência de calibração cruzada em ensaios de HAM. Por fim, a impossibilidade de executar metanálise quantitativa decorre da variabilidade fenotípica das coortes, as quais mesclam desde implantes peritoneais mínimos até obliterações completas do fundo de saco, enfraquecendo a comparabilidade estatística direta.</w:t>
      </w:r>
    </w:p>
    <w:p>
      <w:pPr>
        <w:pStyle w:val="Titulo2"/>
      </w:pPr>
      <w:r>
        <w:rPr>
          <w:b/>
        </w:rPr>
        <w:t xml:space="preserve">4.4 Implicações para a prática e para</w:t>
      </w:r>
    </w:p>
    <w:p>
      <w:pPr>
        <w:pStyle w:val="Titulo1"/>
      </w:pPr>
      <w:r>
        <w:rPr>
          <w:b/>
        </w:rPr>
        <w:t xml:space="preserve">5 Conclusão</w:t>
      </w:r>
    </w:p>
    <w:p>
      <w:pPr>
        <w:pStyle w:val="Normal"/>
      </w:pPr>
      <w:r>
        <w:t xml:space="preserve">A endometriose afeta o eixo reprodutivo feminino por uma cascata multifatorial que combina estresse oxidativo intrafolicular, inflamação peritoneal crônica e desestruturação anatômica pélvica. Essa agressão contínua degrada desfechos laboratoriais substitutos — reduzindo os níveis de hormônio antimülleriano e a contagem de folículos antrais —, enquanto induz perturbações transcriptômicas e mitocondriais que comprometem o rendimento de oócitos maduros em metáfase II e a qualidade embrionária. Tais alterações repercutem diretamente em desfechos clínicos duros, diminuindo as taxas de gestação clínica espontânea e as taxas cumulativas de nascidos vivos em ciclos de reprodução assistida, sobretudo quando há infiltração profunda ou adenomiose associada.</w:t>
      </w:r>
    </w:p>
    <w:p>
      <w:pPr>
        <w:pStyle w:val="Normal"/>
      </w:pPr>
      <w:r>
        <w:t xml:space="preserve">Cirurgias excisionais ovarianas inadvertidas potencializam a perda da reserva folicular, o que reforça a urgência de abordagens conservadoras focadas na preservação precoce da fertilidade e na personalização da estimulação ovariana controlada. As evidências atuais, contudo, exibem limitações metodológicas decorrentes da preponderância de delineamentos observacionais com expressiva heterogeneidade quanto aos esquemas de gonadotrofinas, aos critérios de estadiamento e ao controle de cofatores como a idade biológica. Para dirimir essas lacunas, investigações futuras devem priorizar ensaios longitudinais com painéis biomoleculares padronizados, estabelecendo a janela ideal de intervenção terapêutica antes da perda irreversível do potencial fértil.</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2026-10-13T20:09:40Z</dcterms:created>
  <dcterms:modified xsi:type="dcterms:W3CDTF">2026-10-13T20:09:40Z</dcterms:modified>
</cp:coreProperties>
</file>