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Repercussões da endometriose na integridade do eixo reprodutivo e nos desfechos de fertilidade: revisão integrativa da literatura</w:t>
      </w:r>
    </w:p>
    <w:p>
      <w:pPr>
        <w:pStyle w:val="Subtitulo"/>
      </w:pPr>
      <w:r>
        <w:rPr>
          <w:i/>
        </w:rPr>
        <w:t xml:space="preserve">Impacts of endometriosis on reproductive axis integrity and fertility outcomes: an integrative literature review</w:t>
      </w:r>
    </w:p>
    <w:p>
      <w:pPr>
        <w:pStyle w:val="Subtitulo"/>
      </w:pPr>
      <w:r>
        <w:rPr>
          <w:i/>
        </w:rPr>
        <w:t xml:space="preserve">Repercusiones de la endometriosis en la integridad del eje reproductivo y los resultados de fertilidad: revisión integrativa de la literatura</w:t>
      </w:r>
    </w:p>
    <w:p>
      <w:pPr>
        <w:pStyle w:val="Resumo"/>
      </w:pPr>
      <w:r>
        <w:rPr>
          <w:b/>
        </w:rPr>
        <w:t xml:space="preserve">RESUMO:</w:t>
      </w:r>
      <w:r>
        <w:t xml:space="preserve"> </w:t>
      </w:r>
      <w:r>
        <w:rPr>
          <w:b/>
        </w:rPr>
        <w:t xml:space="preserve">Objetivo:</w:t>
      </w:r>
      <w:r>
        <w:t xml:space="preserve"> Sintetizar as evidências sobre os mecanismos pelos quais a endometriose compromete a integridade do eixo reprodutivo feminino e os parâmetros clínicos e laboratoriais de fertilidade em mulheres em idade reprodutiva. </w:t>
      </w:r>
      <w:r>
        <w:rPr>
          <w:b/>
        </w:rPr>
        <w:t xml:space="preserve">Métodos:</w:t>
      </w:r>
      <w:r>
        <w:t xml:space="preserve"> Revisão integrativa orientada pelas diretrizes PRISMA, com buscas no PubMed/MEDLINE, SciELO e LILACS (2021-2026). Utilizaram-se descritores controlados para endometriose, fertilidade e reserva ovariana em português, inglês e espanhol. Foram incluídos 30 estudos primários observacionais e intervencionais avaliados criticamente quanto à qualidade metodológica e risco de viés. </w:t>
      </w:r>
      <w:r>
        <w:rPr>
          <w:b/>
        </w:rPr>
        <w:t xml:space="preserve">Resultados:</w:t>
      </w:r>
      <w:r>
        <w:t xml:space="preserve"> A doença degrada a fertilidade por sinergismo entre inflamação peritoneal mediada por citocinas, estresse oxidativo intrafolicular e distorção anatômica pélvica. Observou-se declínio consistente de biomarcadores de reserva ovariana (hormônio antimülleriano e contagem de folículos antrais), intensificado em lesões profundas, estágios III-IV e após cistectomias excisionais. Em ciclos de reprodução assistida, disfunções mitocondriais e transcriptômicas oocitárias associaram-se a menor recuperação de oócitos em metáfase II, clivagens anômalas e redução expressiva nas taxas de implantação e de nascidos vivos cumulativos. </w:t>
      </w:r>
      <w:r>
        <w:rPr>
          <w:b/>
        </w:rPr>
        <w:t xml:space="preserve">Conclusão:</w:t>
      </w:r>
      <w:r>
        <w:t xml:space="preserve"> A endometriose compromete o potencial reprodutivo tanto pela depleção quantitativa da reserva folicular quanto pela perda qualitativa oocitária e embrionária. O manejo clínico exige condutas cirúrgicas parcimoniosas e estratégias de preservação oocitária precoces.</w:t>
      </w:r>
    </w:p>
    <w:p>
      <w:pPr>
        <w:pStyle w:val="PalavrasChave"/>
      </w:pPr>
      <w:r>
        <w:rPr>
          <w:b/>
        </w:rPr>
        <w:t xml:space="preserve">Palavras-chave:</w:t>
      </w:r>
      <w:r>
        <w:t xml:space="preserve"> Endometriose; Infertilidade Feminina; Reserva Ovariana; Qualidade do Oócito; Receptividade Endometrial.</w:t>
      </w:r>
    </w:p>
    <w:p>
      <w:pPr>
        <w:pStyle w:val="Resumo"/>
      </w:pPr>
      <w:r>
        <w:rPr>
          <w:b/>
        </w:rPr>
        <w:t xml:space="preserve">ABSTRACT:</w:t>
      </w:r>
      <w:r>
        <w:t xml:space="preserve"> </w:t>
      </w:r>
      <w:r>
        <w:rPr>
          <w:b/>
        </w:rPr>
        <w:t xml:space="preserve">Objective:</w:t>
      </w:r>
      <w:r>
        <w:t xml:space="preserve"> To synthesize evidence on the mechanisms through which endometriosis impairs female reproductive axis integrity and clinical and laboratory fertility parameters in women of reproductive age. </w:t>
      </w:r>
      <w:r>
        <w:rPr>
          <w:b/>
        </w:rPr>
        <w:t xml:space="preserve">Methods:</w:t>
      </w:r>
      <w:r>
        <w:t xml:space="preserve"> Integrative review guided by PRISMA recommendations, searching PubMed/MEDLINE, SciELO, and LILACS (2021-2026). Controlled descriptors for endometriosis, fertility, and ovarian reserve were applied across English, Portuguese, and Spanish. Thirty primary observational and interventional studies were included following critical appraisal of methodological quality and risk of bias. </w:t>
      </w:r>
      <w:r>
        <w:rPr>
          <w:b/>
        </w:rPr>
        <w:t xml:space="preserve">Results:</w:t>
      </w:r>
      <w:r>
        <w:t xml:space="preserve"> The disease undermines fertility through synergistic interactions among cytokine-driven peritoneal inflammation, intrafollicular oxidative stress, and pelvic architectural distortion. A consistent decline in ovarian reserve biomarkers (anti-Müllerian hormone and antral follicle count) was identified, magnified in deep lesions, stages III-IV, and post-excisional cystectomy. In assisted reproduction cycles, oocyte mitochondrial and transcriptomic alterations were linked to reduced metaphase II oocyte yield, aberrant cleavage rates, and markedly lower implantation and cumulative live birth rates. </w:t>
      </w:r>
      <w:r>
        <w:rPr>
          <w:b/>
        </w:rPr>
        <w:t xml:space="preserve">Conclusion:</w:t>
      </w:r>
      <w:r>
        <w:t xml:space="preserve"> Endometriosis compromises reproductive competence via quantitative depletion of the follicular pool and qualitative oocyte-embryo degradation. Clinical management requires conservative surgical strategies and timely fertility preservation.</w:t>
      </w:r>
    </w:p>
    <w:p>
      <w:pPr>
        <w:pStyle w:val="PalavrasChave"/>
      </w:pPr>
      <w:r>
        <w:rPr>
          <w:b/>
        </w:rPr>
        <w:t xml:space="preserve">Keywords:</w:t>
      </w:r>
      <w:r>
        <w:t xml:space="preserve"> Endometriosis; Female Infertility; Ovarian Reserve; Oocyte Quality; Endometrial Receptivity.</w:t>
      </w:r>
    </w:p>
    <w:p>
      <w:pPr>
        <w:pStyle w:val="Resumo"/>
      </w:pPr>
      <w:r>
        <w:rPr>
          <w:b/>
        </w:rPr>
        <w:t xml:space="preserve">RESUMEN:</w:t>
      </w:r>
      <w:r>
        <w:t xml:space="preserve"> </w:t>
      </w:r>
      <w:r>
        <w:rPr>
          <w:b/>
        </w:rPr>
        <w:t xml:space="preserve">Objetivo:</w:t>
      </w:r>
      <w:r>
        <w:t xml:space="preserve"> Sintetizar la evidencia científica sobre las repercusiones de la endometriosis en la integridad del eje reproductivo femenino y los parámetros de fertilidad. </w:t>
      </w:r>
      <w:r>
        <w:rPr>
          <w:b/>
        </w:rPr>
        <w:t xml:space="preserve">Métodos:</w:t>
      </w:r>
      <w:r>
        <w:t xml:space="preserve"> Revisión integrativa de la literatura realizada el 28 de septiembre de 2026 en las bases de datos PubMed/MEDLINE, SciELO y LILACS, que abarcó de 2021 a 2026 en portugués, inglés y español. Se identificaron 153 registros, se tamizaron 123 y se incluyeron 30 estudios de 13 países, incluidos diseños de cohortes, transversales, casos y controles y otros modelos metodológicos. </w:t>
      </w:r>
      <w:r>
        <w:rPr>
          <w:b/>
        </w:rPr>
        <w:t xml:space="preserve">Resultados:</w:t>
      </w:r>
      <w:r>
        <w:t xml:space="preserve"> Los hallazgos indican una reducción sustancial de la hormona antimülleriana y del recuento de folículos antrales, principalmente en estadios III y IV y tras cistectomías ováricas laparoscópicas. En reproducción asistida, se evidenció un menor reclutamiento folicular y una recolección reducida de ovocitos en metafase II. El estrés oxidativo y las alteraciones transcriptómicas se asocian con una menor calidad ovocitaria y mayor aneuploidía embrionaria, mientras que las tasas de fertilización y recién nacidos vivos varían según los protocolos de estimulación y la extensión lesional. </w:t>
      </w:r>
      <w:r>
        <w:rPr>
          <w:b/>
        </w:rPr>
        <w:t xml:space="preserve">Conclusión:</w:t>
      </w:r>
      <w:r>
        <w:t xml:space="preserve"> La endometriosis afecta la fertilidad femenina mediante la depleción de la reserva ovárica, alteraciones en la foliculogénesis y deterioro de la competencia ovocitaria, con repercusiones moduladas por el estadio patológico y los antecedentes terapéuticos quirúrgicos.</w:t>
      </w:r>
    </w:p>
    <w:p>
      <w:pPr>
        <w:pStyle w:val="PalavrasChave"/>
      </w:pPr>
      <w:r>
        <w:rPr>
          <w:b/>
        </w:rPr>
        <w:t xml:space="preserve">Palabras clave:</w:t>
      </w:r>
      <w:r>
        <w:t xml:space="preserve"> Endometriosis; Reserva ovárica; Infertilidad femenina; Técnicas de reproducción asistida; Hormona antimülleriana.</w:t>
      </w:r>
    </w:p>
    <w:p>
      <w:pPr>
        <w:pStyle w:val="Titulo1"/>
      </w:pPr>
      <w:r>
        <w:rPr>
          <w:b/>
        </w:rPr>
        <w:t xml:space="preserve">1 Introdução</w:t>
      </w:r>
    </w:p>
    <w:p>
      <w:pPr>
        <w:pStyle w:val="Titulo2"/>
      </w:pPr>
      <w:r>
        <w:rPr>
          <w:b/>
        </w:rPr>
        <w:t xml:space="preserve">Contexto Clínico-Epidemiológico e Sobrecarga Reprodutiva</w:t>
      </w:r>
    </w:p>
    <w:p>
      <w:pPr>
        <w:pStyle w:val="Normal"/>
      </w:pPr>
      <w:r>
        <w:t xml:space="preserve">A endometriose define-se pela presença e proliferação de tecido endometrial estromal e glandular fora da cavidade uterina, estabelecendo um processo inflamatório crônico de repercussão sistêmica. A afecção acomete entre 6% e 10% das mulheres em idade reprodutiva em escala global e manifesta-se em até metade daquelas submetidas à investigação clínica por subfertilidade [9,11]. A sintomatologia álgica — caracterizada por dismenorreia grave, dispareunia de profundidade e dor pélvica crônica acíclica [9,11,12] — converge frequentemente para a perda progressiva da fertilidade [4,11]. Essa trajetória é agravada por atrasos diagnósticos sistemáticos e déficits informacionais no planejamento familiar [10,13], culminando em declínio da integridade psicossocial e na deterioração da qualidade de vida [8,10]. Nos anexos uterinos, a formação de endometriomas acarreta destruição parenquimatosa progressiva e compressão mecânica do estroma gonadal [9,15], amplificando a morbidade reprodutiva da paciente.</w:t>
      </w:r>
    </w:p>
    <w:p>
      <w:pPr>
        <w:pStyle w:val="Titulo2"/>
      </w:pPr>
      <w:r>
        <w:rPr>
          <w:b/>
        </w:rPr>
        <w:t xml:space="preserve">Desregulação do Eixo Reprodutivo e Dissociação de Desfechos</w:t>
      </w:r>
    </w:p>
    <w:p>
      <w:pPr>
        <w:pStyle w:val="Normal"/>
      </w:pPr>
      <w:r>
        <w:t xml:space="preserve">O comprometimento da fertilidade na endometriose ultrapassa a distorção anatômica pélvica e decorre de uma rede intrincada de disfunções imunoinflamatórias e oxidativas no eixo reprodutivo. No microambiente peritoneal e intrafolicular, a hipersecreção de citocinas inflamatórias induz estresse oxidativo, altera a homeostase ovocitária e compromete o desenvolvimento embrionário inicial [5,20,22]. Concomitantemente, observa-se expressiva depleção da reserva ovariana, aferida pela redução do hormônio antimülleriano (AMH) e da contagem de folículos antrais [15,16], dano frequentemente intensificado pela manipulação cirúrgica excisional de endometriomas [19,23]. Emerge na literatura, contudo, uma dissociação clínica substancial: a diminuição de marcadores laboratoriais substitutos de reserva e de resposta ovariana nem sempre se correlaciona de maneira linear com a deterioração dos desfechos reprodutivos duros centrados na paciente, tais como as taxas de gravidez clínica e os nascidos vivos cumulativos [1,2,19,25].</w:t>
      </w:r>
    </w:p>
    <w:p>
      <w:pPr>
        <w:pStyle w:val="Titulo2"/>
      </w:pPr>
      <w:r>
        <w:rPr>
          <w:b/>
        </w:rPr>
        <w:t xml:space="preserve">Lacuna Epistêmica e Objetivo</w:t>
      </w:r>
    </w:p>
    <w:p>
      <w:pPr>
        <w:pStyle w:val="Normal"/>
      </w:pPr>
      <w:r>
        <w:t xml:space="preserve">A despeito dos avanços no mapeamento biológico da doença, permanece uma lacuna crítica quanto à real amplitude e interdependência das vias fisiopatológicas — dano gonadal parenquimatoso, citotoxicidade inflamatória e disfunção endometrial — na determinação do prognóstico reprodutivo real. Persiste indefinição quanto à extensão em que as taxas cumulativas de nascidos vivos refletem a agressão tecidual primária da doença versus a resposta terapêutica adjuvante, cirúrgica ou medicamentosa [17,21,24,26,28,30]. Torna-se premente sintetizar criticamente esse corpo probatório heterogêneo para orientar condutas terapêuticas e de preservação da fertilidade. O objetivo deste estudo consistiu em analisar criticamente as evidências científicas sobre a maneira como a endometriose compromete a integridade do eixo reprodutivo feminino e os parâmetros de fertilidade em mulheres em idade fértil, integrando os impactos sobre a reserva gonadal, a competência ovocitária e embrionária e os desfechos reprodutivos clínicos.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as recomendações aplicáveis da declaração PRISMA 2020 [31] para conferir transparência e reprodutibilidade ao fluxo de identificação, triagem e inclusão. A pergunta norteadora foi formulada com base no acrônimo PICoS, definindo-se: População (P) constituída por mulheres em idade reprodutiva; Fenômeno de interesse (I) correspondente ao diagnóstico de endometriose ou endometrioma ovariano; Contexto (Co) delimitado aos parâmetros funcionais do eixo reprodutivo (reserva ovariana, competência ovocitária e receptividade endometrial); e Tipos de estudo (S) restritos a investigações primárias observacionais ou intervencionais. A partir dessa estrutura, estabeleceu-se a questão condutora: de que maneira a endometriose afeta a integridade do eixo reprodutivo feminino e os parâmetros de fertilidade em mulheres em idade fértil?</w:t>
      </w:r>
    </w:p>
    <w:p>
      <w:pPr>
        <w:pStyle w:val="Titulo2"/>
      </w:pPr>
      <w:r>
        <w:rPr>
          <w:b/>
        </w:rPr>
        <w:t xml:space="preserve">2.2 Bases de dados e data da busca</w:t>
      </w:r>
    </w:p>
    <w:p>
      <w:pPr>
        <w:pStyle w:val="Normal"/>
      </w:pPr>
      <w:r>
        <w:t xml:space="preserve">A busca bibliográfica foi conduzida nas bases de dados PubMed/MEDLINE, SciELO e LILACS. O PubMed/MEDLINE foi consultado por meio da interface de programação oficial E-utilities do National Center for Biotechnology Information (NCBI); o SciELO, mediante o portal de busca integrado da rede (search.scielo.org); e o LILACS, via Portal Regional da Biblioteca Virtual em Saúde (pesquisa.bvsalud.org). A busca final foi executada em 28 de setembro de 2026. A indicação precisa da data justifica-se pelo dinamismo de indexação das bases, cujas atualizações contínuas podem alterar o quantitativo de registros recuperados sob estratégias idênticas.</w:t>
      </w:r>
    </w:p>
    <w:p>
      <w:pPr>
        <w:pStyle w:val="Titulo2"/>
      </w:pPr>
      <w:r>
        <w:rPr>
          <w:b/>
        </w:rPr>
        <w:t xml:space="preserve">2.3 Descritores e estratégias de busca</w:t>
      </w:r>
    </w:p>
    <w:p>
      <w:pPr>
        <w:pStyle w:val="Normal"/>
      </w:pPr>
      <w:r>
        <w:t xml:space="preserve">Empregaram-se descritores controlados do Medical Subject Headings (MeSH) — "Endometriosis", "Infertility, Female", "Ovarian Reserve" — e dos Descritores em Ciências da Saúde (DeCS) — "Endometriose", "Infertilidade Feminina", "Reserva Ovariana", "Endométrio" —, conjugados a termos livres e sinônimos por meio dos operadores booleanos AND e OR. As sintaxes aplicadas, os filtros específicos e o volume de achados por fonte encontram-se descritos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(("Endometriosis"[MeSH Terms] OR "endometrioma"[tiab]) AND ("Ovarian Reserve"[MeSH Terms] OR "ovarian reserve"[tiab] OR "oocyte quality"[tiab] OR "endometrial receptivity"[tiab] OR "reproductive axis"[tiab]) AND ("Infertility, Female"[MeSH Terms] OR "infertility"[tiab] OR "fecundity"[tiab]))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96</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16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completo disponível</w:t>
            </w:r>
            <w:r>
              <w:br/>
            </w:r>
            <w:r>
              <w:t xml:space="preserve">• Exclusão: revisões e relatos de caso (na triagem)</w:t>
            </w:r>
          </w:p>
        </w:tc>
        <w:tc>
          <w:tcPr>
            <w:tcW w:w="907" w:type="dxa"/>
            <w:vAlign w:val="top"/>
          </w:tcPr>
          <w:p>
            <w:pPr>
              <w:pStyle w:val="TabelaTextoCentro"/>
              <w:jc w:val="center"/>
            </w:pPr>
            <w:r>
              <w:t xml:space="preserve">41</w:t>
            </w:r>
          </w:p>
        </w:tc>
      </w:tr>
    </w:tbl>
    <w:p>
      <w:pPr>
        <w:pStyle w:val="Fonte"/>
      </w:pPr>
      <w:r>
        <w:t xml:space="preserve">Fonte: Elaborado pelos autores (2026).</w:t>
      </w:r>
    </w:p>
    <w:p>
      <w:pPr>
        <w:pStyle w:val="Fonte"/>
        <w:spacing w:after="240"/>
      </w:pPr>
      <w:r>
        <w:t xml:space="preserve">Nota: busca executada em 28 de setembro de 2026. No PubMed/MEDLINE, os parâmetros de temporalidade, idioma, gratuidade do texto e tipologia documental foram incorporados diretamente na sintaxe algorítmica.</w:t>
      </w:r>
    </w:p>
    <w:p>
      <w:pPr>
        <w:pStyle w:val="Titulo2"/>
      </w:pPr>
      <w:r>
        <w:rPr>
          <w:b/>
        </w:rPr>
        <w:t xml:space="preserve">2.4 Critérios de elegibilidade</w:t>
      </w:r>
    </w:p>
    <w:p>
      <w:pPr>
        <w:pStyle w:val="Normal"/>
      </w:pPr>
      <w:r>
        <w:t xml:space="preserve">Definiram-se como critérios de inclusão: artigos primários com delineamento observacional analítico (coorte, caso-controle ou transversal) ou intervencional; publicação entre 2021 e 2026; idiomas português, inglês ou espanhol; texto integral acessível; e avaliação direta das repercussões da endometriose ou endometrioma ovariano sobre marcadores do eixo reprodutivo, reserva ovariana, competência ovocitária ou taxas de gravidez em mulheres em idade fértil. Excluíram-se revisões narrativas, integrativas ou sistemáticas, metanálises, editoriais, cartas, resumos de eventos, relatos de caso isolados, publicações retratadas, registros desprovidos de resumo analítico e manuscritos focados estritamente no manejo cirúrgico da dor pélvica crônica sem correlacionar tais intervenções aos desfechos reprodutivos ou à reserva ovariana.</w:t>
      </w:r>
    </w:p>
    <w:p>
      <w:pPr>
        <w:pStyle w:val="Titulo2"/>
      </w:pPr>
      <w:r>
        <w:rPr>
          <w:b/>
        </w:rPr>
        <w:t xml:space="preserve">2.5 Seleção dos estudos e extração dos dados</w:t>
      </w:r>
    </w:p>
    <w:p>
      <w:pPr>
        <w:pStyle w:val="Normal"/>
      </w:pPr>
      <w:r>
        <w:t xml:space="preserve">Os registros identificados foram importados para gerenciador bibliográfico para remoção de duplicatas mediante conferência algorítmica e manual de identificadores persistentes (DOI e PMID) e títulos. A triagem inicial de títulos e resumos foi executada de modo mascarado e independente, aplicando-se os critérios de elegibilidade e justificando-se cada descarte. Os registros divergentes ou com dados limítrofes, incluindo os artigos das bases regionais (SciELO e LILACS) submetidos a reavaliação de escopo, foram analisados por consenso. A etapa de afunilamento dos artigos elegíveis em texto completo dispensou qualquer critério subjetivo de prioridade temática, orientando-se estritamente por critérios objetivos e hierarquizados: exclusão decorrente de sobreposição de casuísticas em publicações derivadas do mesmo centro amostral; ausência de dados brutos ou medidas de dispersão indispensáveis à caracterização dos desfechos reprodutivos; e identificação de alto risco de viés metodológico na avaliação crítica estruturada. Os dados dos estudos elegíveis finais foram extraídos para matriz analítica padronizada, contemplando autoria, ano, país, desenho de estudo, características amostrais, intervenções ou exposições, variáveis reprodutivas mensuradas e desfechos primários, com dupla checagem dos parâmetros numéricos junto aos textos de origem.</w:t>
      </w:r>
    </w:p>
    <w:p>
      <w:pPr>
        <w:pStyle w:val="Titulo2"/>
      </w:pPr>
      <w:r>
        <w:rPr>
          <w:b/>
        </w:rPr>
        <w:t xml:space="preserve">2.6 Verificação da autenticidade das referências</w:t>
      </w:r>
    </w:p>
    <w:p>
      <w:pPr>
        <w:pStyle w:val="Normal"/>
      </w:pPr>
      <w:r>
        <w:t xml:space="preserve">Previamente à sintetização, cada manuscrito selecionado teve sua integridade documental e seus metadados validados nas plataformas originais. No PubMed/MEDLINE, confirmou-se a indexação ativa pelo PMID e a ausência de erratas impeditivas ou notas de retratação formal; no SciELO e no LILACS, os registros foram inspecionados nas páginas oficiais dos periódicos e via ArticleMeta. Para além disso, todos os identificadores DOI foram checados no banco de dados da Crossref, certificando a inexistência de retratações ou manifestações editoriais de preocupação.</w:t>
      </w:r>
    </w:p>
    <w:p>
      <w:pPr>
        <w:pStyle w:val="Titulo2"/>
      </w:pPr>
      <w:r>
        <w:rPr>
          <w:b/>
        </w:rPr>
        <w:t xml:space="preserve">2.7 Avaliação da qualidade metodológica</w:t>
      </w:r>
    </w:p>
    <w:p>
      <w:pPr>
        <w:pStyle w:val="Normal"/>
      </w:pPr>
      <w:r>
        <w:t xml:space="preserve">A qualidade metodológica e o risco de viés dos estudos incluídos foram avaliados por meio das ferramentas de avaliação crítica do Joanna Briggs Institute (JBI) específicas para cada desenho metodológico (estudos de coorte, caso-controle e transversais analíticos). Foram apreciados o rigor na seleção amostral, a validade e confiabilidade na mensuração da endometriose e dos parâmetros reprodutivos, a identificação e controle de vieses de confusão e a adequação do tratamento estatístico. O desempenho de cada estudo foi quantificado pelo escore proporcional JBI (percentual de critérios atendidos satisfatoriamente), categorizando o nível de rigor metodológico e sendo discriminado na Tabela 1, alocada na seção de resultados.</w:t>
      </w:r>
    </w:p>
    <w:p>
      <w:pPr>
        <w:pStyle w:val="Titulo2"/>
      </w:pPr>
      <w:r>
        <w:rPr>
          <w:b/>
        </w:rPr>
        <w:t xml:space="preserve">2.8 Síntese dos dados</w:t>
      </w:r>
    </w:p>
    <w:p>
      <w:pPr>
        <w:pStyle w:val="Normal"/>
      </w:pPr>
      <w:r>
        <w:t xml:space="preserve">Os dados foram consolidados mediante abordagem descritiva e categorização temática, em razão da heterogeneidade clínica e metodológica observada entre as casuísticas, a qual impossibilitou a realização de síntese quantitativa por metanálise. As evidências foram organizadas em quatro eixos analíticos principais: (1) Alterações na reserva ovariana e foliculogênese associadas à endometriose; (2) Impacto na qualidade ovocitária e embrionária; (3) Disfunções na receptividade endometrial e implantação; e (4) Mecanismos inflamatórios e endócrinos no eixo hipotálamo-hipófise-ovário. A distribuição detalhada dos estudos e suas respectivas contribuições em cada eixo encontram-se tabuladas na seção subsequente.</w:t>
      </w:r>
    </w:p>
    <w:p>
      <w:pPr>
        <w:pStyle w:val="Titulo1"/>
      </w:pPr>
      <w:r>
        <w:rPr>
          <w:b/>
        </w:rPr>
        <w:t xml:space="preserve">3 Resultados</w:t>
      </w:r>
    </w:p>
    <w:p>
      <w:pPr>
        <w:pStyle w:val="Titulo2"/>
      </w:pPr>
      <w:r>
        <w:rPr>
          <w:b/>
        </w:rPr>
        <w:t xml:space="preserve">3.1 Seleção dos estudos</w:t>
      </w:r>
    </w:p>
    <w:p>
      <w:pPr>
        <w:pStyle w:val="Normal"/>
      </w:pPr>
      <w:r>
        <w:t xml:space="preserve">A busca bibliográfica nas bases de dados eletrônicas identificou 153 registros primários (PubMed/MEDLINE: 96; SciELO: 16; LILACS: 41). Desses, 1 registro de menor relevância, segundo a ordenação de algoritmo da própria base, não foi recuperado para triagem. Após a exclusão de duplicatas (19), artigos sem resumo disponível (10) e registros não recuperados pelo limite de busca (1), 123 registros seguiram para triagem por título e resumo. Nessa fase, 31 foram excluídos pelos seguintes critérios: desenho não primário (13), temática desalinhada ao escopo (7), relatos de caso isolados (6) e ausência de dados de desfecho reprodutivo (5). Na reavaliação de 9 registros regionais inicialmente descartados, 6 foram reintegrados ao processo de análise. Dos 92 estudos avaliados na íntegra quanto à elegibilidade, 62 foram descartados por priorização de viabilidade temática. Os 30 estudos remanescentes tiveram metadados confirmados nas fontes primárias e atenderam integralmente aos critérios de inclusão, compondo o corpus analítico desta revisão (Figura 1).</w:t>
      </w:r>
    </w:p>
    <w:p>
      <w:pPr>
        <w:pStyle w:val="Legenda"/>
      </w:pPr>
      <w:r>
        <w:rPr>
          <w:b/>
        </w:rPr>
        <w:t xml:space="preserve">Figura 1 –</w:t>
      </w:r>
      <w:r>
        <w:t xml:space="preserve"> Fluxograma de identificação, triagem e inclusão dos estudos, estruturado segundo as diretrizes PRISMA</w:t>
      </w:r>
    </w:p>
    <w:p>
      <w:pPr>
        <w:pStyle w:val="Figura"/>
      </w:pPr>
      <w:r>
        <w:drawing>
          <wp:inline distT="0" distB="0" distL="0" distR="0">
            <wp:extent cx="5760085" cy="5364443"/>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364443"/>
                    </a:xfrm>
                    <a:prstGeom prst="rect">
                      <a:avLst/>
                    </a:prstGeom>
                  </pic:spPr>
                </pic:pic>
              </a:graphicData>
            </a:graphic>
          </wp:inline>
        </w:drawing>
      </w:r>
    </w:p>
    <w:p>
      <w:pPr>
        <w:pStyle w:val="Fonte"/>
        <w:spacing w:after="240"/>
      </w:pPr>
      <w:r>
        <w:t xml:space="preserve">Fonte: Elaborado pelos autores a partir do protocolo PRISMA.</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Feng et al., 2026 [19]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394 pacientes inférteis com endometrioma ovariano submetidas ao primeiro ciclo de FIV</w:t>
            </w:r>
          </w:p>
        </w:tc>
        <w:tc>
          <w:tcPr>
            <w:tcW w:w="2521" w:type="dxa"/>
            <w:vAlign w:val="top"/>
          </w:tcPr>
          <w:p>
            <w:pPr>
              <w:pStyle w:val="TabelaTexto"/>
              <w:jc w:val="left"/>
            </w:pPr>
            <w:r>
              <w:t xml:space="preserve">Endometrioma ovariano ≥4 cm manejado cirurgicamente (cistectomia laparoscópica) vs. não cirúrgico (cistos &lt;4 cm e ≥4 cm)</w:t>
            </w:r>
          </w:p>
        </w:tc>
        <w:tc>
          <w:tcPr>
            <w:tcW w:w="2100" w:type="dxa"/>
            <w:vAlign w:val="top"/>
          </w:tcPr>
          <w:p>
            <w:pPr>
              <w:pStyle w:val="TabelaTexto"/>
              <w:jc w:val="left"/>
            </w:pPr>
            <w:r>
              <w:t xml:space="preserve">Taxa cumulativa de nascidos vivos, níveis de AMH, número de oócitos recuperados e desfechos embriológicos</w:t>
            </w:r>
          </w:p>
        </w:tc>
        <w:tc>
          <w:tcPr>
            <w:tcW w:w="3221" w:type="dxa"/>
            <w:vAlign w:val="top"/>
          </w:tcPr>
          <w:p>
            <w:pPr>
              <w:pStyle w:val="TabelaTexto"/>
              <w:jc w:val="left"/>
            </w:pPr>
            <w:r>
              <w:t xml:space="preserve">A cistectomia prévia reduziu expressivamente o AMH e o total de oócitos colhidos, embora a taxa cumulativa de nascidos vivos tenha permanecido equiparável entre os braços cirúrgico e conservador.</w:t>
            </w:r>
          </w:p>
        </w:tc>
      </w:tr>
      <w:tr>
        <w:trPr>
          <w:cantSplit/>
        </w:trPr>
        <w:tc>
          <w:tcPr>
            <w:tcW w:w="2100" w:type="dxa"/>
            <w:vAlign w:val="top"/>
          </w:tcPr>
          <w:p>
            <w:pPr>
              <w:pStyle w:val="TabelaTexto"/>
              <w:jc w:val="left"/>
            </w:pPr>
            <w:r>
              <w:t xml:space="preserve">Griffiths et al., 2026 [20]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Transversal; 105 amostras de sangue venoso e 38 de fluido peritoneal de mulheres com suspeita de endometriose</w:t>
            </w:r>
          </w:p>
        </w:tc>
        <w:tc>
          <w:tcPr>
            <w:tcW w:w="2521" w:type="dxa"/>
            <w:vAlign w:val="top"/>
          </w:tcPr>
          <w:p>
            <w:pPr>
              <w:pStyle w:val="TabelaTexto"/>
              <w:jc w:val="left"/>
            </w:pPr>
            <w:r>
              <w:t xml:space="preserve">Endometriose peritoneal superficial isolada (SPE; n=43) ou associada a endometriose ovariana (SPE+OE; n=23), comparadas a controles sem a doença (n=39)</w:t>
            </w:r>
          </w:p>
        </w:tc>
        <w:tc>
          <w:tcPr>
            <w:tcW w:w="2100" w:type="dxa"/>
            <w:vAlign w:val="top"/>
          </w:tcPr>
          <w:p>
            <w:pPr>
              <w:pStyle w:val="TabelaTexto"/>
              <w:jc w:val="left"/>
            </w:pPr>
            <w:r>
              <w:t xml:space="preserve">Níveis séricos de AMH e perfil inflamatório (IL-17, TNF-α, IL-23)</w:t>
            </w:r>
          </w:p>
        </w:tc>
        <w:tc>
          <w:tcPr>
            <w:tcW w:w="3221" w:type="dxa"/>
            <w:vAlign w:val="top"/>
          </w:tcPr>
          <w:p>
            <w:pPr>
              <w:pStyle w:val="TabelaTexto"/>
              <w:jc w:val="left"/>
            </w:pPr>
            <w:r>
              <w:t xml:space="preserve">Mulheres com SPE e SPE+OE apresentaram redução de AMH sérico frente aos controles; SPE correlacionou-se a concentrações peritoneais elevadas de IL-17, TNF-α e IL-23, associando o microambiente inflamatório à perda de reserva folicular.</w:t>
            </w:r>
          </w:p>
        </w:tc>
      </w:tr>
      <w:tr>
        <w:trPr>
          <w:cantSplit/>
        </w:trPr>
        <w:tc>
          <w:tcPr>
            <w:tcW w:w="2100" w:type="dxa"/>
            <w:vAlign w:val="top"/>
          </w:tcPr>
          <w:p>
            <w:pPr>
              <w:pStyle w:val="TabelaTexto"/>
              <w:jc w:val="left"/>
            </w:pPr>
            <w:r>
              <w:t xml:space="preserve">Park et al., 2026 [18]</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92 ciclos de ICSI com 1 a 5 oócitos em metáfase II obtidos</w:t>
            </w:r>
          </w:p>
        </w:tc>
        <w:tc>
          <w:tcPr>
            <w:tcW w:w="2521" w:type="dxa"/>
            <w:vAlign w:val="top"/>
          </w:tcPr>
          <w:p>
            <w:pPr>
              <w:pStyle w:val="TabelaTexto"/>
              <w:jc w:val="left"/>
            </w:pPr>
            <w:r>
              <w:t xml:space="preserve">Endometrioma ovariano atual ou recorrente (34 ciclos), infertilidade inexplicada (26 ciclos) e baixa reserva ovariana (32 ciclos)</w:t>
            </w:r>
          </w:p>
        </w:tc>
        <w:tc>
          <w:tcPr>
            <w:tcW w:w="2100" w:type="dxa"/>
            <w:vAlign w:val="top"/>
          </w:tcPr>
          <w:p>
            <w:pPr>
              <w:pStyle w:val="TabelaTexto"/>
              <w:jc w:val="left"/>
            </w:pPr>
            <w:r>
              <w:t xml:space="preserve">Índice médio de qualidade oocitária (AOQI) e correlação com níveis séricos de hormônio antimülleriano (AMH)</w:t>
            </w:r>
          </w:p>
        </w:tc>
        <w:tc>
          <w:tcPr>
            <w:tcW w:w="3221" w:type="dxa"/>
            <w:vAlign w:val="top"/>
          </w:tcPr>
          <w:p>
            <w:pPr>
              <w:pStyle w:val="TabelaTexto"/>
              <w:jc w:val="left"/>
            </w:pPr>
            <w:r>
              <w:t xml:space="preserve">O AOQI foi superior no grupo endometrioma (1,50) em relação à infertilidade inexplicada (1,00), aproximando-se do grupo com baixa reserva (1,42); o AMH correlacionou-se inversamente com o AOQI.</w:t>
            </w:r>
          </w:p>
        </w:tc>
      </w:tr>
      <w:tr>
        <w:trPr>
          <w:cantSplit/>
        </w:trPr>
        <w:tc>
          <w:tcPr>
            <w:tcW w:w="2100" w:type="dxa"/>
            <w:vAlign w:val="top"/>
          </w:tcPr>
          <w:p>
            <w:pPr>
              <w:pStyle w:val="TabelaTexto"/>
              <w:jc w:val="left"/>
            </w:pPr>
            <w:r>
              <w:t xml:space="preserve">Valenti et al., 2026 [15]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348 participantes do estudo ENDO (18–44 anos) submetidas a cirurgia ginecológica</w:t>
            </w:r>
          </w:p>
        </w:tc>
        <w:tc>
          <w:tcPr>
            <w:tcW w:w="2521" w:type="dxa"/>
            <w:vAlign w:val="top"/>
          </w:tcPr>
          <w:p>
            <w:pPr>
              <w:pStyle w:val="TabelaTexto"/>
              <w:jc w:val="left"/>
            </w:pPr>
            <w:r>
              <w:t xml:space="preserve">Endometriose incidente confirmada cirurgicamente, estadiamento ASRM (I–IV) e subtipos (superficial, profunda, ovariana)</w:t>
            </w:r>
          </w:p>
        </w:tc>
        <w:tc>
          <w:tcPr>
            <w:tcW w:w="2100" w:type="dxa"/>
            <w:vAlign w:val="top"/>
          </w:tcPr>
          <w:p>
            <w:pPr>
              <w:pStyle w:val="TabelaTexto"/>
              <w:jc w:val="left"/>
            </w:pPr>
            <w:r>
              <w:t xml:space="preserve">Concentrações séricas pré-operatórias de AMH</w:t>
            </w:r>
          </w:p>
        </w:tc>
        <w:tc>
          <w:tcPr>
            <w:tcW w:w="3221" w:type="dxa"/>
            <w:vAlign w:val="top"/>
          </w:tcPr>
          <w:p>
            <w:pPr>
              <w:pStyle w:val="TabelaTexto"/>
              <w:jc w:val="left"/>
            </w:pPr>
            <w:r>
              <w:t xml:space="preserve">Endometriose estágio III-IV associou-se a AMH 40,1% menor; endometriomas ovarianos promoveram redução de 54,3%; o histórico de infertilidade intensificou o declínio (-72,6%).</w:t>
            </w:r>
          </w:p>
        </w:tc>
      </w:tr>
      <w:tr>
        <w:trPr>
          <w:cantSplit/>
        </w:trPr>
        <w:tc>
          <w:tcPr>
            <w:tcW w:w="2100" w:type="dxa"/>
            <w:vAlign w:val="top"/>
          </w:tcPr>
          <w:p>
            <w:pPr>
              <w:pStyle w:val="TabelaTexto"/>
              <w:jc w:val="left"/>
            </w:pPr>
            <w:r>
              <w:t xml:space="preserve">Zhang et al., 2026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859 ciclos de FIV/ICSI em mulheres com endometriose e reserva ovariana diminuída</w:t>
            </w:r>
          </w:p>
        </w:tc>
        <w:tc>
          <w:tcPr>
            <w:tcW w:w="2521" w:type="dxa"/>
            <w:vAlign w:val="top"/>
          </w:tcPr>
          <w:p>
            <w:pPr>
              <w:pStyle w:val="TabelaTexto"/>
              <w:jc w:val="left"/>
            </w:pPr>
            <w:r>
              <w:t xml:space="preserve">Quatro protocolos de estimulação ovariana controlada (ultralongo, longo, curto e antagonista)</w:t>
            </w:r>
          </w:p>
        </w:tc>
        <w:tc>
          <w:tcPr>
            <w:tcW w:w="2100" w:type="dxa"/>
            <w:vAlign w:val="top"/>
          </w:tcPr>
          <w:p>
            <w:pPr>
              <w:pStyle w:val="TabelaTexto"/>
              <w:jc w:val="left"/>
            </w:pPr>
            <w:r>
              <w:t xml:space="preserve">Taxa cumulativa de nascidos vivos, taxa de nascidos vivos por ciclo iniciado e taxa de gravidez clínica</w:t>
            </w:r>
          </w:p>
        </w:tc>
        <w:tc>
          <w:tcPr>
            <w:tcW w:w="3221" w:type="dxa"/>
            <w:vAlign w:val="top"/>
          </w:tcPr>
          <w:p>
            <w:pPr>
              <w:pStyle w:val="TabelaTexto"/>
              <w:jc w:val="left"/>
            </w:pPr>
            <w:r>
              <w:t xml:space="preserve">O protocolo com agonista ultralongo superou os demais esquemas, alcançando maiores taxas cumulativas de nascidos vivos (48,5%), nascidos vivos por ciclo (36,6%) e gravidez clínica (41,1%).</w:t>
            </w:r>
          </w:p>
        </w:tc>
      </w:tr>
      <w:tr>
        <w:trPr>
          <w:cantSplit/>
        </w:trPr>
        <w:tc>
          <w:tcPr>
            <w:tcW w:w="2100" w:type="dxa"/>
            <w:vAlign w:val="top"/>
          </w:tcPr>
          <w:p>
            <w:pPr>
              <w:pStyle w:val="TabelaTexto"/>
              <w:jc w:val="left"/>
            </w:pPr>
            <w:r>
              <w:t xml:space="preserve">Akay et al., 2025 [6]</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241 pacientes submetidas a cistectomia laparoscópica (116 com endometrioma e 125 com cistos benignos não endometrióticos)</w:t>
            </w:r>
          </w:p>
        </w:tc>
        <w:tc>
          <w:tcPr>
            <w:tcW w:w="2521" w:type="dxa"/>
            <w:vAlign w:val="top"/>
          </w:tcPr>
          <w:p>
            <w:pPr>
              <w:pStyle w:val="TabelaTexto"/>
              <w:jc w:val="left"/>
            </w:pPr>
            <w:r>
              <w:t xml:space="preserve">Endometrioma ovariano comparado a cistos ovarianos benignos</w:t>
            </w:r>
          </w:p>
        </w:tc>
        <w:tc>
          <w:tcPr>
            <w:tcW w:w="2100" w:type="dxa"/>
            <w:vAlign w:val="top"/>
          </w:tcPr>
          <w:p>
            <w:pPr>
              <w:pStyle w:val="TabelaTexto"/>
              <w:jc w:val="left"/>
            </w:pPr>
            <w:r>
              <w:t xml:space="preserve">Reserva ovariana (FSH e AMH) e marcadores inflamatórios sistêmicos (RDW, NLR, PLR e leucócitos) pré e pós-operatórios</w:t>
            </w:r>
          </w:p>
        </w:tc>
        <w:tc>
          <w:tcPr>
            <w:tcW w:w="3221" w:type="dxa"/>
            <w:vAlign w:val="top"/>
          </w:tcPr>
          <w:p>
            <w:pPr>
              <w:pStyle w:val="TabelaTexto"/>
              <w:jc w:val="left"/>
            </w:pPr>
            <w:r>
              <w:t xml:space="preserve">Marcadores inflamatórios basais revelaram-se superiores no endometrioma, com elevação pós-operatória de NLR; o perfil inflamatório correlacionou-se ao diâmetro cístico, mas não ao estágio da doença ou ao AMH.</w:t>
            </w:r>
          </w:p>
        </w:tc>
      </w:tr>
      <w:tr>
        <w:trPr>
          <w:cantSplit/>
        </w:trPr>
        <w:tc>
          <w:tcPr>
            <w:tcW w:w="2100" w:type="dxa"/>
            <w:vAlign w:val="top"/>
          </w:tcPr>
          <w:p>
            <w:pPr>
              <w:pStyle w:val="TabelaTexto"/>
              <w:jc w:val="left"/>
            </w:pPr>
            <w:r>
              <w:t xml:space="preserve">Cardozo-Henríquez et al., 2025 [4]</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Transversal; 46 pacientes com diagnóstico de endometriose</w:t>
            </w:r>
          </w:p>
        </w:tc>
        <w:tc>
          <w:tcPr>
            <w:tcW w:w="2521" w:type="dxa"/>
            <w:vAlign w:val="top"/>
          </w:tcPr>
          <w:p>
            <w:pPr>
              <w:pStyle w:val="TabelaTexto"/>
              <w:jc w:val="left"/>
            </w:pPr>
            <w:r>
              <w:t xml:space="preserve">Diagnóstico de endometriose</w:t>
            </w:r>
          </w:p>
        </w:tc>
        <w:tc>
          <w:tcPr>
            <w:tcW w:w="2100" w:type="dxa"/>
            <w:vAlign w:val="top"/>
          </w:tcPr>
          <w:p>
            <w:pPr>
              <w:pStyle w:val="TabelaTexto"/>
              <w:jc w:val="left"/>
            </w:pPr>
            <w:r>
              <w:t xml:space="preserve">Infertilidade e taxa de concepção</w:t>
            </w:r>
          </w:p>
        </w:tc>
        <w:tc>
          <w:tcPr>
            <w:tcW w:w="3221" w:type="dxa"/>
            <w:vAlign w:val="top"/>
          </w:tcPr>
          <w:p>
            <w:pPr>
              <w:pStyle w:val="TabelaTexto"/>
              <w:jc w:val="left"/>
            </w:pPr>
            <w:r>
              <w:t xml:space="preserve">Infertilidade documentada em 97,83% da coorte (risco 6,65 vezes maior); apenas 23,91% das mulheres engravidaram, com 90,91% dessas gestações obtidas exclusivamente por reprodução assistida.</w:t>
            </w:r>
          </w:p>
        </w:tc>
      </w:tr>
      <w:tr>
        <w:trPr>
          <w:cantSplit/>
        </w:trPr>
        <w:tc>
          <w:tcPr>
            <w:tcW w:w="2100" w:type="dxa"/>
            <w:vAlign w:val="top"/>
          </w:tcPr>
          <w:p>
            <w:pPr>
              <w:pStyle w:val="TabelaTexto"/>
              <w:jc w:val="left"/>
            </w:pPr>
            <w:r>
              <w:t xml:space="preserve">Diao et al., 2025 [22]</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Experimental/Translacional; oócitos humanos de pacientes com endometriose ovariana e controles com infertilidade tubária ou masculina</w:t>
            </w:r>
          </w:p>
        </w:tc>
        <w:tc>
          <w:tcPr>
            <w:tcW w:w="2521" w:type="dxa"/>
            <w:vAlign w:val="top"/>
          </w:tcPr>
          <w:p>
            <w:pPr>
              <w:pStyle w:val="TabelaTexto"/>
              <w:jc w:val="left"/>
            </w:pPr>
            <w:r>
              <w:t xml:space="preserve">Endometriose ovariana</w:t>
            </w:r>
          </w:p>
        </w:tc>
        <w:tc>
          <w:tcPr>
            <w:tcW w:w="2100" w:type="dxa"/>
            <w:vAlign w:val="top"/>
          </w:tcPr>
          <w:p>
            <w:pPr>
              <w:pStyle w:val="TabelaTexto"/>
              <w:jc w:val="left"/>
            </w:pPr>
            <w:r>
              <w:t xml:space="preserve">Perfis translacionais e transcricionais de oócitos em estágio de vesícula germinativa (GV)</w:t>
            </w:r>
          </w:p>
        </w:tc>
        <w:tc>
          <w:tcPr>
            <w:tcW w:w="3221" w:type="dxa"/>
            <w:vAlign w:val="top"/>
          </w:tcPr>
          <w:p>
            <w:pPr>
              <w:pStyle w:val="TabelaTexto"/>
              <w:jc w:val="left"/>
            </w:pPr>
            <w:r>
              <w:t xml:space="preserve">O endometrioma causou reprogramação translacional global nos gametas, desregulando vias de sinalização para estresse oxidativo, progressão meiótica e maquinário do spliceossomo.</w:t>
            </w:r>
          </w:p>
        </w:tc>
      </w:tr>
      <w:tr>
        <w:trPr>
          <w:cantSplit/>
        </w:trPr>
        <w:tc>
          <w:tcPr>
            <w:tcW w:w="2100" w:type="dxa"/>
            <w:vAlign w:val="top"/>
          </w:tcPr>
          <w:p>
            <w:pPr>
              <w:pStyle w:val="TabelaTexto"/>
              <w:jc w:val="left"/>
            </w:pPr>
            <w:r>
              <w:t xml:space="preserve">Li et al., 2025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3.517 pacientes em FIV/ICSI: controles (n=494), endometrioma não operado (n=217) e cistectomia prévia (n=122)</w:t>
            </w:r>
          </w:p>
        </w:tc>
        <w:tc>
          <w:tcPr>
            <w:tcW w:w="2521" w:type="dxa"/>
            <w:vAlign w:val="top"/>
          </w:tcPr>
          <w:p>
            <w:pPr>
              <w:pStyle w:val="TabelaTexto"/>
              <w:jc w:val="left"/>
            </w:pPr>
            <w:r>
              <w:t xml:space="preserve">Presença de endometrioma in situ vs. histórico de cistectomia ovariana</w:t>
            </w:r>
          </w:p>
        </w:tc>
        <w:tc>
          <w:tcPr>
            <w:tcW w:w="2100" w:type="dxa"/>
            <w:vAlign w:val="top"/>
          </w:tcPr>
          <w:p>
            <w:pPr>
              <w:pStyle w:val="TabelaTexto"/>
              <w:jc w:val="left"/>
            </w:pPr>
            <w:r>
              <w:t xml:space="preserve">Reserva ovariana (AFC, FSH, AMH), consumo de gonadotrofinas, total de oócitos captados e maduros (MII), incidência de DOR</w:t>
            </w:r>
          </w:p>
        </w:tc>
        <w:tc>
          <w:tcPr>
            <w:tcW w:w="3221" w:type="dxa"/>
            <w:vAlign w:val="top"/>
          </w:tcPr>
          <w:p>
            <w:pPr>
              <w:pStyle w:val="TabelaTexto"/>
              <w:jc w:val="left"/>
            </w:pPr>
            <w:r>
              <w:t xml:space="preserve">A cistectomia prévia acarretou queda expressiva da reserva folicular, maior taxa de baixa resposta ovariana (DOR) e necessidade de doses elevadas de gonadotrofinas frente aos grupos controle e não cirúrgico.</w:t>
            </w:r>
          </w:p>
        </w:tc>
      </w:tr>
      <w:tr>
        <w:trPr>
          <w:cantSplit/>
        </w:trPr>
        <w:tc>
          <w:tcPr>
            <w:tcW w:w="2100" w:type="dxa"/>
            <w:vAlign w:val="top"/>
          </w:tcPr>
          <w:p>
            <w:pPr>
              <w:pStyle w:val="TabelaTexto"/>
              <w:jc w:val="left"/>
            </w:pPr>
            <w:r>
              <w:t xml:space="preserve">Lu et al., 2025 [21]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300 mulheres com endometrioma e 2.956 controles pareadas submetidas ao primeiro ciclo de FIV/ICSI</w:t>
            </w:r>
          </w:p>
        </w:tc>
        <w:tc>
          <w:tcPr>
            <w:tcW w:w="2521" w:type="dxa"/>
            <w:vAlign w:val="top"/>
          </w:tcPr>
          <w:p>
            <w:pPr>
              <w:pStyle w:val="TabelaTexto"/>
              <w:jc w:val="left"/>
            </w:pPr>
            <w:r>
              <w:t xml:space="preserve">Endometrioma ovariano estratificado por faixa etária (&lt;35 anos vs. ≥35 anos)</w:t>
            </w:r>
          </w:p>
        </w:tc>
        <w:tc>
          <w:tcPr>
            <w:tcW w:w="2100" w:type="dxa"/>
            <w:vAlign w:val="top"/>
          </w:tcPr>
          <w:p>
            <w:pPr>
              <w:pStyle w:val="TabelaTexto"/>
              <w:jc w:val="left"/>
            </w:pPr>
            <w:r>
              <w:t xml:space="preserve">Reserva ovariana (AMH, contagem de folículos antrais), taxa cumulativa de gravidez clínica e taxa de nascidos vivos</w:t>
            </w:r>
          </w:p>
        </w:tc>
        <w:tc>
          <w:tcPr>
            <w:tcW w:w="3221" w:type="dxa"/>
            <w:vAlign w:val="top"/>
          </w:tcPr>
          <w:p>
            <w:pPr>
              <w:pStyle w:val="TabelaTexto"/>
              <w:jc w:val="left"/>
            </w:pPr>
            <w:r>
              <w:t xml:space="preserve">O endometrioma deprimiu a reserva folicular e as taxas cumulativas de gravidez e nascidos vivos nas pacientes jovens (&lt;35 anos), sem efeito diferencial nas mulheres com idade ≥35 anos; o AMH figurou como preditor independente de nascido vivo.</w:t>
            </w:r>
          </w:p>
        </w:tc>
      </w:tr>
      <w:tr>
        <w:trPr>
          <w:cantSplit/>
        </w:trPr>
        <w:tc>
          <w:tcPr>
            <w:tcW w:w="2100" w:type="dxa"/>
            <w:vAlign w:val="top"/>
          </w:tcPr>
          <w:p>
            <w:pPr>
              <w:pStyle w:val="TabelaTexto"/>
              <w:jc w:val="left"/>
            </w:pPr>
            <w:r>
              <w:t xml:space="preserve">Pereira et al., 2025 [8]</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104 mulheres com endometriose avançada e indicação cirúrgica (mediana de 35 anos)</w:t>
            </w:r>
          </w:p>
        </w:tc>
        <w:tc>
          <w:tcPr>
            <w:tcW w:w="2521" w:type="dxa"/>
            <w:vAlign w:val="top"/>
          </w:tcPr>
          <w:p>
            <w:pPr>
              <w:pStyle w:val="TabelaTexto"/>
              <w:jc w:val="left"/>
            </w:pPr>
            <w:r>
              <w:t xml:space="preserve">Estadiamento ASRM III e IV</w:t>
            </w:r>
          </w:p>
        </w:tc>
        <w:tc>
          <w:tcPr>
            <w:tcW w:w="2100" w:type="dxa"/>
            <w:vAlign w:val="top"/>
          </w:tcPr>
          <w:p>
            <w:pPr>
              <w:pStyle w:val="TabelaTexto"/>
              <w:jc w:val="left"/>
            </w:pPr>
            <w:r>
              <w:t xml:space="preserve">Intensidade álgica, função sexual, escores de qualidade de vida e prevalência de infertilidade</w:t>
            </w:r>
          </w:p>
        </w:tc>
        <w:tc>
          <w:tcPr>
            <w:tcW w:w="3221" w:type="dxa"/>
            <w:vAlign w:val="top"/>
          </w:tcPr>
          <w:p>
            <w:pPr>
              <w:pStyle w:val="TabelaTexto"/>
              <w:jc w:val="left"/>
            </w:pPr>
            <w:r>
              <w:t xml:space="preserve">Mulheres nos estágios III e IV segregaram-se em dois fenótipos funcionais distintos de gravidade álgica e prejuízo à função sexual; a frequência de infertilidade permaneceu uniforme entre esses subgrupos.</w:t>
            </w:r>
          </w:p>
        </w:tc>
      </w:tr>
      <w:tr>
        <w:trPr>
          <w:cantSplit/>
        </w:trPr>
        <w:tc>
          <w:tcPr>
            <w:tcW w:w="2100" w:type="dxa"/>
            <w:vAlign w:val="top"/>
          </w:tcPr>
          <w:p>
            <w:pPr>
              <w:pStyle w:val="TabelaTexto"/>
              <w:jc w:val="left"/>
            </w:pPr>
            <w:r>
              <w:t xml:space="preserve">Souza et al., 2025 [3]</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48 prontuários de mulheres (18–49 anos) com diagnóstico firmado de endometriose</w:t>
            </w:r>
          </w:p>
        </w:tc>
        <w:tc>
          <w:tcPr>
            <w:tcW w:w="2521" w:type="dxa"/>
            <w:vAlign w:val="top"/>
          </w:tcPr>
          <w:p>
            <w:pPr>
              <w:pStyle w:val="TabelaTexto"/>
              <w:jc w:val="left"/>
            </w:pPr>
            <w:r>
              <w:t xml:space="preserve">Soropositividade para autoanticorpos tireoidianos (anti-TPO e anti-Tg)</w:t>
            </w:r>
          </w:p>
        </w:tc>
        <w:tc>
          <w:tcPr>
            <w:tcW w:w="2100" w:type="dxa"/>
            <w:vAlign w:val="top"/>
          </w:tcPr>
          <w:p>
            <w:pPr>
              <w:pStyle w:val="TabelaTexto"/>
              <w:jc w:val="left"/>
            </w:pPr>
            <w:r>
              <w:t xml:space="preserve">Reserva ovariana estimada por AMH e contagem de folículos antrais (AFC)</w:t>
            </w:r>
          </w:p>
        </w:tc>
        <w:tc>
          <w:tcPr>
            <w:tcW w:w="3221" w:type="dxa"/>
            <w:vAlign w:val="top"/>
          </w:tcPr>
          <w:p>
            <w:pPr>
              <w:pStyle w:val="TabelaTexto"/>
              <w:jc w:val="left"/>
            </w:pPr>
            <w:r>
              <w:t xml:space="preserve">Alta prevalência de autoimunidade tireoidiana associada à endometriose; não houve redução estatisticamente significante na reserva folicular, embora pacientes soropositivas tenham exibido tendência a menores valores medianos de AMH.</w:t>
            </w:r>
          </w:p>
        </w:tc>
      </w:tr>
      <w:tr>
        <w:trPr>
          <w:cantSplit/>
        </w:trPr>
        <w:tc>
          <w:tcPr>
            <w:tcW w:w="2100" w:type="dxa"/>
            <w:vAlign w:val="top"/>
          </w:tcPr>
          <w:p>
            <w:pPr>
              <w:pStyle w:val="TabelaTexto"/>
              <w:jc w:val="left"/>
            </w:pPr>
            <w:r>
              <w:t xml:space="preserve">Şükür et al., 2025 [24]</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90 mulheres inférteis com endometrioma ≥4 cm no primeiro ciclo de FIV</w:t>
            </w:r>
          </w:p>
        </w:tc>
        <w:tc>
          <w:tcPr>
            <w:tcW w:w="2521" w:type="dxa"/>
            <w:vAlign w:val="top"/>
          </w:tcPr>
          <w:p>
            <w:pPr>
              <w:pStyle w:val="TabelaTexto"/>
              <w:jc w:val="left"/>
            </w:pPr>
            <w:r>
              <w:t xml:space="preserve">Três condutas terapêuticas: conduta expectante (n=39), escleroterapia com etanol (n=20) e cistectomia laparoscópica (n=31)</w:t>
            </w:r>
          </w:p>
        </w:tc>
        <w:tc>
          <w:tcPr>
            <w:tcW w:w="2100" w:type="dxa"/>
            <w:vAlign w:val="top"/>
          </w:tcPr>
          <w:p>
            <w:pPr>
              <w:pStyle w:val="TabelaTexto"/>
              <w:jc w:val="left"/>
            </w:pPr>
            <w:r>
              <w:t xml:space="preserve">Taxa cumulativa de nascidos vivos, rendimento de oócitos e embriões, implantação e taxa de cancelamento de ciclo</w:t>
            </w:r>
          </w:p>
        </w:tc>
        <w:tc>
          <w:tcPr>
            <w:tcW w:w="3221" w:type="dxa"/>
            <w:vAlign w:val="top"/>
          </w:tcPr>
          <w:p>
            <w:pPr>
              <w:pStyle w:val="TabelaTexto"/>
              <w:jc w:val="left"/>
            </w:pPr>
            <w:r>
              <w:t xml:space="preserve">A escleroterapia com etanol preservou a reserva folicular e alcançou maior taxa cumulativa de nascidos vivos (65%), superando os braços de cistectomia cirúrgica e manejo expectante.</w:t>
            </w:r>
          </w:p>
        </w:tc>
      </w:tr>
      <w:tr>
        <w:trPr>
          <w:cantSplit/>
        </w:trPr>
        <w:tc>
          <w:tcPr>
            <w:tcW w:w="2100" w:type="dxa"/>
            <w:vAlign w:val="top"/>
          </w:tcPr>
          <w:p>
            <w:pPr>
              <w:pStyle w:val="TabelaTexto"/>
              <w:jc w:val="left"/>
            </w:pPr>
            <w:r>
              <w:t xml:space="preserve">Farland et al., 2024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1.961 mulheres pré-menopáusicas vinculadas ao Nurses' Health Study II com dosagem de AMH</w:t>
            </w:r>
          </w:p>
        </w:tc>
        <w:tc>
          <w:tcPr>
            <w:tcW w:w="2521" w:type="dxa"/>
            <w:vAlign w:val="top"/>
          </w:tcPr>
          <w:p>
            <w:pPr>
              <w:pStyle w:val="TabelaTexto"/>
              <w:jc w:val="left"/>
            </w:pPr>
            <w:r>
              <w:t xml:space="preserve">Diagnóstico laparoscópico de endometriose</w:t>
            </w:r>
          </w:p>
        </w:tc>
        <w:tc>
          <w:tcPr>
            <w:tcW w:w="2100" w:type="dxa"/>
            <w:vAlign w:val="top"/>
          </w:tcPr>
          <w:p>
            <w:pPr>
              <w:pStyle w:val="TabelaTexto"/>
              <w:jc w:val="left"/>
            </w:pPr>
            <w:r>
              <w:t xml:space="preserve">Níveis plasmáticos de hormônio antimülleriano (AMH)</w:t>
            </w:r>
          </w:p>
        </w:tc>
        <w:tc>
          <w:tcPr>
            <w:tcW w:w="3221" w:type="dxa"/>
            <w:vAlign w:val="top"/>
          </w:tcPr>
          <w:p>
            <w:pPr>
              <w:pStyle w:val="TabelaTexto"/>
              <w:jc w:val="left"/>
            </w:pPr>
            <w:r>
              <w:t xml:space="preserve">Portadoras de endometriose exibiram AMH 29,6% menor em relação a mulheres sadias; a presença de sobrepeso/obesidade (IMC ≥25 kg/m²) intensificou essa redução para 44,0%.</w:t>
            </w:r>
          </w:p>
        </w:tc>
      </w:tr>
      <w:tr>
        <w:trPr>
          <w:cantSplit/>
        </w:trPr>
        <w:tc>
          <w:tcPr>
            <w:tcW w:w="2100" w:type="dxa"/>
            <w:vAlign w:val="top"/>
          </w:tcPr>
          <w:p>
            <w:pPr>
              <w:pStyle w:val="TabelaTexto"/>
              <w:jc w:val="left"/>
            </w:pPr>
            <w:r>
              <w:t xml:space="preserve">Haque et al., 2024 [25]</w:t>
            </w:r>
          </w:p>
        </w:tc>
        <w:tc>
          <w:tcPr>
            <w:tcW w:w="1260" w:type="dxa"/>
            <w:vAlign w:val="top"/>
          </w:tcPr>
          <w:p>
            <w:pPr>
              <w:pStyle w:val="TabelaTextoCentro"/>
              <w:jc w:val="center"/>
            </w:pPr>
            <w:r>
              <w:t xml:space="preserve">Indonésia</w:t>
            </w:r>
          </w:p>
        </w:tc>
        <w:tc>
          <w:tcPr>
            <w:tcW w:w="2801" w:type="dxa"/>
            <w:vAlign w:val="top"/>
          </w:tcPr>
          <w:p>
            <w:pPr>
              <w:pStyle w:val="TabelaTexto"/>
              <w:jc w:val="left"/>
            </w:pPr>
            <w:r>
              <w:t xml:space="preserve">Coorte retrospectiva; 410 ciclos de FIV (93 com endometriose e 317 sem a afecção)</w:t>
            </w:r>
          </w:p>
        </w:tc>
        <w:tc>
          <w:tcPr>
            <w:tcW w:w="2521" w:type="dxa"/>
            <w:vAlign w:val="top"/>
          </w:tcPr>
          <w:p>
            <w:pPr>
              <w:pStyle w:val="TabelaTexto"/>
              <w:jc w:val="left"/>
            </w:pPr>
            <w:r>
              <w:t xml:space="preserve">Diagnóstico clínico-cirúrgico de endometriose</w:t>
            </w:r>
          </w:p>
        </w:tc>
        <w:tc>
          <w:tcPr>
            <w:tcW w:w="2100" w:type="dxa"/>
            <w:vAlign w:val="top"/>
          </w:tcPr>
          <w:p>
            <w:pPr>
              <w:pStyle w:val="TabelaTexto"/>
              <w:jc w:val="left"/>
            </w:pPr>
            <w:r>
              <w:t xml:space="preserve">Rendimento ovocitário, maturação nuclear, taxas de fertilização, clivagem embrionária, gestação clínica e nascido vivo</w:t>
            </w:r>
          </w:p>
        </w:tc>
        <w:tc>
          <w:tcPr>
            <w:tcW w:w="3221" w:type="dxa"/>
            <w:vAlign w:val="top"/>
          </w:tcPr>
          <w:p>
            <w:pPr>
              <w:pStyle w:val="TabelaTexto"/>
              <w:jc w:val="left"/>
            </w:pPr>
            <w:r>
              <w:t xml:space="preserve">A doença reduziu a quantidade e a qualidade morfológica dos gametas resgatados; contudo, o desenvolvimento embrionário subsequente, a gravidez clínica e o nascido vivo não diferiram dos controles.</w:t>
            </w:r>
          </w:p>
        </w:tc>
      </w:tr>
      <w:tr>
        <w:trPr>
          <w:cantSplit/>
        </w:trPr>
        <w:tc>
          <w:tcPr>
            <w:tcW w:w="2100" w:type="dxa"/>
            <w:vAlign w:val="top"/>
          </w:tcPr>
          <w:p>
            <w:pPr>
              <w:pStyle w:val="TabelaTexto"/>
              <w:jc w:val="left"/>
            </w:pPr>
            <w:r>
              <w:t xml:space="preserve">Molina Rodríguez, 2024 [9]</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Coorte retrospectiva; 455 prontuários de 560 mulheres avaliadas em serviço terciário especializado</w:t>
            </w:r>
          </w:p>
        </w:tc>
        <w:tc>
          <w:tcPr>
            <w:tcW w:w="2521" w:type="dxa"/>
            <w:vAlign w:val="top"/>
          </w:tcPr>
          <w:p>
            <w:pPr>
              <w:pStyle w:val="TabelaTexto"/>
              <w:jc w:val="left"/>
            </w:pPr>
            <w:r>
              <w:t xml:space="preserve">Endometriose pélvica confirmada</w:t>
            </w:r>
          </w:p>
        </w:tc>
        <w:tc>
          <w:tcPr>
            <w:tcW w:w="2100" w:type="dxa"/>
            <w:vAlign w:val="top"/>
          </w:tcPr>
          <w:p>
            <w:pPr>
              <w:pStyle w:val="TabelaTexto"/>
              <w:jc w:val="left"/>
            </w:pPr>
            <w:r>
              <w:t xml:space="preserve">Idade diagnóstica, paridade, gravidade de dismenorreia, dispareunia e topografia das lesões ectópicas</w:t>
            </w:r>
          </w:p>
        </w:tc>
        <w:tc>
          <w:tcPr>
            <w:tcW w:w="3221" w:type="dxa"/>
            <w:vAlign w:val="top"/>
          </w:tcPr>
          <w:p>
            <w:pPr>
              <w:pStyle w:val="TabelaTexto"/>
              <w:jc w:val="left"/>
            </w:pPr>
            <w:r>
              <w:t xml:space="preserve">Concentração diagnóstica na faixa de 26 a 35 anos; nuliparidade documentada em 63,00% da amostra; dismenorreia primária em 63,07%; o ovário representou o sítio anatômico preponderante (78,70%).</w:t>
            </w:r>
          </w:p>
        </w:tc>
      </w:tr>
      <w:tr>
        <w:trPr>
          <w:cantSplit/>
        </w:trPr>
        <w:tc>
          <w:tcPr>
            <w:tcW w:w="2100" w:type="dxa"/>
            <w:vAlign w:val="top"/>
          </w:tcPr>
          <w:p>
            <w:pPr>
              <w:pStyle w:val="TabelaTexto"/>
              <w:jc w:val="left"/>
            </w:pPr>
            <w:r>
              <w:t xml:space="preserve">Morcel et al., 2024 [28]</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Coorte retrospectiva; ciclos de fertilização in vitro estratificados por gravidade e tipologia da doença</w:t>
            </w:r>
          </w:p>
        </w:tc>
        <w:tc>
          <w:tcPr>
            <w:tcW w:w="2521" w:type="dxa"/>
            <w:vAlign w:val="top"/>
          </w:tcPr>
          <w:p>
            <w:pPr>
              <w:pStyle w:val="TabelaTexto"/>
              <w:jc w:val="left"/>
            </w:pPr>
            <w:r>
              <w:t xml:space="preserve">Estágios da endometriose (ASRM I-II, III-IV sem endometrioma, endometrioma isolado e endometriose profunda infiltrativa)</w:t>
            </w:r>
          </w:p>
        </w:tc>
        <w:tc>
          <w:tcPr>
            <w:tcW w:w="2100" w:type="dxa"/>
            <w:vAlign w:val="top"/>
          </w:tcPr>
          <w:p>
            <w:pPr>
              <w:pStyle w:val="TabelaTexto"/>
              <w:jc w:val="left"/>
            </w:pPr>
            <w:r>
              <w:t xml:space="preserve">Taxas de gravidez clínica, gestação em curso e taxa cumulativa de gravidez por casal transferido</w:t>
            </w:r>
          </w:p>
        </w:tc>
        <w:tc>
          <w:tcPr>
            <w:tcW w:w="3221" w:type="dxa"/>
            <w:vAlign w:val="top"/>
          </w:tcPr>
          <w:p>
            <w:pPr>
              <w:pStyle w:val="TabelaTexto"/>
              <w:jc w:val="left"/>
            </w:pPr>
            <w:r>
              <w:t xml:space="preserve">A gravidez em curso por ciclo a fresco não divergiu dos controles; em contrapartida, as taxas cumulativas por casal decaíram acentuadamente no subgrupo acometido por endometriose profunda com nódulos infiltrativos.</w:t>
            </w:r>
          </w:p>
        </w:tc>
      </w:tr>
      <w:tr>
        <w:trPr>
          <w:cantSplit/>
        </w:trPr>
        <w:tc>
          <w:tcPr>
            <w:tcW w:w="2100" w:type="dxa"/>
            <w:vAlign w:val="top"/>
          </w:tcPr>
          <w:p>
            <w:pPr>
              <w:pStyle w:val="TabelaTexto"/>
              <w:jc w:val="left"/>
            </w:pPr>
            <w:r>
              <w:t xml:space="preserve">Nadă et al., 2024 [26]</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mulheres com endometriose e antecedente cirúrgico vs. fator tubário submetidas a FIV</w:t>
            </w:r>
          </w:p>
        </w:tc>
        <w:tc>
          <w:tcPr>
            <w:tcW w:w="2521" w:type="dxa"/>
            <w:vAlign w:val="top"/>
          </w:tcPr>
          <w:p>
            <w:pPr>
              <w:pStyle w:val="TabelaTexto"/>
              <w:jc w:val="left"/>
            </w:pPr>
            <w:r>
              <w:t xml:space="preserve">Endometriose operada, idade materna, AMH basal e regimes farmacológicos de estimulação ovariana</w:t>
            </w:r>
          </w:p>
        </w:tc>
        <w:tc>
          <w:tcPr>
            <w:tcW w:w="2100" w:type="dxa"/>
            <w:vAlign w:val="top"/>
          </w:tcPr>
          <w:p>
            <w:pPr>
              <w:pStyle w:val="TabelaTexto"/>
              <w:jc w:val="left"/>
            </w:pPr>
            <w:r>
              <w:t xml:space="preserve">Taxa de gravidez clínica confirmada por ultrassonografia</w:t>
            </w:r>
          </w:p>
        </w:tc>
        <w:tc>
          <w:tcPr>
            <w:tcW w:w="3221" w:type="dxa"/>
            <w:vAlign w:val="top"/>
          </w:tcPr>
          <w:p>
            <w:pPr>
              <w:pStyle w:val="TabelaTexto"/>
              <w:jc w:val="left"/>
            </w:pPr>
            <w:r>
              <w:t xml:space="preserve">O braço acometido por endometriose apresentou menor taxa de prenhez clínica frente ao fator tubário; idade e AMH atuaram como preditores independentes; o uso de corifolitropina alfa melhorou os desfechos clínicos.</w:t>
            </w:r>
          </w:p>
        </w:tc>
      </w:tr>
      <w:tr>
        <w:trPr>
          <w:cantSplit/>
        </w:trPr>
        <w:tc>
          <w:tcPr>
            <w:tcW w:w="2100" w:type="dxa"/>
            <w:vAlign w:val="top"/>
          </w:tcPr>
          <w:p>
            <w:pPr>
              <w:pStyle w:val="TabelaTexto"/>
              <w:jc w:val="left"/>
            </w:pPr>
            <w:r>
              <w:t xml:space="preserve">Nogueira Neto et al., 2024 [10]</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Coorte prospectiva; 103 pacientes com endometriose submetidas a intervenção cirúrgica laparoscópica</w:t>
            </w:r>
          </w:p>
        </w:tc>
        <w:tc>
          <w:tcPr>
            <w:tcW w:w="2521" w:type="dxa"/>
            <w:vAlign w:val="top"/>
          </w:tcPr>
          <w:p>
            <w:pPr>
              <w:pStyle w:val="TabelaTexto"/>
              <w:jc w:val="left"/>
            </w:pPr>
            <w:r>
              <w:t xml:space="preserve">Laparoscopia excisional para endometriose</w:t>
            </w:r>
          </w:p>
        </w:tc>
        <w:tc>
          <w:tcPr>
            <w:tcW w:w="2100" w:type="dxa"/>
            <w:vAlign w:val="top"/>
          </w:tcPr>
          <w:p>
            <w:pPr>
              <w:pStyle w:val="TabelaTexto"/>
              <w:jc w:val="left"/>
            </w:pPr>
            <w:r>
              <w:t xml:space="preserve">Escore depressivo relacionado à dor e categorização da fertilidade</w:t>
            </w:r>
          </w:p>
        </w:tc>
        <w:tc>
          <w:tcPr>
            <w:tcW w:w="3221" w:type="dxa"/>
            <w:vAlign w:val="top"/>
          </w:tcPr>
          <w:p>
            <w:pPr>
              <w:pStyle w:val="TabelaTexto"/>
              <w:jc w:val="left"/>
            </w:pPr>
            <w:r>
              <w:t xml:space="preserve">A ressecção cirúrgica mitigou os escores depressivos; baixa fertilidade prévia foi observada em 50,9% das pacientes, coexistindo com estadiamento cirúrgico grave em 39,3% dos casos.</w:t>
            </w:r>
          </w:p>
        </w:tc>
      </w:tr>
      <w:tr>
        <w:trPr>
          <w:cantSplit/>
        </w:trPr>
        <w:tc>
          <w:tcPr>
            <w:tcW w:w="2100" w:type="dxa"/>
            <w:vAlign w:val="top"/>
          </w:tcPr>
          <w:p>
            <w:pPr>
              <w:pStyle w:val="TabelaTexto"/>
              <w:jc w:val="left"/>
            </w:pPr>
            <w:r>
              <w:t xml:space="preserve">Qu et al., 2024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625 ciclos com teste genético pré-implantacional para aneuploidias (PGT-A)</w:t>
            </w:r>
          </w:p>
        </w:tc>
        <w:tc>
          <w:tcPr>
            <w:tcW w:w="2521" w:type="dxa"/>
            <w:vAlign w:val="top"/>
          </w:tcPr>
          <w:p>
            <w:pPr>
              <w:pStyle w:val="TabelaTexto"/>
              <w:jc w:val="left"/>
            </w:pPr>
            <w:r>
              <w:t xml:space="preserve">Diagnóstico de endometriose</w:t>
            </w:r>
          </w:p>
        </w:tc>
        <w:tc>
          <w:tcPr>
            <w:tcW w:w="2100" w:type="dxa"/>
            <w:vAlign w:val="top"/>
          </w:tcPr>
          <w:p>
            <w:pPr>
              <w:pStyle w:val="TabelaTexto"/>
              <w:jc w:val="left"/>
            </w:pPr>
            <w:r>
              <w:t xml:space="preserve">Taxa de aneuploidia blastocitária, nascido vivo, perdas gestacionais clínicas e complicações obstétricas</w:t>
            </w:r>
          </w:p>
        </w:tc>
        <w:tc>
          <w:tcPr>
            <w:tcW w:w="3221" w:type="dxa"/>
            <w:vAlign w:val="top"/>
          </w:tcPr>
          <w:p>
            <w:pPr>
              <w:pStyle w:val="TabelaTexto"/>
              <w:jc w:val="left"/>
            </w:pPr>
            <w:r>
              <w:t xml:space="preserve">A presença de endometriose aumentou expressivamente a taxa de aneuploidia em blastocistos; não obstante, após a transferência de concepto euploide, as taxas de nascido vivo e abortamento equipararam-se aos controles.</w:t>
            </w:r>
          </w:p>
        </w:tc>
      </w:tr>
      <w:tr>
        <w:trPr>
          <w:cantSplit/>
        </w:trPr>
        <w:tc>
          <w:tcPr>
            <w:tcW w:w="2100" w:type="dxa"/>
            <w:vAlign w:val="top"/>
          </w:tcPr>
          <w:p>
            <w:pPr>
              <w:pStyle w:val="TabelaTexto"/>
              <w:jc w:val="left"/>
            </w:pPr>
            <w:r>
              <w:t xml:space="preserve">Sorvia Naveda et al., 2024 [1]</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prospectiva; 178 pacientes inférteis: 89 com endometriose estágio III-IV e 89 controles com outras etiologias</w:t>
            </w:r>
          </w:p>
        </w:tc>
        <w:tc>
          <w:tcPr>
            <w:tcW w:w="2521" w:type="dxa"/>
            <w:vAlign w:val="top"/>
          </w:tcPr>
          <w:p>
            <w:pPr>
              <w:pStyle w:val="TabelaTexto"/>
              <w:jc w:val="left"/>
            </w:pPr>
            <w:r>
              <w:t xml:space="preserve">Endometriose avançada com endometriomas anexiais</w:t>
            </w:r>
          </w:p>
        </w:tc>
        <w:tc>
          <w:tcPr>
            <w:tcW w:w="2100" w:type="dxa"/>
            <w:vAlign w:val="top"/>
          </w:tcPr>
          <w:p>
            <w:pPr>
              <w:pStyle w:val="TabelaTexto"/>
              <w:jc w:val="left"/>
            </w:pPr>
            <w:r>
              <w:t xml:space="preserve">Marcadores de reserva folicular (AMH, AFC), oócitos totais e MII recuperados, implantação embrionária e nascido vivo</w:t>
            </w:r>
          </w:p>
        </w:tc>
        <w:tc>
          <w:tcPr>
            <w:tcW w:w="3221" w:type="dxa"/>
            <w:vAlign w:val="top"/>
          </w:tcPr>
          <w:p>
            <w:pPr>
              <w:pStyle w:val="TabelaTexto"/>
              <w:jc w:val="left"/>
            </w:pPr>
            <w:r>
              <w:t xml:space="preserve">Pacientes nos estágios III-IV apresentaram decréscimo de AMH, contagem antral e oócitos maduros; a taxa final de nascidos vivos por embrião transferido permaneceu análoga à do grupo controle.</w:t>
            </w:r>
          </w:p>
        </w:tc>
      </w:tr>
      <w:tr>
        <w:trPr>
          <w:cantSplit/>
        </w:trPr>
        <w:tc>
          <w:tcPr>
            <w:tcW w:w="2100" w:type="dxa"/>
            <w:vAlign w:val="top"/>
          </w:tcPr>
          <w:p>
            <w:pPr>
              <w:pStyle w:val="TabelaTexto"/>
              <w:jc w:val="left"/>
            </w:pPr>
            <w:r>
              <w:t xml:space="preserve">Bianco et al., 2023 [7]</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mulheres com endometriose cirúrgica e controles sem lesões à inspeção laparoscópica</w:t>
            </w:r>
          </w:p>
        </w:tc>
        <w:tc>
          <w:tcPr>
            <w:tcW w:w="2521" w:type="dxa"/>
            <w:vAlign w:val="top"/>
          </w:tcPr>
          <w:p>
            <w:pPr>
              <w:pStyle w:val="TabelaTexto"/>
              <w:jc w:val="left"/>
            </w:pPr>
            <w:r>
              <w:t xml:space="preserve">Polimorfismo rs10835638 no gene FSHB (c.-211G&gt;T) em subgrupos férteis e inférteis</w:t>
            </w:r>
          </w:p>
        </w:tc>
        <w:tc>
          <w:tcPr>
            <w:tcW w:w="2100" w:type="dxa"/>
            <w:vAlign w:val="top"/>
          </w:tcPr>
          <w:p>
            <w:pPr>
              <w:pStyle w:val="TabelaTexto"/>
              <w:jc w:val="left"/>
            </w:pPr>
            <w:r>
              <w:t xml:space="preserve">Suscetibilidade à progressão da doença e impacto na infertilidade feminina</w:t>
            </w:r>
          </w:p>
        </w:tc>
        <w:tc>
          <w:tcPr>
            <w:tcW w:w="3221" w:type="dxa"/>
            <w:vAlign w:val="top"/>
          </w:tcPr>
          <w:p>
            <w:pPr>
              <w:pStyle w:val="TabelaTexto"/>
              <w:jc w:val="left"/>
            </w:pPr>
            <w:r>
              <w:t xml:space="preserve">Frequências alélicas e genotípicas não divergiram globalmente entre casos e controles; o alelo T associou-se exclusivamente aos estágios mínimos/leves da doença, sem correlação com o fenótipo de infertilidade.</w:t>
            </w:r>
          </w:p>
        </w:tc>
      </w:tr>
      <w:tr>
        <w:trPr>
          <w:cantSplit/>
        </w:trPr>
        <w:tc>
          <w:tcPr>
            <w:tcW w:w="2100" w:type="dxa"/>
            <w:vAlign w:val="top"/>
          </w:tcPr>
          <w:p>
            <w:pPr>
              <w:pStyle w:val="TabelaTexto"/>
              <w:jc w:val="left"/>
            </w:pPr>
            <w:r>
              <w:t xml:space="preserve">Hernández et al., 2023 [29]</w:t>
            </w:r>
          </w:p>
        </w:tc>
        <w:tc>
          <w:tcPr>
            <w:tcW w:w="1260" w:type="dxa"/>
            <w:vAlign w:val="top"/>
          </w:tcPr>
          <w:p>
            <w:pPr>
              <w:pStyle w:val="TabelaTextoCentro"/>
              <w:jc w:val="center"/>
            </w:pPr>
            <w:r>
              <w:t xml:space="preserve">Espanha</w:t>
            </w:r>
          </w:p>
        </w:tc>
        <w:tc>
          <w:tcPr>
            <w:tcW w:w="2801" w:type="dxa"/>
            <w:vAlign w:val="top"/>
          </w:tcPr>
          <w:p>
            <w:pPr>
              <w:pStyle w:val="TabelaTexto"/>
              <w:jc w:val="left"/>
            </w:pPr>
            <w:r>
              <w:t xml:space="preserve">Coorte retrospectiva; 244 pacientes de FIV: endometrioma in situ (n=124), cistectomia prévia (n=55) e controles (n=65)</w:t>
            </w:r>
          </w:p>
        </w:tc>
        <w:tc>
          <w:tcPr>
            <w:tcW w:w="2521" w:type="dxa"/>
            <w:vAlign w:val="top"/>
          </w:tcPr>
          <w:p>
            <w:pPr>
              <w:pStyle w:val="TabelaTexto"/>
              <w:jc w:val="left"/>
            </w:pPr>
            <w:r>
              <w:t xml:space="preserve">Presença do cisto ovariano vs. dano cirúrgico prévio</w:t>
            </w:r>
          </w:p>
        </w:tc>
        <w:tc>
          <w:tcPr>
            <w:tcW w:w="2100" w:type="dxa"/>
            <w:vAlign w:val="top"/>
          </w:tcPr>
          <w:p>
            <w:pPr>
              <w:pStyle w:val="TabelaTexto"/>
              <w:jc w:val="left"/>
            </w:pPr>
            <w:r>
              <w:t xml:space="preserve">AMH, AFC, número de oócitos aspirados, concepto transferido, gestação bioquímica e batimento cardíaco fetal às 6 semanas</w:t>
            </w:r>
          </w:p>
        </w:tc>
        <w:tc>
          <w:tcPr>
            <w:tcW w:w="3221" w:type="dxa"/>
            <w:vAlign w:val="top"/>
          </w:tcPr>
          <w:p>
            <w:pPr>
              <w:pStyle w:val="TabelaTexto"/>
              <w:jc w:val="left"/>
            </w:pPr>
            <w:r>
              <w:t xml:space="preserve">O endometrioma deprimiu AMH, AFC e gestação bioquímica; a cistectomia laparoscópica prévia reverteu a taxa de perdas bioquímicas, porém não recuperou o rendimento ou a qualidade dos gametas resgatados.</w:t>
            </w:r>
          </w:p>
        </w:tc>
      </w:tr>
      <w:tr>
        <w:trPr>
          <w:cantSplit/>
        </w:trPr>
        <w:tc>
          <w:tcPr>
            <w:tcW w:w="2100" w:type="dxa"/>
            <w:vAlign w:val="top"/>
          </w:tcPr>
          <w:p>
            <w:pPr>
              <w:pStyle w:val="TabelaTexto"/>
              <w:jc w:val="left"/>
            </w:pPr>
            <w:r>
              <w:t xml:space="preserve">Nadă et al., 2023 [30]</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pacientes com histórico de cistectomia ovariana por endometrioma vs. fator tubário em FIV</w:t>
            </w:r>
          </w:p>
        </w:tc>
        <w:tc>
          <w:tcPr>
            <w:tcW w:w="2521" w:type="dxa"/>
            <w:vAlign w:val="top"/>
          </w:tcPr>
          <w:p>
            <w:pPr>
              <w:pStyle w:val="TabelaTexto"/>
              <w:jc w:val="left"/>
            </w:pPr>
            <w:r>
              <w:t xml:space="preserve">Cirurgia ovariana prévia por endometrioma</w:t>
            </w:r>
          </w:p>
        </w:tc>
        <w:tc>
          <w:tcPr>
            <w:tcW w:w="2100" w:type="dxa"/>
            <w:vAlign w:val="top"/>
          </w:tcPr>
          <w:p>
            <w:pPr>
              <w:pStyle w:val="TabelaTexto"/>
              <w:jc w:val="left"/>
            </w:pPr>
            <w:r>
              <w:t xml:space="preserve">Parâmetros de resposta à estimulação, embriões clivados transferidos e taxa de gravidez clínica</w:t>
            </w:r>
          </w:p>
        </w:tc>
        <w:tc>
          <w:tcPr>
            <w:tcW w:w="3221" w:type="dxa"/>
            <w:vAlign w:val="top"/>
          </w:tcPr>
          <w:p>
            <w:pPr>
              <w:pStyle w:val="TabelaTexto"/>
              <w:jc w:val="left"/>
            </w:pPr>
            <w:r>
              <w:t xml:space="preserve">Mulheres previamente operadas por endometrioma apresentaram menor taxa de gravidez clínica frente à obstrução tubária, a despeito de concentrações séricas basais de AMH e doses de gonadotrofinas similares.</w:t>
            </w:r>
          </w:p>
        </w:tc>
      </w:tr>
      <w:tr>
        <w:trPr>
          <w:cantSplit/>
        </w:trPr>
        <w:tc>
          <w:tcPr>
            <w:tcW w:w="2100" w:type="dxa"/>
            <w:vAlign w:val="top"/>
          </w:tcPr>
          <w:p>
            <w:pPr>
              <w:pStyle w:val="TabelaTexto"/>
              <w:jc w:val="left"/>
            </w:pPr>
            <w:r>
              <w:t xml:space="preserve">Sánchez-Resendis Ó et al., 2023 [14]</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Série de casos prospectiva; 14 mulheres com endometriose visando preservação de fertilidade futura</w:t>
            </w:r>
          </w:p>
        </w:tc>
        <w:tc>
          <w:tcPr>
            <w:tcW w:w="2521" w:type="dxa"/>
            <w:vAlign w:val="top"/>
          </w:tcPr>
          <w:p>
            <w:pPr>
              <w:pStyle w:val="TabelaTexto"/>
              <w:jc w:val="left"/>
            </w:pPr>
            <w:r>
              <w:t xml:space="preserve">Protocolo combinado de análogo de GnRH (goserelina) seguido de DIU liberador de levonorgestrel</w:t>
            </w:r>
          </w:p>
        </w:tc>
        <w:tc>
          <w:tcPr>
            <w:tcW w:w="2100" w:type="dxa"/>
            <w:vAlign w:val="top"/>
          </w:tcPr>
          <w:p>
            <w:pPr>
              <w:pStyle w:val="TabelaTexto"/>
              <w:jc w:val="left"/>
            </w:pPr>
            <w:r>
              <w:t xml:space="preserve">Intensidade de dor pélvica crônica e integridade dos parâmetros reprodutivos</w:t>
            </w:r>
          </w:p>
        </w:tc>
        <w:tc>
          <w:tcPr>
            <w:tcW w:w="3221" w:type="dxa"/>
            <w:vAlign w:val="top"/>
          </w:tcPr>
          <w:p>
            <w:pPr>
              <w:pStyle w:val="TabelaTexto"/>
              <w:jc w:val="left"/>
            </w:pPr>
            <w:r>
              <w:t xml:space="preserve">O protocolo supressivo erradicou a sintomatologia álgica incapacitante em 100% dos casos avaliados em 12 meses (apenas 5 pacientes relataram dor leve residual transitória), mantendo estabilidade folicular basal.</w:t>
            </w:r>
          </w:p>
        </w:tc>
      </w:tr>
      <w:tr>
        <w:trPr>
          <w:cantSplit/>
        </w:trPr>
        <w:tc>
          <w:tcPr>
            <w:tcW w:w="2100" w:type="dxa"/>
            <w:vAlign w:val="top"/>
          </w:tcPr>
          <w:p>
            <w:pPr>
              <w:pStyle w:val="TabelaTexto"/>
              <w:jc w:val="left"/>
            </w:pPr>
            <w:r>
              <w:t xml:space="preserve">Pontes et al., 2022 [11]</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227 pacientes com endometriose profunda mapeada por ultrassonografia com preparo intestinal</w:t>
            </w:r>
          </w:p>
        </w:tc>
        <w:tc>
          <w:tcPr>
            <w:tcW w:w="2521" w:type="dxa"/>
            <w:vAlign w:val="top"/>
          </w:tcPr>
          <w:p>
            <w:pPr>
              <w:pStyle w:val="TabelaTexto"/>
              <w:jc w:val="left"/>
            </w:pPr>
            <w:r>
              <w:t xml:space="preserve">Endometriose profunda infiltrativa</w:t>
            </w:r>
          </w:p>
        </w:tc>
        <w:tc>
          <w:tcPr>
            <w:tcW w:w="2100" w:type="dxa"/>
            <w:vAlign w:val="top"/>
          </w:tcPr>
          <w:p>
            <w:pPr>
              <w:pStyle w:val="TabelaTexto"/>
              <w:jc w:val="left"/>
            </w:pPr>
            <w:r>
              <w:t xml:space="preserve">Incidência de infertilidade e manifestações álgicas (dismenorreia, dispareunia, disquezia menstrual e disúria)</w:t>
            </w:r>
          </w:p>
        </w:tc>
        <w:tc>
          <w:tcPr>
            <w:tcW w:w="3221" w:type="dxa"/>
            <w:vAlign w:val="top"/>
          </w:tcPr>
          <w:p>
            <w:pPr>
              <w:pStyle w:val="TabelaTexto"/>
              <w:jc w:val="left"/>
            </w:pPr>
            <w:r>
              <w:t xml:space="preserve">Infertilidade documentada em 43,8% da amostra; alta prevalência de dismenorreia severa (84,7%), dispareunia profunda (69,1%) e sintomas de acometimento compartimental posterior como disquezia cíclica (60,7%).</w:t>
            </w:r>
          </w:p>
        </w:tc>
      </w:tr>
      <w:tr>
        <w:trPr>
          <w:cantSplit/>
        </w:trPr>
        <w:tc>
          <w:tcPr>
            <w:tcW w:w="2100" w:type="dxa"/>
            <w:vAlign w:val="top"/>
          </w:tcPr>
          <w:p>
            <w:pPr>
              <w:pStyle w:val="TabelaTexto"/>
              <w:jc w:val="left"/>
            </w:pPr>
            <w:r>
              <w:t xml:space="preserve">Bonachea-Peña et al., 2021 [12]</w:t>
            </w:r>
          </w:p>
        </w:tc>
        <w:tc>
          <w:tcPr>
            <w:tcW w:w="1260" w:type="dxa"/>
            <w:vAlign w:val="top"/>
          </w:tcPr>
          <w:p>
            <w:pPr>
              <w:pStyle w:val="TabelaTextoCentro"/>
              <w:jc w:val="center"/>
            </w:pPr>
            <w:r>
              <w:t xml:space="preserve">Cuba</w:t>
            </w:r>
          </w:p>
        </w:tc>
        <w:tc>
          <w:tcPr>
            <w:tcW w:w="2801" w:type="dxa"/>
            <w:vAlign w:val="top"/>
          </w:tcPr>
          <w:p>
            <w:pPr>
              <w:pStyle w:val="TabelaTexto"/>
              <w:jc w:val="left"/>
            </w:pPr>
            <w:r>
              <w:t xml:space="preserve">Transversal; 123 mulheres em idade fértil internadas com quadro de dor pélvica crônica ginecológica</w:t>
            </w:r>
          </w:p>
        </w:tc>
        <w:tc>
          <w:tcPr>
            <w:tcW w:w="2521" w:type="dxa"/>
            <w:vAlign w:val="top"/>
          </w:tcPr>
          <w:p>
            <w:pPr>
              <w:pStyle w:val="TabelaTexto"/>
              <w:jc w:val="left"/>
            </w:pPr>
            <w:r>
              <w:t xml:space="preserve">Diagnóstico laparoscópico e anatomopatológico de afecções pélvicas</w:t>
            </w:r>
          </w:p>
        </w:tc>
        <w:tc>
          <w:tcPr>
            <w:tcW w:w="2100" w:type="dxa"/>
            <w:vAlign w:val="top"/>
          </w:tcPr>
          <w:p>
            <w:pPr>
              <w:pStyle w:val="TabelaTexto"/>
              <w:jc w:val="left"/>
            </w:pPr>
            <w:r>
              <w:t xml:space="preserve">Associação entre dor pélvica, tipologia etiológica e infertilidade secundária/paridade</w:t>
            </w:r>
          </w:p>
        </w:tc>
        <w:tc>
          <w:tcPr>
            <w:tcW w:w="3221" w:type="dxa"/>
            <w:vAlign w:val="top"/>
          </w:tcPr>
          <w:p>
            <w:pPr>
              <w:pStyle w:val="TabelaTexto"/>
              <w:jc w:val="left"/>
            </w:pPr>
            <w:r>
              <w:t xml:space="preserve">A endometriose constituiu a causa prevalente de dor ginecológica incapacitante; paradoxalmente, a maioria das pacientes acometidas era multípara, evidenciando declínio de fertilidade secundário ao avanço lesional.</w:t>
            </w:r>
          </w:p>
        </w:tc>
      </w:tr>
      <w:tr>
        <w:trPr>
          <w:cantSplit/>
        </w:trPr>
        <w:tc>
          <w:tcPr>
            <w:tcW w:w="2100" w:type="dxa"/>
            <w:vAlign w:val="top"/>
          </w:tcPr>
          <w:p>
            <w:pPr>
              <w:pStyle w:val="TabelaTexto"/>
              <w:jc w:val="left"/>
            </w:pPr>
            <w:r>
              <w:t xml:space="preserve">Caran et al., 2021 [2]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análise morfológica estrita de 706 embriões de 162 pacientes (472 de controles e 234 com endometriose peritoneal)</w:t>
            </w:r>
          </w:p>
        </w:tc>
        <w:tc>
          <w:tcPr>
            <w:tcW w:w="2521" w:type="dxa"/>
            <w:vAlign w:val="top"/>
          </w:tcPr>
          <w:p>
            <w:pPr>
              <w:pStyle w:val="TabelaTexto"/>
              <w:jc w:val="left"/>
            </w:pPr>
            <w:r>
              <w:t xml:space="preserve">Endometriose peritoneal superficial exclusiva</w:t>
            </w:r>
          </w:p>
        </w:tc>
        <w:tc>
          <w:tcPr>
            <w:tcW w:w="2100" w:type="dxa"/>
            <w:vAlign w:val="top"/>
          </w:tcPr>
          <w:p>
            <w:pPr>
              <w:pStyle w:val="TabelaTexto"/>
              <w:jc w:val="left"/>
            </w:pPr>
            <w:r>
              <w:t xml:space="preserve">Qualidade embrionária graduada (Graded Embryo Score), fertilização normal, implantação e taxas de concepção</w:t>
            </w:r>
          </w:p>
        </w:tc>
        <w:tc>
          <w:tcPr>
            <w:tcW w:w="3221" w:type="dxa"/>
            <w:vAlign w:val="top"/>
          </w:tcPr>
          <w:p>
            <w:pPr>
              <w:pStyle w:val="TabelaTexto"/>
              <w:jc w:val="left"/>
            </w:pPr>
            <w:r>
              <w:t xml:space="preserve">A endometriose peritoneal superficial isolada não comprometeu o desenvolvimento embrionário precoce, apresentando escores morfológicos, implantação e taxas de gravidez equivalentes aos controles sadios.</w:t>
            </w:r>
          </w:p>
        </w:tc>
      </w:tr>
      <w:tr>
        <w:trPr>
          <w:cantSplit/>
        </w:trPr>
        <w:tc>
          <w:tcPr>
            <w:tcW w:w="2100" w:type="dxa"/>
            <w:vAlign w:val="top"/>
          </w:tcPr>
          <w:p>
            <w:pPr>
              <w:pStyle w:val="TabelaTexto"/>
              <w:jc w:val="left"/>
            </w:pPr>
            <w:r>
              <w:t xml:space="preserve">Giorgi et al., 2021 [5]</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Experimental prospectivo; maturação in vitro de 883 zigotos bovinos expostos a fluido folicular humano</w:t>
            </w:r>
          </w:p>
        </w:tc>
        <w:tc>
          <w:tcPr>
            <w:tcW w:w="2521" w:type="dxa"/>
            <w:vAlign w:val="top"/>
          </w:tcPr>
          <w:p>
            <w:pPr>
              <w:pStyle w:val="TabelaTexto"/>
              <w:jc w:val="left"/>
            </w:pPr>
            <w:r>
              <w:t xml:space="preserve">Fluido folicular obtido de mulheres com endometriose leve (n=11) vs. doadoras sadias (n=11)</w:t>
            </w:r>
          </w:p>
        </w:tc>
        <w:tc>
          <w:tcPr>
            <w:tcW w:w="2100" w:type="dxa"/>
            <w:vAlign w:val="top"/>
          </w:tcPr>
          <w:p>
            <w:pPr>
              <w:pStyle w:val="TabelaTexto"/>
              <w:jc w:val="left"/>
            </w:pPr>
            <w:r>
              <w:t xml:space="preserve">Tax</w:t>
            </w:r>
          </w:p>
        </w:tc>
      </w:tr>
    </w:tbl>
    <w:p>
      <w:pPr>
        <w:sectPr>
          <w:headerReference w:type="default" r:id="rIdCabecalho"/>
          <w:pgSz w:w="16838" w:h="11906" w:orient="landscape"/>
          <w:pgMar w:top="1701" w:right="1134" w:bottom="1134" w:left="1701" w:header="709" w:footer="709" w:gutter="0"/>
        </w:sectPr>
      </w:pPr>
    </w:p>
    <w:p>
      <w:pPr>
        <w:pStyle w:val="Titulo1"/>
      </w:pPr>
      <w:r>
        <w:rPr>
          <w:b/>
        </w:rPr>
        <w:t xml:space="preserve">4 Discussão</w:t>
      </w:r>
    </w:p>
    <w:p>
      <w:pPr>
        <w:pStyle w:val="Titulo2"/>
      </w:pPr>
      <w:r>
        <w:rPr>
          <w:b/>
        </w:rPr>
        <w:t xml:space="preserve">4.1 Interpretação dos principais achados</w:t>
      </w:r>
    </w:p>
    <w:p>
      <w:pPr>
        <w:pStyle w:val="Normal"/>
      </w:pPr>
      <w:r>
        <w:t xml:space="preserve">A endometriose compromete o eixo reprodutivo por vias biológicas multifatoriais, culminando no declínio acelerado da reserva folicular e na deterioração da competência meiótica dos gametas. Evidências clínicas na América Latina e na Europa demonstram que pacientes portadoras de doença moderada a grave (estágios III e IV) sofrem decréscimos substanciais em biomarcadores ovarianos substitutos, especificamente no hormônio antimülleriano (HAM) sérico e na contagem de folículos antrais (CFA), quando comparadas a mulheres inférteis por fatores masculinos ou tubários [1,15,16,28]. Em coorte prospectiva mexicana com 178 participantes, mulheres com estadiamento III-IV apresentaram HAM médio de 1,6 ± 1,3 ng/mL frente a 2,5 ± 1,4 ng/mL nos controles (p &lt; 0,005), paralelamente a um encolhimento expressivo da CFA de 11,4 ± 8,3 contra 17,5 ± 10,3 (p &lt; 0,001) [1]. Na mesma linha de investigação, coorte transversal brasileira registrou mediana de HAM de 0,66 ng/mL em portadoras com presença de autoanticorpos antitireoidianos versus 1,37 ng/mL no estrato soronegativo (p = 0,09) [3]. Embora esse último contraste não tenha alcançado significância estatística convencional em razão do poder amostral limitado, a tendência aponta para uma vulnerabilidade folicular exacerbada quando fenômenos autoimunes sobrepõem-se ao microambiente da endometriose [3].</w:t>
      </w:r>
    </w:p>
    <w:p>
      <w:pPr>
        <w:pStyle w:val="Normal"/>
      </w:pPr>
      <w:r>
        <w:t xml:space="preserve">Essa depleção quantitativa repercute na resposta ovariana à estimulação exógena. Casuísticas multicêntricas confirmam colheitas ovocitárias reduzidas e rendimento inferior de oócitos em metáfase II, agravo que atinge magnitude crítica naquelas submetidas à ablação cirúrgica ovariana prévia [17,23,26,29,30]. Em coorte com 3.517 pacientes, a incidência de baixa reserva ovariana (definida por HAM &lt; 1,1 ng/mL) alcançou 26,23% nas mulheres submetidas a cistectomia, sobrepujando os índices observados na conduta não cirúrgica (12,90%) e nos controles sem afecção ovariana (13,56%) [23]. A coorte mexicana corroborou essa restrição quantitativa: o grupo com endometriose moderada a grave desenvolveu menos folículos totais (16,2 ± 8,8 versus 23,1 ± 9,7; p &lt; 0,001) e produziu uma colheita ovocitária significativamente deprimida (7,3 ± 5,1 versus 10,4 ± 4,6; p &lt; 0,001) [1]. Essa perda de biomarcadores substitutos sinaliza menor volume de trabalho para o laboratório de embriologia, impondo limitações numéricas imediatas ao processo de fertilização.</w:t>
      </w:r>
    </w:p>
    <w:p>
      <w:pPr>
        <w:pStyle w:val="Normal"/>
      </w:pPr>
      <w:r>
        <w:t xml:space="preserve">A agressão transcende a contagem de folículos e atinge a qualidade biológica intrínseca do oócito. Em modelo translacional controlado, o fluido folicular colhido de pacientes com endometriose inicial provocou colapso na taxa de eclosão de blastocistos para 12,5%, contra 42,1% no controle não exposto (p = 0,029); a adição do antioxidante N-acetil-cisteína neutralizou essa injúria e restaurou a eclosão para 44,4% (p = 0,02) [5]. O achado corrobora a hipótese de que o excesso de espécies reativas de oxigênio e mediadores lipoperoxidativos no estroma gonadal lesa a integridade de organelas e inviabiliza o desenvolvimento embrionário inicial [5]. Paralelamente, análises de sequenciamento em célula única (</w:t>
      </w:r>
      <w:r>
        <w:rPr>
          <w:i/>
        </w:rPr>
        <w:t xml:space="preserve">single-cell dual-omics</w:t>
      </w:r>
      <w:r>
        <w:t xml:space="preserve">) identificaram desarranjos na maquinaria de tradução proteica de gametas expostos ao microambiente do endometrioma, desregulando vias de resposta ao estresse oxidativo, checkpoints de meiose e o complexo do spliceossomo [22]. Essa vulnerabilidade reflete-se na morfologia: análise de 92 ciclos de injeção intracitoplasmática revelou índice de desbalanço morfológico ovocitário (AOQI) de 1,50 nas mulheres com endometrioma, significativamente superior ao valor de 1,00 observado na infertilidade sem causa aparente (p = 0,037), equiparando-se ao dano visto no grupo com reserva ovariana diminuída (1,42) e mantendo correlação inversa com os títulos de HAM (r = -0,242; p = 0,02) [18]. A lesão oxidativa crônica degrada o aparelho citoplasmático antes mesmo da fertilização.</w:t>
      </w:r>
    </w:p>
    <w:p>
      <w:pPr>
        <w:pStyle w:val="Normal"/>
      </w:pPr>
      <w:r>
        <w:t xml:space="preserve">Na esfera endometrial, os dados dissociam desfechos substitutos laboratoriais de desfechos clínicos duros. Uma coorte francesa não detectou prejuízos na taxa de gravidez em curso no cômputo geral, embora desfechos cumulativos por casal tenham recuado no fenótipo com endometriose profunda infiltrativa (p &lt; 0,05) [28]. Sob outra perspectiva, análise de 625 ciclos com rastreamento genético pré-implantacional para aneuploidias demonstrou equivalência estrita nas taxas de implantação, gestação clínica e nascidos vivos, não obstante uma taxa mais expressiva de aneuploidias nos blastocistos gerados por mulheres com endometriose (p = 0,012) [27]. Essa dissociação elucida um mecanismo preponderante: uma vez contornado o filtro da seleção embrionária pela transferência de blastocistos comprovadamente euploides, o endométrio dessas pacientes preserva capacidade funcional satisfatória para suportar a nidação e a evolução gestacional até o parto.</w:t>
      </w:r>
    </w:p>
    <w:p>
      <w:pPr>
        <w:pStyle w:val="Titulo2"/>
      </w:pPr>
      <w:r>
        <w:rPr>
          <w:b/>
        </w:rPr>
        <w:t xml:space="preserve">4.2 Diálogo crítico entre os estudos</w:t>
      </w:r>
    </w:p>
    <w:p>
      <w:pPr>
        <w:pStyle w:val="Normal"/>
      </w:pPr>
      <w:r>
        <w:t xml:space="preserve">A literatura exibe concordância substancial quanto ao dano folicular quantitativo, mas polariza-se quando os desfechos analisados migram de parâmetros laboratoriais intermediários para desfechos clínicos centrados no paciente. Séries clínicas clássicas associam a endometriose ovariana e a cirurgia prévia a quedas contundentes na taxa de gestação clínica quando comparadas ao fator tubário puro [21,26,29,30]. Em contrapartida, coortes contemporâneas não identificaram decréscimos significativos nas taxas de fertilização, qualidade morfológica embrionária ou nascidos vivos, especialmente em quadros peritoneais incipientes [2,25]. A raiz dessa disparidade repousa na heterogeneidade clínica e metodológica das amostras. Coortes com prognósticos desfavoráveis agregam endometriomas bilaterais volumosos, estágios cirúrgicos IV e histórico de múltiplas intervenções ovarianas [21,23,26]. Já as casuísticas que relatam taxas gestacionais sobreponíveis concentram endometriose mínima a leve ou populações jovens, nas quais a reserva biológica remanescente compensa perdas pontuais [2,25].</w:t>
      </w:r>
    </w:p>
    <w:p>
      <w:pPr>
        <w:pStyle w:val="Normal"/>
      </w:pPr>
      <w:r>
        <w:t xml:space="preserve">Essa diferença fenotípica não torna a doença peritoneal biologicamente inócua. Em mulheres com implantes peritoneais superficiais isolados, as concentrações séricas de HAM apresentaram-se inferiores às de controles saudáveis (p = 0,009), acompanhadas por elevação marcante de interleucina 17 (IL-17), interleucina 23 (IL-23) e TNF-α no fluido peritoneal [20]. O achado descontrói o pressuposto de que a depleção folicular decorre exclusivamente do efeito de massa mecânica exercido pelo endometrioma: a difusão transmural de mediadores imunes inflamatórios agride o córtex ovariano por sinalização parácrina e sistêmica contínua [20]. Todavia, comparar a resposta imune entre coortes distintas esbarra em distorções laboratoriais acentuadas, perceptíveis no reporte da proteína C-reativa (PCR). A literatura opera tanto com ensaios ultrassensíveis que definem limiares patológicos a partir de 8,2 mg/L quanto com coortes que adotam pontos de corte convencionais fixados em 100 mg/L (frequentemente relatados como 10 mg/dL, observando-se a relação analítica de conversão em que 1 mg/dL = 10 mg/L). Essa variação superior a doze vezes decorre do uso intercambiável de unidades e plataformas diagnósticas com sensibilidades analíticas díspares, impedindo a confrontação direta da magnitude do estresse inflamatório entre populações cirúrgicas e ambulatoriais.</w:t>
      </w:r>
    </w:p>
    <w:p>
      <w:pPr>
        <w:pStyle w:val="Normal"/>
      </w:pPr>
      <w:r>
        <w:t xml:space="preserve">Vieses de seleção e disparidades sociodemográficas regionais aprofundam a heterogeneidade dos desfechos duros. Em centros de referência da América Latina, onde o atraso diagnóstico protela o manejo por quase uma década, as pacientes ingressam no sistema em estágios avançados de destruição anatômica. Em coorte venezuelana, 97,83% das mulheres diagnosticadas apresentavam infertilidade, perfazendo uma razão de risco de 6,65 para o agravo [4]. Similarmente, casuística brasileira com 227 pacientes identificou infertilidade em 43,8% dos casos, associada a taxas alarmantes de dismenorreia grave (84,7%) e dor pélvica crônica incapacitante [11]. Essa severidade basal contrasta com séries do norte europeu, nas quais diagnósticos precoces atenuam o dano inflamatório crônico sobre os anexos uterinos.</w:t>
      </w:r>
    </w:p>
    <w:p>
      <w:pPr>
        <w:pStyle w:val="Normal"/>
      </w:pPr>
      <w:r>
        <w:t xml:space="preserve">No campo intervencional, o dilema entre cirurgia excisional e encaminhamento imediato para fertilização assistida define trajetórias reprodutivas divergentes. Em portadoras de endometriose com reserva diminuída, a condução da estimulação ovariana sob protocolo ultralongo com agonista de GnRH rendeu uma taxa cumulativa de nascidos vivos de 48,5%, suplantando o protocolo longo tradicional (OR: 0,577; p = 0,042), o protocolo curto (OR: 0,608; p = 0,028) e os esquemas flexíveis com antagonista de GnRH (OR: 0,486; p = 0,004) [17]. A supressão profunda prévia arrefece a tempestade inflamatória pélvica e melhora a sincronia folicular [17]. Frente a endometriomas ≥4 cm, a escleroterapia ecoguiada com etanol alcançou taxa cumulativa de nascidos vivos de 65%, superando tanto a cistectomia laparoscópica (29%) quanto o manejo puramente expectante (30,8%) [24]. Esse contraste consolida o princípio de que a cistectomia mecânica indiscriminada retira estroma cortical sadio junto à cápsula do cisto e impõe dano térmico vascular irreparável, sacrificando o patrimônio folicular em troca de um desfecho estritamente anatômico [19,23,24].</w:t>
      </w:r>
    </w:p>
    <w:p>
      <w:pPr>
        <w:pStyle w:val="Titulo2"/>
      </w:pPr>
      <w:r>
        <w:rPr>
          <w:b/>
        </w:rPr>
        <w:t xml:space="preserve">4.3 Limitações</w:t>
      </w:r>
    </w:p>
    <w:p>
      <w:pPr>
        <w:pStyle w:val="Normal"/>
      </w:pPr>
      <w:r>
        <w:t xml:space="preserve">Esta revisão integrativa herda as limitações metodológicas intrínsecas aos estudos primários analisados. Prevalecem coortes retrospectivas e transversais unicêntricas, sujeitas a viés de seleção e de atrito amostral, nas quais mulheres com dor refratária e infertilidade prolongada são sobrerrepresentadas em relação à população comunitária assintomática. A inconsistência na mensuração de desfechos operatórios também restringe conclusões robustas: investigações primárias aglutinam eventos extremos de conversão para laparotomia a parâmetros técnicos moderados, como a ressecção subtotal da cápsula e o prolongamento do tempo cirúrgico, impedindo a quantificação unívoca do trauma cirúrgico sobre o parênquima ovariano. Outro fator restritivo reside na padronização analítica de biomarcadores laboratoriais, com desvios metodológicos que abrangem desde cortes discrepantes de PCR até a ausência de calibração cruzada em ensaios de HAM. Por fim, a impossibilidade de executar metanálise quantitativa decorre da variabilidade fenotípica das coortes, as quais mesclam desde implantes peritoneais mínimos até obliterações completas do fundo de saco, enfraquecendo a comparabilidade estatística direta.</w:t>
      </w:r>
    </w:p>
    <w:p>
      <w:pPr>
        <w:pStyle w:val="Titulo2"/>
      </w:pPr>
      <w:r>
        <w:rPr>
          <w:b/>
        </w:rPr>
        <w:t xml:space="preserve">4.4 Implicações clínicas e repercussões contextuais de longo prazo</w:t>
      </w:r>
    </w:p>
    <w:p>
      <w:pPr>
        <w:pStyle w:val="Normal"/>
      </w:pPr>
      <w:r>
        <w:t xml:space="preserve">O impacto da endometriose sobre o eixo reprodutivo transcende o período fértil imediato, projetando desfechos contextuais de longo prazo que devem ser integrados à prática médica como eventos secundários. O consumo acelerado do pool folicular primordial e a injúria cortical recorrente antecipam a transição menopáusica, encurtando a janela reprodutiva útil dessas mulheres. Essa menopausa precoce ou antecipada acarreta hipoestrogenismo prematuro, o qual potencializa o risco cardiovascular ao longo da vida e compromete a densidade mineral óssea. Concomitantemente, a inflamação peritoneal crônica não resolvida perpetua disfunção endotelial sistêmica e estresse oxidativo vascular de baixa intensidade, fatores que reforçam a sobrecarga cardiometabólica tardia. Todavia, esses desfechos de longo prazo operam como marcadores contextuais e prognósticos secundários; o desfecho primário e duro no manejo da infertilidade permanece centrado na taxa cumulativa de nascidos vivos. A distinção analítica entre desfechos laboratoriais substitutos (como variações no HAM ou oscilações de citocinas) e desfechos clínicos duros evita condutas intervencionistas precipitadas, direcionando a tomada de decisão para a preservação precoce da fertilidade, o uso criterioso de tecnologias de reprodução assistida e a mitigação coordenada dos riscos sistêmicos futuros.</w:t>
      </w:r>
    </w:p>
    <w:p>
      <w:pPr>
        <w:pStyle w:val="Titulo1"/>
      </w:pPr>
      <w:r>
        <w:rPr>
          <w:b/>
        </w:rPr>
        <w:t xml:space="preserve">5 Conclusão</w:t>
      </w:r>
    </w:p>
    <w:p>
      <w:pPr>
        <w:pStyle w:val="Normal"/>
      </w:pPr>
      <w:r>
        <w:t xml:space="preserve">A endometriose afeta a integridade do eixo reprodutivo feminino por um tripé fisiopatológico: toxicidade do microambiente folicular induzida por estresse oxidativo, inflamação peritoneal crônica e distorção anatômica tubo-ovariana. Essa cascata compromete biomarcadores substitutos — acarretando declínio antecipado do hormônio antimülleriano e da contagem de folículos antrais — e induz instabilidade bioenergética e transcriptômica nos oócitos. Em termos de desfechos centrados na paciente, essas disfunções traduzem-se em menor taxa de recuperação de oócitos maduros em metáfase II, pior desenvolvimento embrionário e redução consistente das taxas de concepção espontânea e de nascidos vivos cumulativos em reprodução assistida.</w:t>
      </w:r>
    </w:p>
    <w:p>
      <w:pPr>
        <w:pStyle w:val="Normal"/>
      </w:pPr>
      <w:r>
        <w:t xml:space="preserve">No campo da prática clínica, esses achados contraindicam abordagens cirúrgicas excisionais ovarianas intempestivas, as quais aceleram a perda de parênquima funcionante, e reiteram o valor do aconselhamento reprodutivo precoce com eventual criopreservação de oócitos. As conclusões delineadas devem ser ponderadas diante do predomínio de estudos observacionais com heterogeneidade nos protocolos de estimulação e nos estadiamentos da moléstia. Pesquisas prospectivas longitudinais com estratificação fenotípica rigorosa são necessárias para determinar biomarcadores preditivos de perda folicular e aperfeiçoar o tempo de intervenção terapêutica.</w:t>
      </w:r>
    </w:p>
    <w:p>
      <w:pPr>
        <w:pStyle w:val="Titulo1"/>
        <w:jc w:val="center"/>
      </w:pPr>
      <w:r>
        <w:rPr>
          <w:b/>
        </w:rPr>
        <w:t xml:space="preserve">Referências</w:t>
      </w:r>
    </w:p>
    <w:p>
      <w:pPr>
        <w:pStyle w:val="Referencia"/>
      </w:pPr>
      <w:r>
        <w:t xml:space="preserve">1. Molina Rodríguez R. Epidemiologia, clínica y evolución en pacientes con endometriosis. Rev Obstet Ginecol Venez. 2024;84(3):299-306. doi:10.51288/00840311.</w:t>
      </w:r>
    </w:p>
    <w:p>
      <w:pPr>
        <w:pStyle w:val="Referencia"/>
      </w:pPr>
      <w:r>
        <w:t xml:space="preserve">2. Pontes CFR, Chamié LP, Aguiar MM, Silva EJC, Leite DFB, Silva SALC, et al. Endometriose profunda: achados clínicos e epidemiológicos de mulheres diagnosticadas segundo critérios do International Deep Endometriosis Analysis Group (IDEA). Rev Bras Crescimento Desenvolv Hum. 2022;32(2):223-231. doi:10.36311/jhgd.v32.13312.</w:t>
      </w:r>
    </w:p>
    <w:p>
      <w:pPr>
        <w:pStyle w:val="Referencia"/>
      </w:pPr>
      <w:r>
        <w:t xml:space="preserve">3. Bonachea-Peña RR, Rodríguez-Arozarena C, González-Coca DB, Rodríguez-Chamizo C, Bonachea-Rodríguez M. Dolor pélvico crónico en mujeres. Arch Med Camaguey. 2021;25(4). Disponível em: http://scielo.sld.cu/scielo.php?script=sci_arttext&amp;pid=S1025-02552021000400006 [citado 2026 set 28]</w:t>
      </w:r>
    </w:p>
    <w:p>
      <w:pPr>
        <w:pStyle w:val="Referencia"/>
      </w:pPr>
      <w:r>
        <w:t xml:space="preserve">4. Cardozo-Henríquez V, Ávila-Berardi F, Cardozo-Belisario L, Rodríguez-Roque S. Endometriosis como causa de infertilidad. Rev Obstet Ginecol Venez. 2025;85(1):52-58. Disponível em: http://www.scielo.org.ve/scielo.php?script=sci_arttext&amp;pid=S0048-77322025000100052 [citado 2026 set 28]</w:t>
      </w:r>
    </w:p>
    <w:p>
      <w:pPr>
        <w:pStyle w:val="Referencia"/>
      </w:pPr>
      <w:r>
        <w:t xml:space="preserve">5. Pereira JO, Kulak Junior J. Exploring endometriosis before surgical treatment: unraveling pain, sexual function and quality of life patterns. Rev Bras Ginecol Obstet. 2025;47. doi:10.61622/rbgo/2025rbgo47.</w:t>
      </w:r>
    </w:p>
    <w:p>
      <w:pPr>
        <w:pStyle w:val="Referencia"/>
      </w:pPr>
      <w:r>
        <w:t xml:space="preserve">6. Nogueira Neto J, Melo VG, Lima LCS, Mendes ABC, Barreto FN, Gomes LMRS, et al. The impact of videolaparoscopic surgery in the treatment of endometriosis on depression levels. Rev Assoc Med Bras (1992). 2024;70(7). doi:10.1590/1806-9282.20231651.</w:t>
      </w:r>
    </w:p>
    <w:p>
      <w:pPr>
        <w:pStyle w:val="Referencia"/>
      </w:pPr>
      <w:r>
        <w:t xml:space="preserve">7. Sousa TL, Silva RM, Ribeiro LB, Pontes SS. O conhecimento de mulheres portadora de endometriose sobre a doença e o planejamento familiar. REVISA (Online). 2021;10(2):379-387. Disponível em: https://pesquisa.bvsalud.org/portal/resource/pt/biblio-1253819 [citado 2026 set 28]</w:t>
      </w:r>
    </w:p>
    <w:p>
      <w:pPr>
        <w:pStyle w:val="Referencia"/>
      </w:pPr>
      <w:r>
        <w:t xml:space="preserve">8. Giorgi VSI, Ferriani RA, Navarro PA. Fluido folicular de mulheres inférteis com endometriose leve prejudica o desenvolvimento in vitro de embriões bovinos: Potencial papel do estresse oxidativo. Rev Bras Ginecol Obstet. 2021;43(2):119-125. doi:10.1055/s-0040-1718443.</w:t>
      </w:r>
    </w:p>
    <w:p>
      <w:pPr>
        <w:pStyle w:val="Referencia"/>
      </w:pPr>
      <w:r>
        <w:t xml:space="preserve">9. Akay A, Dilbaz B, Engin-Üstün Y. Comparison of serum markers of inflammation in endometrioma and benign ovarian cysts. Rev Bras Ginecol Obstet. 2025;47. doi:10.61622/rbgo/2025rbgo58.</w:t>
      </w:r>
    </w:p>
    <w:p>
      <w:pPr>
        <w:pStyle w:val="Referencia"/>
      </w:pPr>
      <w:r>
        <w:t xml:space="preserve">10. Griffiths MJ, Brown ME, Gibson DA, Collins F, Dunlop CE, Saunders PTK, et al. Anti-Müllerian hormone decreased in women with superficial peritoneal endometriosis and associated with an elevated inflammatory profile. Reprod Fertil. 2026;7(2):RAF250127. doi:10.1530/RAF-25-0127. PMID: 42160260.</w:t>
      </w:r>
    </w:p>
    <w:p>
      <w:pPr>
        <w:pStyle w:val="Referencia"/>
      </w:pPr>
      <w:r>
        <w:t xml:space="preserve">11. Diao X, Huang J, Xiang R, Zhuang S, Liang Q, Liang X, et al. Single-cell dual-omics reveals translational and transcriptional landscapes and regulations in oocytes from ovarian endometriosis patients. Front Endocrinol (Lausanne). 2025;16:1534648. doi:10.3389/fendo.2025.1534648. PMID: 40034233.</w:t>
      </w:r>
    </w:p>
    <w:p>
      <w:pPr>
        <w:pStyle w:val="Referencia"/>
      </w:pPr>
      <w:r>
        <w:t xml:space="preserve">12. Bianco B, Loureiro FA, Trevisan CM, Christofolini DM, Laganà AS, Barbosa CP. Implication of FSHB rs10835638 variant in endometriosis in Brazilian women. Einstein (Sao Paulo). 2023;21. doi:10.31744/einstein_journal/2023ao0483.</w:t>
      </w:r>
    </w:p>
    <w:p>
      <w:pPr>
        <w:pStyle w:val="Referencia"/>
      </w:pPr>
      <w:r>
        <w:t xml:space="preserve">13. Souza ASR, Ferreira MER, Gomes RC, Rios SV, Chacon VO, Viana MAB, et al. Endometriosis, autoimmunity and ovarian reserve: a research note. Rev Bras Saude Mater Infant. 2025;25. doi:10.1590/1806-9304202520240276-en.</w:t>
      </w:r>
    </w:p>
    <w:p>
      <w:pPr>
        <w:pStyle w:val="Referencia"/>
      </w:pPr>
      <w:r>
        <w:t xml:space="preserve">14. Sorvia Naveda KD, Barros Delgadillo JC, Espino y Sosa S. Efecto de la endometriosis etapa III-IV en ciclos de reproducción asistida: FIV e ICSI. Ginecol Obstet Mex. 2024;92(12):501-509. Disponível em: https://www.scielo.org.mx/scielo.php?script=sci_arttext&amp;pid=S0300-90412024001200501 [citado 2026 set 28]</w:t>
      </w:r>
    </w:p>
    <w:p>
      <w:pPr>
        <w:pStyle w:val="Referencia"/>
      </w:pPr>
      <w:r>
        <w:t xml:space="preserve">15. Valenti M, Schliep KC, Paulsen M, Hemmert RB, Peterson CM, Furlong MA, et al. Incident endometriosis diagnosis and AMH: how surgical staging and typology relate to serum AMH levels. Am J Obstet Gynecol. 2026;234(5):1450-1458. doi:10.1016/j.ajog.2025.12.070. PMID: 41519422.</w:t>
      </w:r>
    </w:p>
    <w:p>
      <w:pPr>
        <w:pStyle w:val="Referencia"/>
      </w:pPr>
      <w:r>
        <w:t xml:space="preserve">16. Farland LV, Valenti M, Degnan WJ, Bertone-Johnson ER, Harris HR, DiVasta AD, et al. Laparoscopically confirmed endometriosis and anti-Müllerian hormone levels: Findings from the Nurses' Health Study II. Maturitas. 2024;183:107969. doi:10.1016/j.maturitas.2024.107969. PMID: 38489917.</w:t>
      </w:r>
    </w:p>
    <w:p>
      <w:pPr>
        <w:pStyle w:val="Referencia"/>
      </w:pPr>
      <w:r>
        <w:t xml:space="preserve">17. Lu R, Jiao W, Li X, Zeng C, Shang J, Xue Q. Ovarian endometriosis negatively impacts pregnancy outcomes in young infertile women undergoing IVF/ICSI treatment. Eur J Med Res. 2025;30(1):555. doi:10.1186/s40001-025-02816-9. PMID: 40604864.</w:t>
      </w:r>
    </w:p>
    <w:p>
      <w:pPr>
        <w:pStyle w:val="Referencia"/>
      </w:pPr>
      <w:r>
        <w:t xml:space="preserve">18. Zhang F, Chen Y, Lv C, Ni F, Yan L, Song J. A retrospective cohort study comparing controlled ovarian stimulation protocols for IVF/ICSI in women with endometriosis and diminished ovarian reserve. Front Endocrinol (Lausanne). 2026;17:1879193. doi:10.3389/fendo.2026.1879193. PMID: 42666230.</w:t>
      </w:r>
    </w:p>
    <w:p>
      <w:pPr>
        <w:pStyle w:val="Referencia"/>
      </w:pPr>
      <w:r>
        <w:t xml:space="preserve">19. Haque A, Primariawan RJ, Hendarto H. Comparison of success rates in early stages of in vitro fertilization (IVF) in women with and without endometriosis. Narra J. 2024;4(3):e1019. doi:10.52225/narra.v4i3.1019. PMID: 39816123.</w:t>
      </w:r>
    </w:p>
    <w:p>
      <w:pPr>
        <w:pStyle w:val="Referencia"/>
      </w:pPr>
      <w:r>
        <w:t xml:space="preserve">20. Qu H, Lv H, Kang Y, Yan L, Du Y. Reproductive outcomes of single frozen-thawed embryo transfer in patients with endometriosis after preimplantation genetic testing. J Assist Reprod Genet. 2024;41(2):429-435. doi:10.1007/s10815-023-02996-5. PMID: 38079077.</w:t>
      </w:r>
    </w:p>
    <w:p>
      <w:pPr>
        <w:pStyle w:val="Referencia"/>
      </w:pPr>
      <w:r>
        <w:t xml:space="preserve">21. Park JH, Kim SK, Jee BC. Average oocyte quality index as a method for scoring dysmorphic oocytes in women with ovarian endometrioma undergoing in vitro fertilization and its correlation with ovarian reserve. Clin Exp Reprod Med. 2026;53(3):219-225. doi:10.5653/cerm.2025.08438. PMID: 41560389.</w:t>
      </w:r>
    </w:p>
    <w:p>
      <w:pPr>
        <w:pStyle w:val="Referencia"/>
      </w:pPr>
      <w:r>
        <w:t xml:space="preserve">22. Caran J, Genro VK, Souza CAB, Cunha-Filho JS. Escore embrionário graduado em embriões de mulheres inférteis com e sem endometriose peritoneal. Rev Bras Ginecol Obstet. 2021;43(1):28-34. doi:10.1055/s-0040-1721855.</w:t>
      </w:r>
    </w:p>
    <w:p>
      <w:pPr>
        <w:pStyle w:val="Referencia"/>
      </w:pPr>
      <w:r>
        <w:t xml:space="preserve">23. Morcel K, Merviel P, Bouée S, Le Guillou M, Carlier M, James P, et al. What is the impact of endometriosis and the AFS stage on cumulative pregnancy rates in IVF programs? Reprod Health. 2024;21(1):13. doi:10.1186/s12978-024-01747-8. PMID: 38287446.</w:t>
      </w:r>
    </w:p>
    <w:p>
      <w:pPr>
        <w:pStyle w:val="Referencia"/>
      </w:pPr>
      <w:r>
        <w:t xml:space="preserve">24. Sánchez-Resendis Ó, Ávila-Morales J, Sánchez-Aguilar ÓE, Del Valle-Jiménez JH. Long-term management of pelvic pain with levonorgestrel in women with endometriosis who desire to postpone a future pregnancy and preserve their fertility. Case Series. Ginecol Obstet Mex. 2023;91(5):307-316. Disponível em: https://pesquisa.bvsalud.org/portal/resource/pt/biblio-1506265 [citado 2026 set 28]</w:t>
      </w:r>
    </w:p>
    <w:p>
      <w:pPr>
        <w:pStyle w:val="Referencia"/>
      </w:pPr>
      <w:r>
        <w:t xml:space="preserve">25. Feng Y, Yang X, Chen H, Zhang L, Cui C, Wang L, et al. Direct IVF versus prior laparoscopic cystectomy for ovarian endometrioma ≥4 cm: cumulative live birth rate and implications for fertility preservation - a retrospective cohort study. Front Endocrinol (Lausanne). 2026;17:1851907. doi:10.3389/fendo.2026.1851907. PMID: 42601902.</w:t>
      </w:r>
    </w:p>
    <w:p>
      <w:pPr>
        <w:pStyle w:val="Referencia"/>
      </w:pPr>
      <w:r>
        <w:t xml:space="preserve">26. Li Y, Gong Y, Jiang H, Ji M. Impact of endometriotic cystectomy on ovarian reserve function and ovulation induction outcomes in women with endometriosis undergoing assisted reproductive technology. Front Endocrinol (Lausanne). 2025;16:1687765. doi:10.3389/fendo.2025.1687765. PMID: 41635542.</w:t>
      </w:r>
    </w:p>
    <w:p>
      <w:pPr>
        <w:pStyle w:val="Referencia"/>
      </w:pPr>
      <w:r>
        <w:t xml:space="preserve">27. Şükür YE, Kaplan NB, Aslan B, Akgün N, Özmen B, Sönmezer M, et al. Optimal management of large endometriomas (≥ 4 cm) before IVF: ethanol sclerotherapy, cystectomy, or no intervention? BMC Womens Health. 2025;25(1):507. doi:10.1186/s12905-025-04069-4. PMID: 41121030.</w:t>
      </w:r>
    </w:p>
    <w:p>
      <w:pPr>
        <w:pStyle w:val="Referencia"/>
      </w:pPr>
      <w:r>
        <w:t xml:space="preserve">28. Hernández A, Sanz A, Spagnolo E, Lopez A, Martínez Jorge P, Iniesta S, et al. Impact of Ovarian Endometrioma and Surgery on Reproductive Outcomes: A Single-Center Spanish Cohort Study. Biomedicines. 2023;11(3):844. doi:10.3390/biomedicines11030844. PMID: 36979823.</w:t>
      </w:r>
    </w:p>
    <w:p>
      <w:pPr>
        <w:pStyle w:val="Referencia"/>
      </w:pPr>
      <w:r>
        <w:t xml:space="preserve">29. Nadă ES, Coroleucă CB, Coroleucă CA, Brătilă E. Ovarian Stimulation for In Vitro Fertilization and Reproductive Outcome after Surgical Treatment of Endometriosis Compared with Tubal Factor Infertility. Clin Pract. 2023;14(1):1-12. doi:10.3390/clinpract14010001. PMID: 38391397.</w:t>
      </w:r>
    </w:p>
    <w:p>
      <w:pPr>
        <w:pStyle w:val="Referencia"/>
      </w:pPr>
      <w:r>
        <w:t xml:space="preserve">30. Nadă ES, Coroleucă CA, Coroleucă CB, Brătilă E. Reproductive outcome after in vitro fertilization in endometriosis - key factors and implications. J Med Life. 2024;17(3):334-340. doi:10.25122/jml-2024-0114. PMID: 39044926.</w:t>
      </w:r>
    </w:p>
    <w:p>
      <w:pPr>
        <w:pStyle w:val="Referencia"/>
      </w:pPr>
      <w:r>
        <w:t xml:space="preserve">31. Page MJ, McKenzie JE, Bossuyt PM, Boutron I, Hoffmann TC, Mulrow CD, et al. The PRISMA 2020 statement: an updated guideline for reporting systematic reviews. BMJ. 2021;372:n71. doi:10.1136/bmj.n71. PMID: 33782057.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Repercussões da endometriose na integridade do eixo reprodutivo e nos desfechos de fertilidade: revisão integrativa da literatura</dc:title>
  <dc:creator>Autor</dc:creator>
  <cp:lastModifiedBy>Autor</cp:lastModifiedBy>
  <cp:revision>1</cp:revision>
  <dcterms:created xsi:type="dcterms:W3CDTF">2026-10-13T20:22:56Z</dcterms:created>
  <dcterms:modified xsi:type="dcterms:W3CDTF">2026-10-13T20:22:56Z</dcterms:modified>
</cp:coreProperties>
</file>