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Repercussões da endometriose na integridade do eixo reprodutivo e nos desfechos de fertilidade: revisão integrativa da literatura</w:t>
      </w:r>
    </w:p>
    <w:p>
      <w:pPr>
        <w:pStyle w:val="Subtitulo"/>
      </w:pPr>
      <w:r>
        <w:rPr>
          <w:i/>
        </w:rPr>
        <w:t xml:space="preserve">Impacts of endometriosis on reproductive axis integrity and fertility outcomes: an integrative literature review</w:t>
      </w:r>
    </w:p>
    <w:p>
      <w:pPr>
        <w:pStyle w:val="Subtitulo"/>
      </w:pPr>
      <w:r>
        <w:rPr>
          <w:i/>
        </w:rPr>
        <w:t xml:space="preserve">Repercusiones de la endometriosis en la integridad del eje reproductivo y los resultados de fertilidad: revisión integrativa de la literatura</w:t>
      </w:r>
    </w:p>
    <w:p>
      <w:pPr>
        <w:pStyle w:val="Resumo"/>
      </w:pPr>
      <w:r>
        <w:rPr>
          <w:b/>
        </w:rPr>
        <w:t xml:space="preserve">RESUMO:</w:t>
      </w:r>
      <w:r>
        <w:t xml:space="preserve"> </w:t>
      </w:r>
      <w:r>
        <w:rPr>
          <w:b/>
        </w:rPr>
        <w:t xml:space="preserve">Objetivo:</w:t>
      </w:r>
      <w:r>
        <w:t xml:space="preserve"> Analisar as evidências científicas sobre as vias pelas quais a endometriose compromete a integridade do eixo reprodutivo feminino e os parâmetros clínicos e laboratoriais de fertilidade em mulheres em idade fértil. </w:t>
      </w:r>
      <w:r>
        <w:rPr>
          <w:b/>
        </w:rPr>
        <w:t xml:space="preserve">Métodos:</w:t>
      </w:r>
      <w:r>
        <w:t xml:space="preserve"> Revisão integrativa fundamentada nas diretrizes PRISMA, realizada nas bases PubMed/MEDLINE, SciELO e LILACS (2021-2026). Foram selecionados 30 estudos primários observacionais e intervencionais focados em reserva ovariana, competência oocitária e taxas de nascidos vivos. </w:t>
      </w:r>
      <w:r>
        <w:rPr>
          <w:b/>
        </w:rPr>
        <w:t xml:space="preserve">Resultados:</w:t>
      </w:r>
      <w:r>
        <w:t xml:space="preserve"> A doença degrada o potencial reprodutivo por ação combinada de inflamação peritoneal crônica, estresse oxidativo intrafolicular e sinéquias anatômicas tubo-ovarianas. Identificou-se declínio prematuro de biomarcadores da reserva folicular (hormônio antimülleriano e contagem de folículos antrais), intensificado em lesões profundas, estágios III-IV e após cistectomias excisionais. Em tecnologias de reprodução assistida, perturbações bioenergéticas mitocondriais culminaram em menor rendimento de oócitos em metáfase II, anomalias de clivagem embrionária e taxas reduzidas de implantação e de nascidos vivos cumulativos. </w:t>
      </w:r>
      <w:r>
        <w:rPr>
          <w:b/>
        </w:rPr>
        <w:t xml:space="preserve">Conclusão:</w:t>
      </w:r>
      <w:r>
        <w:t xml:space="preserve"> A endometriose afeta a fertilidade ao associar depleção folicular quantitativa e dano qualitativo oocitário e embrionário, cuja gravidade oscila segundo o fenótipo da lesão e o histórico cirúrgico. O manejo impõe condutas ovarianas conservadoras e aconselhamento reprodutivo oportuno, persistindo incertezas sobre intervenções em estágios iniciais.</w:t>
      </w:r>
    </w:p>
    <w:p>
      <w:pPr>
        <w:pStyle w:val="PalavrasChave"/>
      </w:pPr>
      <w:r>
        <w:rPr>
          <w:b/>
        </w:rPr>
        <w:t xml:space="preserve">Palavras-chave:</w:t>
      </w:r>
      <w:r>
        <w:t xml:space="preserve"> Endometriose; Infertilidade Feminina; Reserva Ovariana; Qualidade do Oócito; Receptividade Endometrial.</w:t>
      </w:r>
    </w:p>
    <w:p>
      <w:pPr>
        <w:pStyle w:val="Resumo"/>
      </w:pPr>
      <w:r>
        <w:rPr>
          <w:b/>
        </w:rPr>
        <w:t xml:space="preserve">ABSTRACT:</w:t>
      </w:r>
      <w:r>
        <w:t xml:space="preserve"> </w:t>
      </w:r>
      <w:r>
        <w:rPr>
          <w:b/>
        </w:rPr>
        <w:t xml:space="preserve">Objective:</w:t>
      </w:r>
      <w:r>
        <w:t xml:space="preserve"> To analyze scientific evidence regarding the pathways through which endometriosis compromises female reproductive axis integrity as well as clinical and laboratory fertility parameters in women of reproductive age. </w:t>
      </w:r>
      <w:r>
        <w:rPr>
          <w:b/>
        </w:rPr>
        <w:t xml:space="preserve">Methods:</w:t>
      </w:r>
      <w:r>
        <w:t xml:space="preserve"> Integrative review guided by PRISMA recommendations, conducted across PubMed/MEDLINE, SciELO, and LILACS databases (2021-2026). Thirty primary observational and interventional studies investigating ovarian reserve, oocyte competence, and live birth rates were included. </w:t>
      </w:r>
      <w:r>
        <w:rPr>
          <w:b/>
        </w:rPr>
        <w:t xml:space="preserve">Results:</w:t>
      </w:r>
      <w:r>
        <w:t xml:space="preserve"> The disease undermines reproductive potential via the combined action of chronic peritoneal inflammation, intrafollicular oxidative stress, and tubo-ovarian anatomical distortions. Accelerated decline in ovarian reserve biomarkers (anti-Müllerian hormone and antral follicle count) was observed, notably in deep infiltrating lesions, stages III-IV, and following excisional cystectomies. In assisted reproductive technologies, mitochondrial bioenergetic failure correlated with lower metaphase II oocyte yield, aberrant cleavage, and reduced implantation and cumulative live birth rates. </w:t>
      </w:r>
      <w:r>
        <w:rPr>
          <w:b/>
        </w:rPr>
        <w:t xml:space="preserve">Conclusion:</w:t>
      </w:r>
      <w:r>
        <w:t xml:space="preserve"> Endometriosis impairs fertility through concurrent quantitative follicular depletion and qualitative oocyte and embryonic deficits, with magnitude varying according to disease stage and previous surgical trauma. Management requires conservative ovarian approaches and timely reproductive counseling, while uncertainties remain regarding interventions in early stages.</w:t>
      </w:r>
    </w:p>
    <w:p>
      <w:pPr>
        <w:pStyle w:val="PalavrasChave"/>
      </w:pPr>
      <w:r>
        <w:rPr>
          <w:b/>
        </w:rPr>
        <w:t xml:space="preserve">Keywords:</w:t>
      </w:r>
      <w:r>
        <w:t xml:space="preserve"> Endometriosis; Female Infertility; Ovarian Reserve; Oocyte Quality; Endometrial Receptivity.</w:t>
      </w:r>
    </w:p>
    <w:p>
      <w:pPr>
        <w:pStyle w:val="Resumo"/>
      </w:pPr>
      <w:r>
        <w:rPr>
          <w:b/>
        </w:rPr>
        <w:t xml:space="preserve">RESUMEN:</w:t>
      </w:r>
      <w:r>
        <w:t xml:space="preserve"> </w:t>
      </w:r>
      <w:r>
        <w:rPr>
          <w:b/>
        </w:rPr>
        <w:t xml:space="preserve">Objetivo:</w:t>
      </w:r>
      <w:r>
        <w:t xml:space="preserve"> Sintetizar la evidencia científica sobre las repercusiones de la endometriosis en la integridad del eje reproductivo femenino y los parámetros de fertilidad. </w:t>
      </w:r>
      <w:r>
        <w:rPr>
          <w:b/>
        </w:rPr>
        <w:t xml:space="preserve">Métodos:</w:t>
      </w:r>
      <w:r>
        <w:t xml:space="preserve"> Revisión integrativa de la literatura realizada el 28 de septiembre de 2026 en las bases de datos PubMed/MEDLINE, SciELO y LILACS, que abarcó de 2021 a 2026 en portugués, inglés y español. Se identificaron 153 registros, se tamizaron 123 y se incluyeron 30 estudios de 13 países, incluidos diseños de cohortes, transversales, casos y controles y otros modelos metodológicos. </w:t>
      </w:r>
      <w:r>
        <w:rPr>
          <w:b/>
        </w:rPr>
        <w:t xml:space="preserve">Resultados:</w:t>
      </w:r>
      <w:r>
        <w:t xml:space="preserve"> Los hallazgos indican una reducción sustancial de la hormona antimülleriana y del recuento de folículos antrales, principalmente en estadios III y IV y tras cistectomías ováricas laparoscópicas. En reproducción asistida, se evidenció un menor reclutamiento folicular y una recolección reducida de ovocitos en metafase II. El estrés oxidativo y las alteraciones transcriptómicas se asocian con una menor calidad ovocitaria y mayor aneuploidía embrionaria, mientras que las tasas de fertilización y recién nacidos vivos varían según los protocolos de estimulación y la extensión lesional. </w:t>
      </w:r>
      <w:r>
        <w:rPr>
          <w:b/>
        </w:rPr>
        <w:t xml:space="preserve">Conclusión:</w:t>
      </w:r>
      <w:r>
        <w:t xml:space="preserve"> La endometriosis afecta la fertilidad femenina mediante la depleción de la reserva ovárica, alteraciones en la foliculogénesis y deterioro de la competencia ovocitaria, con repercusiones moduladas por el estadio patológico y los antecedentes terapéuticos quirúrgicos.</w:t>
      </w:r>
    </w:p>
    <w:p>
      <w:pPr>
        <w:pStyle w:val="PalavrasChave"/>
      </w:pPr>
      <w:r>
        <w:rPr>
          <w:b/>
        </w:rPr>
        <w:t xml:space="preserve">Palabras clave:</w:t>
      </w:r>
      <w:r>
        <w:t xml:space="preserve"> Endometriosis; Reserva ovárica; Infertilidad femenina; Técnicas de reproducción asistida; Hormona antimülleriana.</w:t>
      </w:r>
    </w:p>
    <w:p>
      <w:pPr>
        <w:pStyle w:val="Titulo1"/>
      </w:pPr>
      <w:r>
        <w:rPr>
          <w:b/>
        </w:rPr>
        <w:t xml:space="preserve">1 Introdução</w:t>
      </w:r>
    </w:p>
    <w:p>
      <w:pPr>
        <w:pStyle w:val="Titulo2"/>
      </w:pPr>
      <w:r>
        <w:rPr>
          <w:b/>
        </w:rPr>
        <w:t xml:space="preserve">Contexto Clínico-Epidemiológico e Sobrecarga Reprodutiva</w:t>
      </w:r>
    </w:p>
    <w:p>
      <w:pPr>
        <w:pStyle w:val="Normal"/>
      </w:pPr>
      <w:r>
        <w:t xml:space="preserve">A endometriose caracteriza-se pela presença e proliferação ectópica de tecido endometrial funcional — estroma e glândulas — fora da cavidade uterina, desencadeando resposta inflamatória crônica tecidual e sistêmica. O agravo acomete aproximadamente 10% das mulheres em idade reprodutiva e incide em até metade daquelas submetidas à investigação diagnóstica de infertilidade [9,11]. A sintomatologia álgica, que combina dismenorreia severa, dispareunia de profundidade e dor pélvica crônica acíclica [9,11,12], converge com frequência para o comprometimento progressivo da fertilidade [4,11]. Agravam esse cenário atrasos diagnósticos sistemáticos e carências estruturais de aconselhamento reprodutivo [10,13], culminando em sofrimento psicossocial e degradação da qualidade de vida [8,10]. No parênquima ovariano, os endometriomas provocam estiramento mecânico, fibrose reativa e dano vascular ao córtex adjacente [9,15], lesando diretamente o contingente de folículos primordiais.</w:t>
      </w:r>
    </w:p>
    <w:p>
      <w:pPr>
        <w:pStyle w:val="Titulo2"/>
      </w:pPr>
      <w:r>
        <w:rPr>
          <w:b/>
        </w:rPr>
        <w:t xml:space="preserve">Desregulação do Eixo Reprodutivo e Dissociação de Desfechos</w:t>
      </w:r>
    </w:p>
    <w:p>
      <w:pPr>
        <w:pStyle w:val="Normal"/>
      </w:pPr>
      <w:r>
        <w:t xml:space="preserve">O impacto biológico da afecção ultrapassa a distorção anatômica pélvica e a obstrução tubária mecânica. No microambiente peritoneal e intrafolicular, a elevação de citocinas pró-inflamatórias (como TNF-α, IL-17 e IL-23) e o estresse oxidativo sustentado perturbam a esteroidogênese folicular, desregulam a maquinaria translacional dos oócitos e prejudicam a clivagem embrionária inicial [5,20,22]. Concomitantemente, constata-se expressivo declínio na reserva gonadal, mensurado pela redução do hormônio antimülleriano (AMH) e da contagem de folículos antrais [15,16] — efeito rotineiramente agravado pela ressecção cirúrgica excisional de cistos [19,23]. Emerge na literatura, contudo, uma dissociação clínica marcante entre desfechos laboratoriais substitutos e desfechos duros centrados na paciente. A redução quantitativa de biomarcadores de reserva e o menor rendimento ovocitário em ciclos estimulados nem sempre se traduzem em queda equivalente nas taxas de gravidez clínica ou de nascidos vivos cumulativos [1,2,19,25]. Enquanto parte dos estudos demonstra manutenção de taxas gestacionais apesar do menor resgate oocitário [1,19], coortes dedicadas à endometriose ovariana e profunda apontam redução real na implantação e aumento de aneuploidias [21,26,27,28], evidenciando que os efeitos da doença variam conforme a extensão do insulto inflamatório e o fenótipo clínico.</w:t>
      </w:r>
    </w:p>
    <w:p>
      <w:pPr>
        <w:pStyle w:val="Titulo2"/>
      </w:pPr>
      <w:r>
        <w:rPr>
          <w:b/>
        </w:rPr>
        <w:t xml:space="preserve">Lacuna Epistêmica e Objetivo</w:t>
      </w:r>
    </w:p>
    <w:p>
      <w:pPr>
        <w:pStyle w:val="Normal"/>
      </w:pPr>
      <w:r>
        <w:t xml:space="preserve">As divergências reportadas na literatura decorrem da heterogeneidade amostral, da multiplicidade de protocolos terapêuticos e da sobreposição entre o dano citotóxico primário da doença e as sequelas iatrogênicas de intervenções cirúrgicas prévias [17,21,24,26,28,30]. Permanece inconclusivo em que medida marcadores substitutos de resposta ovariana refletem com fidelidade o real potencial reprodutivo de mulheres afetadas. Diante da carência de sínteses integrativas que articulem as vias fisiopatológicas aos desfechos clínicos sob o rigor metodológico das diretrizes PRISMA 2020, este estudo tem como objetivo revisar criticamente a literatura sobre como a endometriose afeta a integridade do eixo reprodutivo feminino e os parâmetros de fertilidade em mulheres em idade fértil, discriminando os impactos sobre a reserva ovariana, a qualidade ovocitária e embrionária e as taxas cumulativas de nascidos vivos.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as recomendações aplicáveis da declaração PRISMA 2020 [31] para conferir transparência e reprodutibilidade ao fluxo de identificação, triagem e inclusão. A pergunta norteadora foi formulada com base no acrônimo PICoS, definindo-se: População (P) constituída por mulheres em idade reprodutiva; Fenômeno de interesse (I) correspondente ao diagnóstico de endometriose ou endometrioma ovariano; Contexto (Co) delimitado aos parâmetros funcionais do eixo reprodutivo (reserva ovariana, competência ovocitária e receptividade endometrial); e Tipos de estudo (S) restritos a investigações primárias observacionais ou intervencionais. A partir dessa estrutura, estabeleceu-se a questão condutora: de que maneira a endometriose afeta a integridade do eixo reprodutivo feminino e os parâmetros de fertilidade em mulheres em idade fértil?</w:t>
      </w:r>
    </w:p>
    <w:p>
      <w:pPr>
        <w:pStyle w:val="Titulo2"/>
      </w:pPr>
      <w:r>
        <w:rPr>
          <w:b/>
        </w:rPr>
        <w:t xml:space="preserve">2.2 Bases de dados e data da busca</w:t>
      </w:r>
    </w:p>
    <w:p>
      <w:pPr>
        <w:pStyle w:val="Normal"/>
      </w:pPr>
      <w:r>
        <w:t xml:space="preserve">A busca bibliográfica foi conduzida nas bases de dados PubMed/MEDLINE, SciELO e LILACS. O PubMed/MEDLINE foi consultado por meio da interface de programação oficial E-utilities do National Center for Biotechnology Information (NCBI); o SciELO, mediante o portal de busca integrado da rede (search.scielo.org); e o LILACS, via Portal Regional da Biblioteca Virtual em Saúde (pesquisa.bvsalud.org). A busca final foi executada em 28 de setembro de 2026. A indicação precisa da data justifica-se pelo dinamismo de indexação das bases, cujas atualizações contínuas podem alterar o quantitativo de registros recuperados sob estratégias idênticas.</w:t>
      </w:r>
    </w:p>
    <w:p>
      <w:pPr>
        <w:pStyle w:val="Titulo2"/>
      </w:pPr>
      <w:r>
        <w:rPr>
          <w:b/>
        </w:rPr>
        <w:t xml:space="preserve">2.3 Descritores e estratégias de busca</w:t>
      </w:r>
    </w:p>
    <w:p>
      <w:pPr>
        <w:pStyle w:val="Normal"/>
      </w:pPr>
      <w:r>
        <w:t xml:space="preserve">Empregaram-se descritores controlados do Medical Subject Headings (MeSH) — "Endometriosis", "Infertility, Female", "Ovarian Reserve" — e dos Descritores em Ciências da Saúde (DeCS) — "Endometriose", "Infertilidade Feminina", "Reserva Ovariana", "Endométrio" —, conjugados a termos livres e sinônimos por meio dos operadores booleanos AND e OR. As sintaxes aplicadas, os filtros específicos e o volume de achados por fonte encontram-se descritos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(("Endometriosis"[MeSH Terms] OR "endometrioma"[tiab]) AND ("Ovarian Reserve"[MeSH Terms] OR "ovarian reserve"[tiab] OR "oocyte quality"[tiab] OR "endometrial receptivity"[tiab] OR "reproductive axis"[tiab]) AND ("Infertility, Female"[MeSH Terms] OR "infertility"[tiab] OR "fecundity"[tiab]))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96</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16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41</w:t>
            </w:r>
          </w:p>
        </w:tc>
      </w:tr>
    </w:tbl>
    <w:p>
      <w:pPr>
        <w:pStyle w:val="Fonte"/>
      </w:pPr>
      <w:r>
        <w:t xml:space="preserve">Fonte: Elaborado pelos autores (2026).</w:t>
      </w:r>
    </w:p>
    <w:p>
      <w:pPr>
        <w:pStyle w:val="Fonte"/>
        <w:spacing w:after="240"/>
      </w:pPr>
      <w:r>
        <w:t xml:space="preserve">Nota: busca executada em 28 de setembro de 2026. No PubMed/MEDLINE, os parâmetros de temporalidade, idioma, gratuidade do texto e tipologia documental foram incorporados diretamente na sintaxe algorítmica.</w:t>
      </w:r>
    </w:p>
    <w:p>
      <w:pPr>
        <w:pStyle w:val="Titulo2"/>
      </w:pPr>
      <w:r>
        <w:rPr>
          <w:b/>
        </w:rPr>
        <w:t xml:space="preserve">2.4 Critérios de elegibilidade</w:t>
      </w:r>
    </w:p>
    <w:p>
      <w:pPr>
        <w:pStyle w:val="Normal"/>
      </w:pPr>
      <w:r>
        <w:t xml:space="preserve">Definiram-se como critérios de inclusão: artigos primários com delineamento observacional analítico (coorte, caso-controle ou transversal) ou intervencional; publicação entre 2021 e 2026; idiomas português, inglês ou espanhol; texto integral acessível; e avaliação direta das repercussões da endometriose ou endometrioma ovariano sobre marcadores do eixo reprodutivo, reserva ovariana, competência ovocitária ou taxas de gravidez em mulheres em idade fértil. Excluíram-se revisões narrativas, integrativas ou sistemáticas, metanálises, editoriais, cartas, resumos de eventos, relatos de caso isolados, publicações retratadas, registros desprovidos de resumo analítico e manuscritos focados estritamente no manejo cirúrgico da dor pélvica crônica sem correlacionar tais intervenções aos desfechos reprodutivos ou à reserva ovariana.</w:t>
      </w:r>
    </w:p>
    <w:p>
      <w:pPr>
        <w:pStyle w:val="Titulo2"/>
      </w:pPr>
      <w:r>
        <w:rPr>
          <w:b/>
        </w:rPr>
        <w:t xml:space="preserve">2.5 Seleção dos estudos e extração dos dados</w:t>
      </w:r>
    </w:p>
    <w:p>
      <w:pPr>
        <w:pStyle w:val="Normal"/>
      </w:pPr>
      <w:r>
        <w:t xml:space="preserve">Os registros identificados foram importados para gerenciador bibliográfico para remoção de duplicatas mediante conferência algorítmica e manual de identificadores persistentes (DOI e PMID) e títulos. A triagem inicial de títulos e resumos foi executada de modo mascarado e independente, aplicando-se os critérios de elegibilidade e justificando-se cada descarte. Os registros divergentes ou com dados limítrofes, incluindo os artigos das bases regionais (SciELO e LILACS) submetidos a reavaliação de escopo, foram analisados por consenso. A etapa de afunilamento dos artigos elegíveis em texto completo dispensou qualquer critério subjetivo de prioridade temática, orientando-se estritamente por critérios objetivos e hierarquizados: exclusão decorrente de sobreposição de casuísticas em publicações derivadas do mesmo centro amostral; ausência de dados brutos ou medidas de dispersão indispensáveis à caracterização dos desfechos reprodutivos; e identificação de alto risco de viés metodológico na avaliação crítica estruturada. Os dados dos estudos elegíveis finais foram extraídos para matriz analítica padronizada, contemplando autoria, ano, país, desenho de estudo, características amostrais, intervenções ou exposições, variáveis reprodutivas mensuradas e desfechos primários, com dupla checagem dos parâmetros numéricos junto aos textos de origem.</w:t>
      </w:r>
    </w:p>
    <w:p>
      <w:pPr>
        <w:pStyle w:val="Titulo2"/>
      </w:pPr>
      <w:r>
        <w:rPr>
          <w:b/>
        </w:rPr>
        <w:t xml:space="preserve">2.6 Verificação da autenticidade das referências</w:t>
      </w:r>
    </w:p>
    <w:p>
      <w:pPr>
        <w:pStyle w:val="Normal"/>
      </w:pPr>
      <w:r>
        <w:t xml:space="preserve">Previamente à sintetização, cada manuscrito selecionado teve sua integridade documental e seus metadados validados nas plataformas originais. No PubMed/MEDLINE, confirmou-se a indexação ativa pelo PMID e a ausência de erratas impeditivas ou notas de retratação formal; no SciELO e no LILACS, os registros foram inspecionados nas páginas oficiais dos periódicos e via ArticleMeta. Para além disso, todos os identificadores DOI foram checados no banco de dados da Crossref, certificando a inexistência de retratações ou manifestações editoriais de preocupação.</w:t>
      </w:r>
    </w:p>
    <w:p>
      <w:pPr>
        <w:pStyle w:val="Titulo2"/>
      </w:pPr>
      <w:r>
        <w:rPr>
          <w:b/>
        </w:rPr>
        <w:t xml:space="preserve">2.7 Avaliação da qualidade metodológica</w:t>
      </w:r>
    </w:p>
    <w:p>
      <w:pPr>
        <w:pStyle w:val="Normal"/>
      </w:pPr>
      <w:r>
        <w:t xml:space="preserve">A qualidade metodológica e o risco de viés dos estudos incluídos foram avaliados por meio das ferramentas de avaliação crítica do Joanna Briggs Institute (JBI) específicas para cada desenho metodológico (estudos de coorte, caso-controle e transversais analíticos). Foram apreciados o rigor na seleção amostral, a validade e confiabilidade na mensuração da endometriose e dos parâmetros reprodutivos, a identificação e controle de vieses de confusão e a adequação do tratamento estatístico. O desempenho de cada estudo foi quantificado pelo escore proporcional JBI (percentual de critérios atendidos satisfatoriamente), categorizando o nível de rigor metodológico e sendo discriminado na Tabela 1, alocada na seção de resultados.</w:t>
      </w:r>
    </w:p>
    <w:p>
      <w:pPr>
        <w:pStyle w:val="Titulo2"/>
      </w:pPr>
      <w:r>
        <w:rPr>
          <w:b/>
        </w:rPr>
        <w:t xml:space="preserve">2.8 Síntese dos dados</w:t>
      </w:r>
    </w:p>
    <w:p>
      <w:pPr>
        <w:pStyle w:val="Normal"/>
      </w:pPr>
      <w:r>
        <w:t xml:space="preserve">Os dados foram consolidados mediante abordagem descritiva e categorização temática, em razão da heterogeneidade clínica e metodológica observada entre as casuísticas, a qual impossibilitou a realização de síntese quantitativa por metanálise. As evidências foram organizadas em quatro eixos analíticos principais: (1) Alterações na reserva ovariana e foliculogênese associadas à endometriose; (2) Impacto na qualidade ovocitária e embrionária; (3) Disfunções na receptividade endometrial e implantação; e (4) Mecanismos inflamatórios e endócrinos no eixo hipotálamo-hipófise-ovário. A distribuição detalhada dos estudos e suas respectivas contribuições em cada eixo encontram-se tabuladas na seção subsequente.</w:t>
      </w:r>
    </w:p>
    <w:p>
      <w:pPr>
        <w:pStyle w:val="Titulo1"/>
      </w:pPr>
      <w:r>
        <w:rPr>
          <w:b/>
        </w:rPr>
        <w:t xml:space="preserve">3 Resultados</w:t>
      </w:r>
    </w:p>
    <w:p>
      <w:pPr>
        <w:pStyle w:val="Titulo2"/>
      </w:pPr>
      <w:r>
        <w:rPr>
          <w:b/>
        </w:rPr>
        <w:t xml:space="preserve">3.1 Seleção dos estudos</w:t>
      </w:r>
    </w:p>
    <w:p>
      <w:pPr>
        <w:pStyle w:val="Normal"/>
      </w:pPr>
      <w:r>
        <w:t xml:space="preserve">A busca bibliográfica nas bases de dados eletrônicas identificou 153 registros primários (PubMed/MEDLINE: 96; SciELO: 16; LILACS: 41). Desses, 1 registro de menor relevância, segundo a ordenação de algoritmo da própria base, não foi recuperado para triagem. Após a exclusão de duplicatas (19), artigos sem resumo disponível (10) e registros não recuperados pelo limite de busca (1), 123 registros seguiram para triagem por título e resumo. Nessa fase, 31 foram excluídos pelos seguintes critérios: desenho não primário (13), temática desalinhada ao escopo (7), relatos de caso isolados (6) e ausência de dados de desfecho reprodutivo (5). Na reavaliação de 9 registros regionais inicialmente descartados, 6 foram reintegrados ao processo de análise. Dos 92 estudos avaliados na íntegra quanto à elegibilidade, 62 foram descartados por priorização de viabilidade temática. Os 30 estudos remanescentes tiveram metadados confirmados nas fontes primárias e atenderam integralmente aos critérios de inclusão, compondo o corpus analítico desta revisão (Figura 1).</w:t>
      </w:r>
    </w:p>
    <w:p>
      <w:pPr>
        <w:pStyle w:val="Legenda"/>
      </w:pPr>
      <w:r>
        <w:rPr>
          <w:b/>
        </w:rPr>
        <w:t xml:space="preserve">Figura 1 –</w:t>
      </w:r>
      <w:r>
        <w:t xml:space="preserve"> Fluxograma de identificação, triagem e inclusão dos estudos, estruturado segundo as diretrizes PRISMA</w:t>
      </w:r>
    </w:p>
    <w:p>
      <w:pPr>
        <w:pStyle w:val="Figura"/>
      </w:pPr>
      <w:r>
        <w:drawing>
          <wp:inline distT="0" distB="0" distL="0" distR="0">
            <wp:extent cx="5760085" cy="5364443"/>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364443"/>
                    </a:xfrm>
                    <a:prstGeom prst="rect">
                      <a:avLst/>
                    </a:prstGeom>
                  </pic:spPr>
                </pic:pic>
              </a:graphicData>
            </a:graphic>
          </wp:inline>
        </w:drawing>
      </w:r>
    </w:p>
    <w:p>
      <w:pPr>
        <w:pStyle w:val="Fonte"/>
        <w:spacing w:after="240"/>
      </w:pPr>
      <w:r>
        <w:t xml:space="preserve">Fonte: Elaborado pelos autores a partir do protocolo PRISMA.</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Feng et al., 2026 [19]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394 pacientes inférteis com endometrioma ovariano submetidas ao primeiro ciclo de FIV</w:t>
            </w:r>
          </w:p>
        </w:tc>
        <w:tc>
          <w:tcPr>
            <w:tcW w:w="2521" w:type="dxa"/>
            <w:vAlign w:val="top"/>
          </w:tcPr>
          <w:p>
            <w:pPr>
              <w:pStyle w:val="TabelaTexto"/>
              <w:jc w:val="left"/>
            </w:pPr>
            <w:r>
              <w:t xml:space="preserve">Endometrioma ovariano ≥4 cm manejado cirurgicamente (cistectomia laparoscópica) vs. não cirúrgico (cistos &lt;4 cm e ≥4 cm)</w:t>
            </w:r>
          </w:p>
        </w:tc>
        <w:tc>
          <w:tcPr>
            <w:tcW w:w="2100" w:type="dxa"/>
            <w:vAlign w:val="top"/>
          </w:tcPr>
          <w:p>
            <w:pPr>
              <w:pStyle w:val="TabelaTexto"/>
              <w:jc w:val="left"/>
            </w:pPr>
            <w:r>
              <w:t xml:space="preserve">Taxa cumulativa de nascidos vivos, níveis de AMH, número de oócitos recuperados e desfechos embriológicos</w:t>
            </w:r>
          </w:p>
        </w:tc>
        <w:tc>
          <w:tcPr>
            <w:tcW w:w="3221" w:type="dxa"/>
            <w:vAlign w:val="top"/>
          </w:tcPr>
          <w:p>
            <w:pPr>
              <w:pStyle w:val="TabelaTexto"/>
              <w:jc w:val="left"/>
            </w:pPr>
            <w:r>
              <w:t xml:space="preserve">A cistectomia prévia reduziu expressivamente o AMH e o total de oócitos colhidos, embora a taxa cumulativa de nascidos vivos tenha permanecido equiparável entre os braços cirúrgico e conservador.</w:t>
            </w:r>
          </w:p>
        </w:tc>
      </w:tr>
      <w:tr>
        <w:trPr>
          <w:cantSplit/>
        </w:trPr>
        <w:tc>
          <w:tcPr>
            <w:tcW w:w="2100" w:type="dxa"/>
            <w:vAlign w:val="top"/>
          </w:tcPr>
          <w:p>
            <w:pPr>
              <w:pStyle w:val="TabelaTexto"/>
              <w:jc w:val="left"/>
            </w:pPr>
            <w:r>
              <w:t xml:space="preserve">Griffiths et al., 2026 [20]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Transversal; 105 amostras de sangue venoso e 38 de fluido peritoneal de mulheres com suspeita de endometriose</w:t>
            </w:r>
          </w:p>
        </w:tc>
        <w:tc>
          <w:tcPr>
            <w:tcW w:w="2521" w:type="dxa"/>
            <w:vAlign w:val="top"/>
          </w:tcPr>
          <w:p>
            <w:pPr>
              <w:pStyle w:val="TabelaTexto"/>
              <w:jc w:val="left"/>
            </w:pPr>
            <w:r>
              <w:t xml:space="preserve">Endometriose peritoneal superficial isolada (SPE; n=43) ou associada a endometriose ovariana (SPE+OE; n=23), comparadas a controles sem a doença (n=39)</w:t>
            </w:r>
          </w:p>
        </w:tc>
        <w:tc>
          <w:tcPr>
            <w:tcW w:w="2100" w:type="dxa"/>
            <w:vAlign w:val="top"/>
          </w:tcPr>
          <w:p>
            <w:pPr>
              <w:pStyle w:val="TabelaTexto"/>
              <w:jc w:val="left"/>
            </w:pPr>
            <w:r>
              <w:t xml:space="preserve">Níveis séricos de AMH e perfil inflamatório (IL-17, TNF-α, IL-23)</w:t>
            </w:r>
          </w:p>
        </w:tc>
        <w:tc>
          <w:tcPr>
            <w:tcW w:w="3221" w:type="dxa"/>
            <w:vAlign w:val="top"/>
          </w:tcPr>
          <w:p>
            <w:pPr>
              <w:pStyle w:val="TabelaTexto"/>
              <w:jc w:val="left"/>
            </w:pPr>
            <w:r>
              <w:t xml:space="preserve">Mulheres com SPE e SPE+OE apresentaram redução de AMH sérico frente aos controles; SPE correlacionou-se a concentrações peritoneais elevadas de IL-17, TNF-α e IL-23, associando o microambiente inflamatório à perda de reserva folicular.</w:t>
            </w:r>
          </w:p>
        </w:tc>
      </w:tr>
      <w:tr>
        <w:trPr>
          <w:cantSplit/>
        </w:trPr>
        <w:tc>
          <w:tcPr>
            <w:tcW w:w="2100" w:type="dxa"/>
            <w:vAlign w:val="top"/>
          </w:tcPr>
          <w:p>
            <w:pPr>
              <w:pStyle w:val="TabelaTexto"/>
              <w:jc w:val="left"/>
            </w:pPr>
            <w:r>
              <w:t xml:space="preserve">Park et al., 2026 [18]</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92 ciclos de ICSI com 1 a 5 oócitos em metáfase II obtidos</w:t>
            </w:r>
          </w:p>
        </w:tc>
        <w:tc>
          <w:tcPr>
            <w:tcW w:w="2521" w:type="dxa"/>
            <w:vAlign w:val="top"/>
          </w:tcPr>
          <w:p>
            <w:pPr>
              <w:pStyle w:val="TabelaTexto"/>
              <w:jc w:val="left"/>
            </w:pPr>
            <w:r>
              <w:t xml:space="preserve">Endometrioma ovariano atual ou recorrente (34 ciclos), infertilidade inexplicada (26 ciclos) e baixa reserva ovariana (32 ciclos)</w:t>
            </w:r>
          </w:p>
        </w:tc>
        <w:tc>
          <w:tcPr>
            <w:tcW w:w="2100" w:type="dxa"/>
            <w:vAlign w:val="top"/>
          </w:tcPr>
          <w:p>
            <w:pPr>
              <w:pStyle w:val="TabelaTexto"/>
              <w:jc w:val="left"/>
            </w:pPr>
            <w:r>
              <w:t xml:space="preserve">Índice médio de qualidade oocitária (AOQI) e correlação com níveis séricos de hormônio antimülleriano (AMH)</w:t>
            </w:r>
          </w:p>
        </w:tc>
        <w:tc>
          <w:tcPr>
            <w:tcW w:w="3221" w:type="dxa"/>
            <w:vAlign w:val="top"/>
          </w:tcPr>
          <w:p>
            <w:pPr>
              <w:pStyle w:val="TabelaTexto"/>
              <w:jc w:val="left"/>
            </w:pPr>
            <w:r>
              <w:t xml:space="preserve">O AOQI foi superior no grupo endometrioma (1,50) em relação à infertilidade inexplicada (1,00), aproximando-se do grupo com baixa reserva (1,42); o AMH correlacionou-se inversamente com o AOQI.</w:t>
            </w:r>
          </w:p>
        </w:tc>
      </w:tr>
      <w:tr>
        <w:trPr>
          <w:cantSplit/>
        </w:trPr>
        <w:tc>
          <w:tcPr>
            <w:tcW w:w="2100" w:type="dxa"/>
            <w:vAlign w:val="top"/>
          </w:tcPr>
          <w:p>
            <w:pPr>
              <w:pStyle w:val="TabelaTexto"/>
              <w:jc w:val="left"/>
            </w:pPr>
            <w:r>
              <w:t xml:space="preserve">Valenti et al., 2026 [15]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348 participantes do estudo ENDO (18–44 anos) submetidas a cirurgia ginecológica</w:t>
            </w:r>
          </w:p>
        </w:tc>
        <w:tc>
          <w:tcPr>
            <w:tcW w:w="2521" w:type="dxa"/>
            <w:vAlign w:val="top"/>
          </w:tcPr>
          <w:p>
            <w:pPr>
              <w:pStyle w:val="TabelaTexto"/>
              <w:jc w:val="left"/>
            </w:pPr>
            <w:r>
              <w:t xml:space="preserve">Endometriose incidente confirmada cirurgicamente, estadiamento ASRM (I–IV) e subtipos (superficial, profunda, ovariana)</w:t>
            </w:r>
          </w:p>
        </w:tc>
        <w:tc>
          <w:tcPr>
            <w:tcW w:w="2100" w:type="dxa"/>
            <w:vAlign w:val="top"/>
          </w:tcPr>
          <w:p>
            <w:pPr>
              <w:pStyle w:val="TabelaTexto"/>
              <w:jc w:val="left"/>
            </w:pPr>
            <w:r>
              <w:t xml:space="preserve">Concentrações séricas pré-operatórias de AMH</w:t>
            </w:r>
          </w:p>
        </w:tc>
        <w:tc>
          <w:tcPr>
            <w:tcW w:w="3221" w:type="dxa"/>
            <w:vAlign w:val="top"/>
          </w:tcPr>
          <w:p>
            <w:pPr>
              <w:pStyle w:val="TabelaTexto"/>
              <w:jc w:val="left"/>
            </w:pPr>
            <w:r>
              <w:t xml:space="preserve">Endometriose estágio III-IV associou-se a AMH 40,1% menor; endometriomas ovarianos promoveram redução de 54,3%; o histórico de infertilidade intensificou o declínio (-72,6%).</w:t>
            </w:r>
          </w:p>
        </w:tc>
      </w:tr>
      <w:tr>
        <w:trPr>
          <w:cantSplit/>
        </w:trPr>
        <w:tc>
          <w:tcPr>
            <w:tcW w:w="2100" w:type="dxa"/>
            <w:vAlign w:val="top"/>
          </w:tcPr>
          <w:p>
            <w:pPr>
              <w:pStyle w:val="TabelaTexto"/>
              <w:jc w:val="left"/>
            </w:pPr>
            <w:r>
              <w:t xml:space="preserve">Zhang et al., 2026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859 ciclos de FIV/ICSI em mulheres com endometriose e reserva ovariana diminuída</w:t>
            </w:r>
          </w:p>
        </w:tc>
        <w:tc>
          <w:tcPr>
            <w:tcW w:w="2521" w:type="dxa"/>
            <w:vAlign w:val="top"/>
          </w:tcPr>
          <w:p>
            <w:pPr>
              <w:pStyle w:val="TabelaTexto"/>
              <w:jc w:val="left"/>
            </w:pPr>
            <w:r>
              <w:t xml:space="preserve">Quatro protocolos de estimulação ovariana controlada (ultralongo, longo, curto e antagonista)</w:t>
            </w:r>
          </w:p>
        </w:tc>
        <w:tc>
          <w:tcPr>
            <w:tcW w:w="2100" w:type="dxa"/>
            <w:vAlign w:val="top"/>
          </w:tcPr>
          <w:p>
            <w:pPr>
              <w:pStyle w:val="TabelaTexto"/>
              <w:jc w:val="left"/>
            </w:pPr>
            <w:r>
              <w:t xml:space="preserve">Taxa cumulativa de nascidos vivos, taxa de nascidos vivos por ciclo iniciado e taxa de gravidez clínica</w:t>
            </w:r>
          </w:p>
        </w:tc>
        <w:tc>
          <w:tcPr>
            <w:tcW w:w="3221" w:type="dxa"/>
            <w:vAlign w:val="top"/>
          </w:tcPr>
          <w:p>
            <w:pPr>
              <w:pStyle w:val="TabelaTexto"/>
              <w:jc w:val="left"/>
            </w:pPr>
            <w:r>
              <w:t xml:space="preserve">O protocolo com agonista ultralongo superou os demais esquemas, alcançando maiores taxas cumulativas de nascidos vivos (48,5%), nascidos vivos por ciclo (36,6%) e gravidez clínica (41,1%).</w:t>
            </w:r>
          </w:p>
        </w:tc>
      </w:tr>
      <w:tr>
        <w:trPr>
          <w:cantSplit/>
        </w:trPr>
        <w:tc>
          <w:tcPr>
            <w:tcW w:w="2100" w:type="dxa"/>
            <w:vAlign w:val="top"/>
          </w:tcPr>
          <w:p>
            <w:pPr>
              <w:pStyle w:val="TabelaTexto"/>
              <w:jc w:val="left"/>
            </w:pPr>
            <w:r>
              <w:t xml:space="preserve">Akay et al., 2025 [6]</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241 pacientes submetidas a cistectomia laparoscópica (116 com endometrioma e 125 com cistos benignos não endometrióticos)</w:t>
            </w:r>
          </w:p>
        </w:tc>
        <w:tc>
          <w:tcPr>
            <w:tcW w:w="2521" w:type="dxa"/>
            <w:vAlign w:val="top"/>
          </w:tcPr>
          <w:p>
            <w:pPr>
              <w:pStyle w:val="TabelaTexto"/>
              <w:jc w:val="left"/>
            </w:pPr>
            <w:r>
              <w:t xml:space="preserve">Endometrioma ovariano comparado a cistos ovarianos benignos</w:t>
            </w:r>
          </w:p>
        </w:tc>
        <w:tc>
          <w:tcPr>
            <w:tcW w:w="2100" w:type="dxa"/>
            <w:vAlign w:val="top"/>
          </w:tcPr>
          <w:p>
            <w:pPr>
              <w:pStyle w:val="TabelaTexto"/>
              <w:jc w:val="left"/>
            </w:pPr>
            <w:r>
              <w:t xml:space="preserve">Reserva ovariana (FSH e AMH) e marcadores inflamatórios sistêmicos (RDW, NLR, PLR e leucócitos) pré e pós-operatórios</w:t>
            </w:r>
          </w:p>
        </w:tc>
        <w:tc>
          <w:tcPr>
            <w:tcW w:w="3221" w:type="dxa"/>
            <w:vAlign w:val="top"/>
          </w:tcPr>
          <w:p>
            <w:pPr>
              <w:pStyle w:val="TabelaTexto"/>
              <w:jc w:val="left"/>
            </w:pPr>
            <w:r>
              <w:t xml:space="preserve">Marcadores inflamatórios basais revelaram-se superiores no endometrioma, com elevação pós-operatória de NLR; o perfil inflamatório correlacionou-se ao diâmetro cístico, mas não ao estágio da doença ou ao AMH.</w:t>
            </w:r>
          </w:p>
        </w:tc>
      </w:tr>
      <w:tr>
        <w:trPr>
          <w:cantSplit/>
        </w:trPr>
        <w:tc>
          <w:tcPr>
            <w:tcW w:w="2100" w:type="dxa"/>
            <w:vAlign w:val="top"/>
          </w:tcPr>
          <w:p>
            <w:pPr>
              <w:pStyle w:val="TabelaTexto"/>
              <w:jc w:val="left"/>
            </w:pPr>
            <w:r>
              <w:t xml:space="preserve">Cardozo-Henríquez et al., 2025 [4]</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Transversal; 46 pacientes com diagnóstico de endometriose</w:t>
            </w:r>
          </w:p>
        </w:tc>
        <w:tc>
          <w:tcPr>
            <w:tcW w:w="2521" w:type="dxa"/>
            <w:vAlign w:val="top"/>
          </w:tcPr>
          <w:p>
            <w:pPr>
              <w:pStyle w:val="TabelaTexto"/>
              <w:jc w:val="left"/>
            </w:pPr>
            <w:r>
              <w:t xml:space="preserve">Diagnóstico de endometriose</w:t>
            </w:r>
          </w:p>
        </w:tc>
        <w:tc>
          <w:tcPr>
            <w:tcW w:w="2100" w:type="dxa"/>
            <w:vAlign w:val="top"/>
          </w:tcPr>
          <w:p>
            <w:pPr>
              <w:pStyle w:val="TabelaTexto"/>
              <w:jc w:val="left"/>
            </w:pPr>
            <w:r>
              <w:t xml:space="preserve">Infertilidade e taxa de concepção</w:t>
            </w:r>
          </w:p>
        </w:tc>
        <w:tc>
          <w:tcPr>
            <w:tcW w:w="3221" w:type="dxa"/>
            <w:vAlign w:val="top"/>
          </w:tcPr>
          <w:p>
            <w:pPr>
              <w:pStyle w:val="TabelaTexto"/>
              <w:jc w:val="left"/>
            </w:pPr>
            <w:r>
              <w:t xml:space="preserve">Infertilidade documentada em 97,83% da coorte (risco 6,65 vezes maior); apenas 23,91% das mulheres engravidaram, com 90,91% dessas gestações obtidas exclusivamente por reprodução assistida.</w:t>
            </w:r>
          </w:p>
        </w:tc>
      </w:tr>
      <w:tr>
        <w:trPr>
          <w:cantSplit/>
        </w:trPr>
        <w:tc>
          <w:tcPr>
            <w:tcW w:w="2100" w:type="dxa"/>
            <w:vAlign w:val="top"/>
          </w:tcPr>
          <w:p>
            <w:pPr>
              <w:pStyle w:val="TabelaTexto"/>
              <w:jc w:val="left"/>
            </w:pPr>
            <w:r>
              <w:t xml:space="preserve">Diao et al., 2025 [22]</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Experimental/Translacional; oócitos humanos de pacientes com endometriose ovariana e controles com infertilidade tubária ou masculina</w:t>
            </w:r>
          </w:p>
        </w:tc>
        <w:tc>
          <w:tcPr>
            <w:tcW w:w="2521" w:type="dxa"/>
            <w:vAlign w:val="top"/>
          </w:tcPr>
          <w:p>
            <w:pPr>
              <w:pStyle w:val="TabelaTexto"/>
              <w:jc w:val="left"/>
            </w:pPr>
            <w:r>
              <w:t xml:space="preserve">Endometriose ovariana</w:t>
            </w:r>
          </w:p>
        </w:tc>
        <w:tc>
          <w:tcPr>
            <w:tcW w:w="2100" w:type="dxa"/>
            <w:vAlign w:val="top"/>
          </w:tcPr>
          <w:p>
            <w:pPr>
              <w:pStyle w:val="TabelaTexto"/>
              <w:jc w:val="left"/>
            </w:pPr>
            <w:r>
              <w:t xml:space="preserve">Perfis translacionais e transcricionais de oócitos em estágio de vesícula germinativa (GV)</w:t>
            </w:r>
          </w:p>
        </w:tc>
        <w:tc>
          <w:tcPr>
            <w:tcW w:w="3221" w:type="dxa"/>
            <w:vAlign w:val="top"/>
          </w:tcPr>
          <w:p>
            <w:pPr>
              <w:pStyle w:val="TabelaTexto"/>
              <w:jc w:val="left"/>
            </w:pPr>
            <w:r>
              <w:t xml:space="preserve">O endometrioma causou reprogramação translacional global nos gametas, desregulando vias de sinalização para estresse oxidativo, progressão meiótica e maquinário do spliceossomo.</w:t>
            </w:r>
          </w:p>
        </w:tc>
      </w:tr>
      <w:tr>
        <w:trPr>
          <w:cantSplit/>
        </w:trPr>
        <w:tc>
          <w:tcPr>
            <w:tcW w:w="2100" w:type="dxa"/>
            <w:vAlign w:val="top"/>
          </w:tcPr>
          <w:p>
            <w:pPr>
              <w:pStyle w:val="TabelaTexto"/>
              <w:jc w:val="left"/>
            </w:pPr>
            <w:r>
              <w:t xml:space="preserve">Li et al., 2025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3.517 pacientes em FIV/ICSI: controles (n=494), endometrioma não operado (n=217) e cistectomia prévia (n=122)</w:t>
            </w:r>
          </w:p>
        </w:tc>
        <w:tc>
          <w:tcPr>
            <w:tcW w:w="2521" w:type="dxa"/>
            <w:vAlign w:val="top"/>
          </w:tcPr>
          <w:p>
            <w:pPr>
              <w:pStyle w:val="TabelaTexto"/>
              <w:jc w:val="left"/>
            </w:pPr>
            <w:r>
              <w:t xml:space="preserve">Presença de endometrioma in situ vs. histórico de cistectomia ovariana</w:t>
            </w:r>
          </w:p>
        </w:tc>
        <w:tc>
          <w:tcPr>
            <w:tcW w:w="2100" w:type="dxa"/>
            <w:vAlign w:val="top"/>
          </w:tcPr>
          <w:p>
            <w:pPr>
              <w:pStyle w:val="TabelaTexto"/>
              <w:jc w:val="left"/>
            </w:pPr>
            <w:r>
              <w:t xml:space="preserve">Reserva ovariana (AFC, FSH, AMH), consumo de gonadotrofinas, total de oócitos captados e maduros (MII), incidência de DOR</w:t>
            </w:r>
          </w:p>
        </w:tc>
        <w:tc>
          <w:tcPr>
            <w:tcW w:w="3221" w:type="dxa"/>
            <w:vAlign w:val="top"/>
          </w:tcPr>
          <w:p>
            <w:pPr>
              <w:pStyle w:val="TabelaTexto"/>
              <w:jc w:val="left"/>
            </w:pPr>
            <w:r>
              <w:t xml:space="preserve">A cistectomia prévia acarretou queda expressiva da reserva folicular, maior taxa de baixa resposta ovariana (DOR) e necessidade de doses elevadas de gonadotrofinas frente aos grupos controle e não cirúrgico.</w:t>
            </w:r>
          </w:p>
        </w:tc>
      </w:tr>
      <w:tr>
        <w:trPr>
          <w:cantSplit/>
        </w:trPr>
        <w:tc>
          <w:tcPr>
            <w:tcW w:w="2100" w:type="dxa"/>
            <w:vAlign w:val="top"/>
          </w:tcPr>
          <w:p>
            <w:pPr>
              <w:pStyle w:val="TabelaTexto"/>
              <w:jc w:val="left"/>
            </w:pPr>
            <w:r>
              <w:t xml:space="preserve">Lu et al., 2025 [21]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300 mulheres com endometrioma e 2.956 controles pareadas submetidas ao primeiro ciclo de FIV/ICSI</w:t>
            </w:r>
          </w:p>
        </w:tc>
        <w:tc>
          <w:tcPr>
            <w:tcW w:w="2521" w:type="dxa"/>
            <w:vAlign w:val="top"/>
          </w:tcPr>
          <w:p>
            <w:pPr>
              <w:pStyle w:val="TabelaTexto"/>
              <w:jc w:val="left"/>
            </w:pPr>
            <w:r>
              <w:t xml:space="preserve">Endometrioma ovariano estratificado por faixa etária (&lt;35 anos vs. ≥35 anos)</w:t>
            </w:r>
          </w:p>
        </w:tc>
        <w:tc>
          <w:tcPr>
            <w:tcW w:w="2100" w:type="dxa"/>
            <w:vAlign w:val="top"/>
          </w:tcPr>
          <w:p>
            <w:pPr>
              <w:pStyle w:val="TabelaTexto"/>
              <w:jc w:val="left"/>
            </w:pPr>
            <w:r>
              <w:t xml:space="preserve">Reserva ovariana (AMH, contagem de folículos antrais), taxa cumulativa de gravidez clínica e taxa de nascidos vivos</w:t>
            </w:r>
          </w:p>
        </w:tc>
        <w:tc>
          <w:tcPr>
            <w:tcW w:w="3221" w:type="dxa"/>
            <w:vAlign w:val="top"/>
          </w:tcPr>
          <w:p>
            <w:pPr>
              <w:pStyle w:val="TabelaTexto"/>
              <w:jc w:val="left"/>
            </w:pPr>
            <w:r>
              <w:t xml:space="preserve">O endometrioma deprimiu a reserva folicular e as taxas cumulativas de gravidez e nascidos vivos nas pacientes jovens (&lt;35 anos), sem efeito diferencial nas mulheres com idade ≥35 anos; o AMH figurou como preditor independente de nascido vivo.</w:t>
            </w:r>
          </w:p>
        </w:tc>
      </w:tr>
      <w:tr>
        <w:trPr>
          <w:cantSplit/>
        </w:trPr>
        <w:tc>
          <w:tcPr>
            <w:tcW w:w="2100" w:type="dxa"/>
            <w:vAlign w:val="top"/>
          </w:tcPr>
          <w:p>
            <w:pPr>
              <w:pStyle w:val="TabelaTexto"/>
              <w:jc w:val="left"/>
            </w:pPr>
            <w:r>
              <w:t xml:space="preserve">Pereira et al., 2025 [8]</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104 mulheres com endometriose avançada e indicação cirúrgica (mediana de 35 anos)</w:t>
            </w:r>
          </w:p>
        </w:tc>
        <w:tc>
          <w:tcPr>
            <w:tcW w:w="2521" w:type="dxa"/>
            <w:vAlign w:val="top"/>
          </w:tcPr>
          <w:p>
            <w:pPr>
              <w:pStyle w:val="TabelaTexto"/>
              <w:jc w:val="left"/>
            </w:pPr>
            <w:r>
              <w:t xml:space="preserve">Estadiamento ASRM III e IV</w:t>
            </w:r>
          </w:p>
        </w:tc>
        <w:tc>
          <w:tcPr>
            <w:tcW w:w="2100" w:type="dxa"/>
            <w:vAlign w:val="top"/>
          </w:tcPr>
          <w:p>
            <w:pPr>
              <w:pStyle w:val="TabelaTexto"/>
              <w:jc w:val="left"/>
            </w:pPr>
            <w:r>
              <w:t xml:space="preserve">Intensidade álgica, função sexual, escores de qualidade de vida e prevalência de infertilidade</w:t>
            </w:r>
          </w:p>
        </w:tc>
        <w:tc>
          <w:tcPr>
            <w:tcW w:w="3221" w:type="dxa"/>
            <w:vAlign w:val="top"/>
          </w:tcPr>
          <w:p>
            <w:pPr>
              <w:pStyle w:val="TabelaTexto"/>
              <w:jc w:val="left"/>
            </w:pPr>
            <w:r>
              <w:t xml:space="preserve">Mulheres nos estágios III e IV segregaram-se em dois fenótipos funcionais distintos de gravidade álgica e prejuízo à função sexual; a frequência de infertilidade permaneceu uniforme entre esses subgrupos.</w:t>
            </w:r>
          </w:p>
        </w:tc>
      </w:tr>
      <w:tr>
        <w:trPr>
          <w:cantSplit/>
        </w:trPr>
        <w:tc>
          <w:tcPr>
            <w:tcW w:w="2100" w:type="dxa"/>
            <w:vAlign w:val="top"/>
          </w:tcPr>
          <w:p>
            <w:pPr>
              <w:pStyle w:val="TabelaTexto"/>
              <w:jc w:val="left"/>
            </w:pPr>
            <w:r>
              <w:t xml:space="preserve">Souza et al., 2025 [3]</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48 prontuários de mulheres (18–49 anos) com diagnóstico firmado de endometriose</w:t>
            </w:r>
          </w:p>
        </w:tc>
        <w:tc>
          <w:tcPr>
            <w:tcW w:w="2521" w:type="dxa"/>
            <w:vAlign w:val="top"/>
          </w:tcPr>
          <w:p>
            <w:pPr>
              <w:pStyle w:val="TabelaTexto"/>
              <w:jc w:val="left"/>
            </w:pPr>
            <w:r>
              <w:t xml:space="preserve">Soropositividade para autoanticorpos tireoidianos (anti-TPO e anti-Tg)</w:t>
            </w:r>
          </w:p>
        </w:tc>
        <w:tc>
          <w:tcPr>
            <w:tcW w:w="2100" w:type="dxa"/>
            <w:vAlign w:val="top"/>
          </w:tcPr>
          <w:p>
            <w:pPr>
              <w:pStyle w:val="TabelaTexto"/>
              <w:jc w:val="left"/>
            </w:pPr>
            <w:r>
              <w:t xml:space="preserve">Reserva ovariana estimada por AMH e contagem de folículos antrais (AFC)</w:t>
            </w:r>
          </w:p>
        </w:tc>
        <w:tc>
          <w:tcPr>
            <w:tcW w:w="3221" w:type="dxa"/>
            <w:vAlign w:val="top"/>
          </w:tcPr>
          <w:p>
            <w:pPr>
              <w:pStyle w:val="TabelaTexto"/>
              <w:jc w:val="left"/>
            </w:pPr>
            <w:r>
              <w:t xml:space="preserve">Alta prevalência de autoimunidade tireoidiana associada à endometriose; não houve redução estatisticamente significante na reserva folicular, embora pacientes soropositivas tenham exibido tendência a menores valores medianos de AMH.</w:t>
            </w:r>
          </w:p>
        </w:tc>
      </w:tr>
      <w:tr>
        <w:trPr>
          <w:cantSplit/>
        </w:trPr>
        <w:tc>
          <w:tcPr>
            <w:tcW w:w="2100" w:type="dxa"/>
            <w:vAlign w:val="top"/>
          </w:tcPr>
          <w:p>
            <w:pPr>
              <w:pStyle w:val="TabelaTexto"/>
              <w:jc w:val="left"/>
            </w:pPr>
            <w:r>
              <w:t xml:space="preserve">Şükür et al., 2025 [24]</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90 mulheres inférteis com endometrioma ≥4 cm no primeiro ciclo de FIV</w:t>
            </w:r>
          </w:p>
        </w:tc>
        <w:tc>
          <w:tcPr>
            <w:tcW w:w="2521" w:type="dxa"/>
            <w:vAlign w:val="top"/>
          </w:tcPr>
          <w:p>
            <w:pPr>
              <w:pStyle w:val="TabelaTexto"/>
              <w:jc w:val="left"/>
            </w:pPr>
            <w:r>
              <w:t xml:space="preserve">Três condutas terapêuticas: conduta expectante (n=39), escleroterapia com etanol (n=20) e cistectomia laparoscópica (n=31)</w:t>
            </w:r>
          </w:p>
        </w:tc>
        <w:tc>
          <w:tcPr>
            <w:tcW w:w="2100" w:type="dxa"/>
            <w:vAlign w:val="top"/>
          </w:tcPr>
          <w:p>
            <w:pPr>
              <w:pStyle w:val="TabelaTexto"/>
              <w:jc w:val="left"/>
            </w:pPr>
            <w:r>
              <w:t xml:space="preserve">Taxa cumulativa de nascidos vivos, rendimento de oócitos e embriões, implantação e taxa de cancelamento de ciclo</w:t>
            </w:r>
          </w:p>
        </w:tc>
        <w:tc>
          <w:tcPr>
            <w:tcW w:w="3221" w:type="dxa"/>
            <w:vAlign w:val="top"/>
          </w:tcPr>
          <w:p>
            <w:pPr>
              <w:pStyle w:val="TabelaTexto"/>
              <w:jc w:val="left"/>
            </w:pPr>
            <w:r>
              <w:t xml:space="preserve">A escleroterapia com etanol preservou a reserva folicular e alcançou maior taxa cumulativa de nascidos vivos (65%), superando os braços de cistectomia cirúrgica e manejo expectante.</w:t>
            </w:r>
          </w:p>
        </w:tc>
      </w:tr>
      <w:tr>
        <w:trPr>
          <w:cantSplit/>
        </w:trPr>
        <w:tc>
          <w:tcPr>
            <w:tcW w:w="2100" w:type="dxa"/>
            <w:vAlign w:val="top"/>
          </w:tcPr>
          <w:p>
            <w:pPr>
              <w:pStyle w:val="TabelaTexto"/>
              <w:jc w:val="left"/>
            </w:pPr>
            <w:r>
              <w:t xml:space="preserve">Farland et al., 2024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1.961 mulheres pré-menopáusicas vinculadas ao Nurses' Health Study II com dosagem de AMH</w:t>
            </w:r>
          </w:p>
        </w:tc>
        <w:tc>
          <w:tcPr>
            <w:tcW w:w="2521" w:type="dxa"/>
            <w:vAlign w:val="top"/>
          </w:tcPr>
          <w:p>
            <w:pPr>
              <w:pStyle w:val="TabelaTexto"/>
              <w:jc w:val="left"/>
            </w:pPr>
            <w:r>
              <w:t xml:space="preserve">Diagnóstico laparoscópico de endometriose</w:t>
            </w:r>
          </w:p>
        </w:tc>
        <w:tc>
          <w:tcPr>
            <w:tcW w:w="2100" w:type="dxa"/>
            <w:vAlign w:val="top"/>
          </w:tcPr>
          <w:p>
            <w:pPr>
              <w:pStyle w:val="TabelaTexto"/>
              <w:jc w:val="left"/>
            </w:pPr>
            <w:r>
              <w:t xml:space="preserve">Níveis plasmáticos de hormônio antimülleriano (AMH)</w:t>
            </w:r>
          </w:p>
        </w:tc>
        <w:tc>
          <w:tcPr>
            <w:tcW w:w="3221" w:type="dxa"/>
            <w:vAlign w:val="top"/>
          </w:tcPr>
          <w:p>
            <w:pPr>
              <w:pStyle w:val="TabelaTexto"/>
              <w:jc w:val="left"/>
            </w:pPr>
            <w:r>
              <w:t xml:space="preserve">Portadoras de endometriose exibiram AMH 29,6% menor em relação a mulheres sadias; a presença de sobrepeso/obesidade (IMC ≥25 kg/m²) intensificou essa redução para 44,0%.</w:t>
            </w:r>
          </w:p>
        </w:tc>
      </w:tr>
      <w:tr>
        <w:trPr>
          <w:cantSplit/>
        </w:trPr>
        <w:tc>
          <w:tcPr>
            <w:tcW w:w="2100" w:type="dxa"/>
            <w:vAlign w:val="top"/>
          </w:tcPr>
          <w:p>
            <w:pPr>
              <w:pStyle w:val="TabelaTexto"/>
              <w:jc w:val="left"/>
            </w:pPr>
            <w:r>
              <w:t xml:space="preserve">Haque et al., 2024 [25]</w:t>
            </w:r>
          </w:p>
        </w:tc>
        <w:tc>
          <w:tcPr>
            <w:tcW w:w="1260" w:type="dxa"/>
            <w:vAlign w:val="top"/>
          </w:tcPr>
          <w:p>
            <w:pPr>
              <w:pStyle w:val="TabelaTextoCentro"/>
              <w:jc w:val="center"/>
            </w:pPr>
            <w:r>
              <w:t xml:space="preserve">Indonésia</w:t>
            </w:r>
          </w:p>
        </w:tc>
        <w:tc>
          <w:tcPr>
            <w:tcW w:w="2801" w:type="dxa"/>
            <w:vAlign w:val="top"/>
          </w:tcPr>
          <w:p>
            <w:pPr>
              <w:pStyle w:val="TabelaTexto"/>
              <w:jc w:val="left"/>
            </w:pPr>
            <w:r>
              <w:t xml:space="preserve">Coorte retrospectiva; 410 ciclos de FIV (93 com endometriose e 317 sem a afecção)</w:t>
            </w:r>
          </w:p>
        </w:tc>
        <w:tc>
          <w:tcPr>
            <w:tcW w:w="2521" w:type="dxa"/>
            <w:vAlign w:val="top"/>
          </w:tcPr>
          <w:p>
            <w:pPr>
              <w:pStyle w:val="TabelaTexto"/>
              <w:jc w:val="left"/>
            </w:pPr>
            <w:r>
              <w:t xml:space="preserve">Diagnóstico clínico-cirúrgico de endometriose</w:t>
            </w:r>
          </w:p>
        </w:tc>
        <w:tc>
          <w:tcPr>
            <w:tcW w:w="2100" w:type="dxa"/>
            <w:vAlign w:val="top"/>
          </w:tcPr>
          <w:p>
            <w:pPr>
              <w:pStyle w:val="TabelaTexto"/>
              <w:jc w:val="left"/>
            </w:pPr>
            <w:r>
              <w:t xml:space="preserve">Rendimento ovocitário, maturação nuclear, taxas de fertilização, clivagem embrionária, gestação clínica e nascido vivo</w:t>
            </w:r>
          </w:p>
        </w:tc>
        <w:tc>
          <w:tcPr>
            <w:tcW w:w="3221" w:type="dxa"/>
            <w:vAlign w:val="top"/>
          </w:tcPr>
          <w:p>
            <w:pPr>
              <w:pStyle w:val="TabelaTexto"/>
              <w:jc w:val="left"/>
            </w:pPr>
            <w:r>
              <w:t xml:space="preserve">A doença reduziu a quantidade e a qualidade morfológica dos gametas resgatados; contudo, o desenvolvimento embrionário subsequente, a gravidez clínica e o nascido vivo não diferiram dos controles.</w:t>
            </w:r>
          </w:p>
        </w:tc>
      </w:tr>
      <w:tr>
        <w:trPr>
          <w:cantSplit/>
        </w:trPr>
        <w:tc>
          <w:tcPr>
            <w:tcW w:w="2100" w:type="dxa"/>
            <w:vAlign w:val="top"/>
          </w:tcPr>
          <w:p>
            <w:pPr>
              <w:pStyle w:val="TabelaTexto"/>
              <w:jc w:val="left"/>
            </w:pPr>
            <w:r>
              <w:t xml:space="preserve">Molina Rodríguez, 2024 [9]</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Coorte retrospectiva; 455 prontuários de 560 mulheres avaliadas em serviço terciário especializado</w:t>
            </w:r>
          </w:p>
        </w:tc>
        <w:tc>
          <w:tcPr>
            <w:tcW w:w="2521" w:type="dxa"/>
            <w:vAlign w:val="top"/>
          </w:tcPr>
          <w:p>
            <w:pPr>
              <w:pStyle w:val="TabelaTexto"/>
              <w:jc w:val="left"/>
            </w:pPr>
            <w:r>
              <w:t xml:space="preserve">Endometriose pélvica confirmada</w:t>
            </w:r>
          </w:p>
        </w:tc>
        <w:tc>
          <w:tcPr>
            <w:tcW w:w="2100" w:type="dxa"/>
            <w:vAlign w:val="top"/>
          </w:tcPr>
          <w:p>
            <w:pPr>
              <w:pStyle w:val="TabelaTexto"/>
              <w:jc w:val="left"/>
            </w:pPr>
            <w:r>
              <w:t xml:space="preserve">Idade diagnóstica, paridade, gravidade de dismenorreia, dispareunia e topografia das lesões ectópicas</w:t>
            </w:r>
          </w:p>
        </w:tc>
        <w:tc>
          <w:tcPr>
            <w:tcW w:w="3221" w:type="dxa"/>
            <w:vAlign w:val="top"/>
          </w:tcPr>
          <w:p>
            <w:pPr>
              <w:pStyle w:val="TabelaTexto"/>
              <w:jc w:val="left"/>
            </w:pPr>
            <w:r>
              <w:t xml:space="preserve">Concentração diagnóstica na faixa de 26 a 35 anos; nuliparidade documentada em 63,00% da amostra; dismenorreia primária em 63,07%; o ovário representou o sítio anatômico preponderante (78,70%).</w:t>
            </w:r>
          </w:p>
        </w:tc>
      </w:tr>
      <w:tr>
        <w:trPr>
          <w:cantSplit/>
        </w:trPr>
        <w:tc>
          <w:tcPr>
            <w:tcW w:w="2100" w:type="dxa"/>
            <w:vAlign w:val="top"/>
          </w:tcPr>
          <w:p>
            <w:pPr>
              <w:pStyle w:val="TabelaTexto"/>
              <w:jc w:val="left"/>
            </w:pPr>
            <w:r>
              <w:t xml:space="preserve">Morcel et al., 2024 [28]</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Coorte retrospectiva; ciclos de fertilização in vitro estratificados por gravidade e tipologia da doença</w:t>
            </w:r>
          </w:p>
        </w:tc>
        <w:tc>
          <w:tcPr>
            <w:tcW w:w="2521" w:type="dxa"/>
            <w:vAlign w:val="top"/>
          </w:tcPr>
          <w:p>
            <w:pPr>
              <w:pStyle w:val="TabelaTexto"/>
              <w:jc w:val="left"/>
            </w:pPr>
            <w:r>
              <w:t xml:space="preserve">Estágios da endometriose (ASRM I-II, III-IV sem endometrioma, endometrioma isolado e endometriose profunda infiltrativa)</w:t>
            </w:r>
          </w:p>
        </w:tc>
        <w:tc>
          <w:tcPr>
            <w:tcW w:w="2100" w:type="dxa"/>
            <w:vAlign w:val="top"/>
          </w:tcPr>
          <w:p>
            <w:pPr>
              <w:pStyle w:val="TabelaTexto"/>
              <w:jc w:val="left"/>
            </w:pPr>
            <w:r>
              <w:t xml:space="preserve">Taxas de gravidez clínica, gestação em curso e taxa cumulativa de gravidez por casal transferido</w:t>
            </w:r>
          </w:p>
        </w:tc>
        <w:tc>
          <w:tcPr>
            <w:tcW w:w="3221" w:type="dxa"/>
            <w:vAlign w:val="top"/>
          </w:tcPr>
          <w:p>
            <w:pPr>
              <w:pStyle w:val="TabelaTexto"/>
              <w:jc w:val="left"/>
            </w:pPr>
            <w:r>
              <w:t xml:space="preserve">A gravidez em curso por ciclo a fresco não divergiu dos controles; em contrapartida, as taxas cumulativas por casal decaíram acentuadamente no subgrupo acometido por endometriose profunda com nódulos infiltrativos.</w:t>
            </w:r>
          </w:p>
        </w:tc>
      </w:tr>
      <w:tr>
        <w:trPr>
          <w:cantSplit/>
        </w:trPr>
        <w:tc>
          <w:tcPr>
            <w:tcW w:w="2100" w:type="dxa"/>
            <w:vAlign w:val="top"/>
          </w:tcPr>
          <w:p>
            <w:pPr>
              <w:pStyle w:val="TabelaTexto"/>
              <w:jc w:val="left"/>
            </w:pPr>
            <w:r>
              <w:t xml:space="preserve">Nadă et al., 2024 [26]</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mulheres com endometriose e antecedente cirúrgico vs. fator tubário submetidas a FIV</w:t>
            </w:r>
          </w:p>
        </w:tc>
        <w:tc>
          <w:tcPr>
            <w:tcW w:w="2521" w:type="dxa"/>
            <w:vAlign w:val="top"/>
          </w:tcPr>
          <w:p>
            <w:pPr>
              <w:pStyle w:val="TabelaTexto"/>
              <w:jc w:val="left"/>
            </w:pPr>
            <w:r>
              <w:t xml:space="preserve">Endometriose operada, idade materna, AMH basal e regimes farmacológicos de estimulação ovariana</w:t>
            </w:r>
          </w:p>
        </w:tc>
        <w:tc>
          <w:tcPr>
            <w:tcW w:w="2100" w:type="dxa"/>
            <w:vAlign w:val="top"/>
          </w:tcPr>
          <w:p>
            <w:pPr>
              <w:pStyle w:val="TabelaTexto"/>
              <w:jc w:val="left"/>
            </w:pPr>
            <w:r>
              <w:t xml:space="preserve">Taxa de gravidez clínica confirmada por ultrassonografia</w:t>
            </w:r>
          </w:p>
        </w:tc>
        <w:tc>
          <w:tcPr>
            <w:tcW w:w="3221" w:type="dxa"/>
            <w:vAlign w:val="top"/>
          </w:tcPr>
          <w:p>
            <w:pPr>
              <w:pStyle w:val="TabelaTexto"/>
              <w:jc w:val="left"/>
            </w:pPr>
            <w:r>
              <w:t xml:space="preserve">O braço acometido por endometriose apresentou menor taxa de prenhez clínica frente ao fator tubário; idade e AMH atuaram como preditores independentes; o uso de corifolitropina alfa melhorou os desfechos clínicos.</w:t>
            </w:r>
          </w:p>
        </w:tc>
      </w:tr>
      <w:tr>
        <w:trPr>
          <w:cantSplit/>
        </w:trPr>
        <w:tc>
          <w:tcPr>
            <w:tcW w:w="2100" w:type="dxa"/>
            <w:vAlign w:val="top"/>
          </w:tcPr>
          <w:p>
            <w:pPr>
              <w:pStyle w:val="TabelaTexto"/>
              <w:jc w:val="left"/>
            </w:pPr>
            <w:r>
              <w:t xml:space="preserve">Nogueira Neto et al., 2024 [10]</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Coorte prospectiva; 103 pacientes com endometriose submetidas a intervenção cirúrgica laparoscópica</w:t>
            </w:r>
          </w:p>
        </w:tc>
        <w:tc>
          <w:tcPr>
            <w:tcW w:w="2521" w:type="dxa"/>
            <w:vAlign w:val="top"/>
          </w:tcPr>
          <w:p>
            <w:pPr>
              <w:pStyle w:val="TabelaTexto"/>
              <w:jc w:val="left"/>
            </w:pPr>
            <w:r>
              <w:t xml:space="preserve">Laparoscopia excisional para endometriose</w:t>
            </w:r>
          </w:p>
        </w:tc>
        <w:tc>
          <w:tcPr>
            <w:tcW w:w="2100" w:type="dxa"/>
            <w:vAlign w:val="top"/>
          </w:tcPr>
          <w:p>
            <w:pPr>
              <w:pStyle w:val="TabelaTexto"/>
              <w:jc w:val="left"/>
            </w:pPr>
            <w:r>
              <w:t xml:space="preserve">Escore depressivo relacionado à dor e categorização da fertilidade</w:t>
            </w:r>
          </w:p>
        </w:tc>
        <w:tc>
          <w:tcPr>
            <w:tcW w:w="3221" w:type="dxa"/>
            <w:vAlign w:val="top"/>
          </w:tcPr>
          <w:p>
            <w:pPr>
              <w:pStyle w:val="TabelaTexto"/>
              <w:jc w:val="left"/>
            </w:pPr>
            <w:r>
              <w:t xml:space="preserve">A ressecção cirúrgica mitigou os escores depressivos; baixa fertilidade prévia foi observada em 50,9% das pacientes, coexistindo com estadiamento cirúrgico grave em 39,3% dos casos.</w:t>
            </w:r>
          </w:p>
        </w:tc>
      </w:tr>
      <w:tr>
        <w:trPr>
          <w:cantSplit/>
        </w:trPr>
        <w:tc>
          <w:tcPr>
            <w:tcW w:w="2100" w:type="dxa"/>
            <w:vAlign w:val="top"/>
          </w:tcPr>
          <w:p>
            <w:pPr>
              <w:pStyle w:val="TabelaTexto"/>
              <w:jc w:val="left"/>
            </w:pPr>
            <w:r>
              <w:t xml:space="preserve">Qu et al., 2024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625 ciclos com teste genético pré-implantacional para aneuploidias (PGT-A)</w:t>
            </w:r>
          </w:p>
        </w:tc>
        <w:tc>
          <w:tcPr>
            <w:tcW w:w="2521" w:type="dxa"/>
            <w:vAlign w:val="top"/>
          </w:tcPr>
          <w:p>
            <w:pPr>
              <w:pStyle w:val="TabelaTexto"/>
              <w:jc w:val="left"/>
            </w:pPr>
            <w:r>
              <w:t xml:space="preserve">Diagnóstico de endometriose</w:t>
            </w:r>
          </w:p>
        </w:tc>
        <w:tc>
          <w:tcPr>
            <w:tcW w:w="2100" w:type="dxa"/>
            <w:vAlign w:val="top"/>
          </w:tcPr>
          <w:p>
            <w:pPr>
              <w:pStyle w:val="TabelaTexto"/>
              <w:jc w:val="left"/>
            </w:pPr>
            <w:r>
              <w:t xml:space="preserve">Taxa de aneuploidia blastocitária, nascido vivo, perdas gestacionais clínicas e complicações obstétricas</w:t>
            </w:r>
          </w:p>
        </w:tc>
        <w:tc>
          <w:tcPr>
            <w:tcW w:w="3221" w:type="dxa"/>
            <w:vAlign w:val="top"/>
          </w:tcPr>
          <w:p>
            <w:pPr>
              <w:pStyle w:val="TabelaTexto"/>
              <w:jc w:val="left"/>
            </w:pPr>
            <w:r>
              <w:t xml:space="preserve">A presença de endometriose aumentou expressivamente a taxa de aneuploidia em blastocistos; não obstante, após a transferência de concepto euploide, as taxas de nascido vivo e abortamento equipararam-se aos controles.</w:t>
            </w:r>
          </w:p>
        </w:tc>
      </w:tr>
      <w:tr>
        <w:trPr>
          <w:cantSplit/>
        </w:trPr>
        <w:tc>
          <w:tcPr>
            <w:tcW w:w="2100" w:type="dxa"/>
            <w:vAlign w:val="top"/>
          </w:tcPr>
          <w:p>
            <w:pPr>
              <w:pStyle w:val="TabelaTexto"/>
              <w:jc w:val="left"/>
            </w:pPr>
            <w:r>
              <w:t xml:space="preserve">Sorvia Naveda et al., 2024 [1]</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prospectiva; 178 pacientes inférteis: 89 com endometriose estágio III-IV e 89 controles com outras etiologias</w:t>
            </w:r>
          </w:p>
        </w:tc>
        <w:tc>
          <w:tcPr>
            <w:tcW w:w="2521" w:type="dxa"/>
            <w:vAlign w:val="top"/>
          </w:tcPr>
          <w:p>
            <w:pPr>
              <w:pStyle w:val="TabelaTexto"/>
              <w:jc w:val="left"/>
            </w:pPr>
            <w:r>
              <w:t xml:space="preserve">Endometriose avançada com endometriomas anexiais</w:t>
            </w:r>
          </w:p>
        </w:tc>
        <w:tc>
          <w:tcPr>
            <w:tcW w:w="2100" w:type="dxa"/>
            <w:vAlign w:val="top"/>
          </w:tcPr>
          <w:p>
            <w:pPr>
              <w:pStyle w:val="TabelaTexto"/>
              <w:jc w:val="left"/>
            </w:pPr>
            <w:r>
              <w:t xml:space="preserve">Marcadores de reserva folicular (AMH, AFC), oócitos totais e MII recuperados, implantação embrionária e nascido vivo</w:t>
            </w:r>
          </w:p>
        </w:tc>
        <w:tc>
          <w:tcPr>
            <w:tcW w:w="3221" w:type="dxa"/>
            <w:vAlign w:val="top"/>
          </w:tcPr>
          <w:p>
            <w:pPr>
              <w:pStyle w:val="TabelaTexto"/>
              <w:jc w:val="left"/>
            </w:pPr>
            <w:r>
              <w:t xml:space="preserve">Pacientes nos estágios III-IV apresentaram decréscimo de AMH, contagem antral e oócitos maduros; a taxa final de nascidos vivos por embrião transferido permaneceu análoga à do grupo controle.</w:t>
            </w:r>
          </w:p>
        </w:tc>
      </w:tr>
      <w:tr>
        <w:trPr>
          <w:cantSplit/>
        </w:trPr>
        <w:tc>
          <w:tcPr>
            <w:tcW w:w="2100" w:type="dxa"/>
            <w:vAlign w:val="top"/>
          </w:tcPr>
          <w:p>
            <w:pPr>
              <w:pStyle w:val="TabelaTexto"/>
              <w:jc w:val="left"/>
            </w:pPr>
            <w:r>
              <w:t xml:space="preserve">Bianco et al., 2023 [7]</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mulheres com endometriose cirúrgica e controles sem lesões à inspeção laparoscópica</w:t>
            </w:r>
          </w:p>
        </w:tc>
        <w:tc>
          <w:tcPr>
            <w:tcW w:w="2521" w:type="dxa"/>
            <w:vAlign w:val="top"/>
          </w:tcPr>
          <w:p>
            <w:pPr>
              <w:pStyle w:val="TabelaTexto"/>
              <w:jc w:val="left"/>
            </w:pPr>
            <w:r>
              <w:t xml:space="preserve">Polimorfismo rs10835638 no gene FSHB (c.-211G&gt;T) em subgrupos férteis e inférteis</w:t>
            </w:r>
          </w:p>
        </w:tc>
        <w:tc>
          <w:tcPr>
            <w:tcW w:w="2100" w:type="dxa"/>
            <w:vAlign w:val="top"/>
          </w:tcPr>
          <w:p>
            <w:pPr>
              <w:pStyle w:val="TabelaTexto"/>
              <w:jc w:val="left"/>
            </w:pPr>
            <w:r>
              <w:t xml:space="preserve">Suscetibilidade à progressão da doença e impacto na infertilidade feminina</w:t>
            </w:r>
          </w:p>
        </w:tc>
        <w:tc>
          <w:tcPr>
            <w:tcW w:w="3221" w:type="dxa"/>
            <w:vAlign w:val="top"/>
          </w:tcPr>
          <w:p>
            <w:pPr>
              <w:pStyle w:val="TabelaTexto"/>
              <w:jc w:val="left"/>
            </w:pPr>
            <w:r>
              <w:t xml:space="preserve">Frequências alélicas e genotípicas não divergiram globalmente entre casos e controles; o alelo T associou-se exclusivamente aos estágios mínimos/leves da doença, sem correlação com o fenótipo de infertilidade.</w:t>
            </w:r>
          </w:p>
        </w:tc>
      </w:tr>
      <w:tr>
        <w:trPr>
          <w:cantSplit/>
        </w:trPr>
        <w:tc>
          <w:tcPr>
            <w:tcW w:w="2100" w:type="dxa"/>
            <w:vAlign w:val="top"/>
          </w:tcPr>
          <w:p>
            <w:pPr>
              <w:pStyle w:val="TabelaTexto"/>
              <w:jc w:val="left"/>
            </w:pPr>
            <w:r>
              <w:t xml:space="preserve">Hernández et al., 2023 [29]</w:t>
            </w:r>
          </w:p>
        </w:tc>
        <w:tc>
          <w:tcPr>
            <w:tcW w:w="1260" w:type="dxa"/>
            <w:vAlign w:val="top"/>
          </w:tcPr>
          <w:p>
            <w:pPr>
              <w:pStyle w:val="TabelaTextoCentro"/>
              <w:jc w:val="center"/>
            </w:pPr>
            <w:r>
              <w:t xml:space="preserve">Espanha</w:t>
            </w:r>
          </w:p>
        </w:tc>
        <w:tc>
          <w:tcPr>
            <w:tcW w:w="2801" w:type="dxa"/>
            <w:vAlign w:val="top"/>
          </w:tcPr>
          <w:p>
            <w:pPr>
              <w:pStyle w:val="TabelaTexto"/>
              <w:jc w:val="left"/>
            </w:pPr>
            <w:r>
              <w:t xml:space="preserve">Coorte retrospectiva; 244 pacientes de FIV: endometrioma in situ (n=124), cistectomia prévia (n=55) e controles (n=65)</w:t>
            </w:r>
          </w:p>
        </w:tc>
        <w:tc>
          <w:tcPr>
            <w:tcW w:w="2521" w:type="dxa"/>
            <w:vAlign w:val="top"/>
          </w:tcPr>
          <w:p>
            <w:pPr>
              <w:pStyle w:val="TabelaTexto"/>
              <w:jc w:val="left"/>
            </w:pPr>
            <w:r>
              <w:t xml:space="preserve">Presença do cisto ovariano vs. dano cirúrgico prévio</w:t>
            </w:r>
          </w:p>
        </w:tc>
        <w:tc>
          <w:tcPr>
            <w:tcW w:w="2100" w:type="dxa"/>
            <w:vAlign w:val="top"/>
          </w:tcPr>
          <w:p>
            <w:pPr>
              <w:pStyle w:val="TabelaTexto"/>
              <w:jc w:val="left"/>
            </w:pPr>
            <w:r>
              <w:t xml:space="preserve">AMH, AFC, número de oócitos aspirados, concepto transferido, gestação bioquímica e batimento cardíaco fetal às 6 semanas</w:t>
            </w:r>
          </w:p>
        </w:tc>
        <w:tc>
          <w:tcPr>
            <w:tcW w:w="3221" w:type="dxa"/>
            <w:vAlign w:val="top"/>
          </w:tcPr>
          <w:p>
            <w:pPr>
              <w:pStyle w:val="TabelaTexto"/>
              <w:jc w:val="left"/>
            </w:pPr>
            <w:r>
              <w:t xml:space="preserve">O endometrioma deprimiu AMH, AFC e gestação bioquímica; a cistectomia laparoscópica prévia reverteu a taxa de perdas bioquímicas, porém não recuperou o rendimento ou a qualidade dos gametas resgatados.</w:t>
            </w:r>
          </w:p>
        </w:tc>
      </w:tr>
      <w:tr>
        <w:trPr>
          <w:cantSplit/>
        </w:trPr>
        <w:tc>
          <w:tcPr>
            <w:tcW w:w="2100" w:type="dxa"/>
            <w:vAlign w:val="top"/>
          </w:tcPr>
          <w:p>
            <w:pPr>
              <w:pStyle w:val="TabelaTexto"/>
              <w:jc w:val="left"/>
            </w:pPr>
            <w:r>
              <w:t xml:space="preserve">Nadă et al., 2023 [30]</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cistectomia ovariana por endometrioma vs. fator tubário em FIV</w:t>
            </w:r>
          </w:p>
        </w:tc>
        <w:tc>
          <w:tcPr>
            <w:tcW w:w="2521" w:type="dxa"/>
            <w:vAlign w:val="top"/>
          </w:tcPr>
          <w:p>
            <w:pPr>
              <w:pStyle w:val="TabelaTexto"/>
              <w:jc w:val="left"/>
            </w:pPr>
            <w:r>
              <w:t xml:space="preserve">Cirurgia ovariana prévia por endometrioma</w:t>
            </w:r>
          </w:p>
        </w:tc>
        <w:tc>
          <w:tcPr>
            <w:tcW w:w="2100" w:type="dxa"/>
            <w:vAlign w:val="top"/>
          </w:tcPr>
          <w:p>
            <w:pPr>
              <w:pStyle w:val="TabelaTexto"/>
              <w:jc w:val="left"/>
            </w:pPr>
            <w:r>
              <w:t xml:space="preserve">Parâmetros de resposta à estimulação, embriões clivados transferidos e taxa de gravidez clínica</w:t>
            </w:r>
          </w:p>
        </w:tc>
        <w:tc>
          <w:tcPr>
            <w:tcW w:w="3221" w:type="dxa"/>
            <w:vAlign w:val="top"/>
          </w:tcPr>
          <w:p>
            <w:pPr>
              <w:pStyle w:val="TabelaTexto"/>
              <w:jc w:val="left"/>
            </w:pPr>
            <w:r>
              <w:t xml:space="preserve">Mulheres previamente operadas por endometrioma apresentaram menor taxa de gravidez clínica frente à obstrução tubária, a despeito de concentrações séricas basais de AMH e doses de gonadotrofinas similares.</w:t>
            </w:r>
          </w:p>
        </w:tc>
      </w:tr>
      <w:tr>
        <w:trPr>
          <w:cantSplit/>
        </w:trPr>
        <w:tc>
          <w:tcPr>
            <w:tcW w:w="2100" w:type="dxa"/>
            <w:vAlign w:val="top"/>
          </w:tcPr>
          <w:p>
            <w:pPr>
              <w:pStyle w:val="TabelaTexto"/>
              <w:jc w:val="left"/>
            </w:pPr>
            <w:r>
              <w:t xml:space="preserve">Sánchez-Resendis Ó et al., 2023 [14]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Série de casos prospectiva; 14 mulheres com endometriose visando preservação de fertilidade futura</w:t>
            </w:r>
          </w:p>
        </w:tc>
        <w:tc>
          <w:tcPr>
            <w:tcW w:w="2521" w:type="dxa"/>
            <w:vAlign w:val="top"/>
          </w:tcPr>
          <w:p>
            <w:pPr>
              <w:pStyle w:val="TabelaTexto"/>
              <w:jc w:val="left"/>
            </w:pPr>
            <w:r>
              <w:t xml:space="preserve">Protocolo combinado de análogo de GnRH (goserelina) seguido de DIU liberador de levonorgestrel</w:t>
            </w:r>
          </w:p>
        </w:tc>
        <w:tc>
          <w:tcPr>
            <w:tcW w:w="2100" w:type="dxa"/>
            <w:vAlign w:val="top"/>
          </w:tcPr>
          <w:p>
            <w:pPr>
              <w:pStyle w:val="TabelaTexto"/>
              <w:jc w:val="left"/>
            </w:pPr>
            <w:r>
              <w:t xml:space="preserve">Intensidade de dor pélvica crônica e integridade dos parâmetros reprodutivos</w:t>
            </w:r>
          </w:p>
        </w:tc>
        <w:tc>
          <w:tcPr>
            <w:tcW w:w="3221" w:type="dxa"/>
            <w:vAlign w:val="top"/>
          </w:tcPr>
          <w:p>
            <w:pPr>
              <w:pStyle w:val="TabelaTexto"/>
              <w:jc w:val="left"/>
            </w:pPr>
            <w:r>
              <w:t xml:space="preserve">O protocolo supressivo erradicou a sintomatologia álgica incapacitante em 100% dos casos avaliados em 12 meses (apenas 5 pacientes relataram dor leve residual transitória), mantendo estabilidade folicular basal.</w:t>
            </w:r>
          </w:p>
        </w:tc>
      </w:tr>
      <w:tr>
        <w:trPr>
          <w:cantSplit/>
        </w:trPr>
        <w:tc>
          <w:tcPr>
            <w:tcW w:w="2100" w:type="dxa"/>
            <w:vAlign w:val="top"/>
          </w:tcPr>
          <w:p>
            <w:pPr>
              <w:pStyle w:val="TabelaTexto"/>
              <w:jc w:val="left"/>
            </w:pPr>
            <w:r>
              <w:t xml:space="preserve">Pontes et al., 2022 [11]</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227 pacientes com endometriose profunda mapeada por ultrassonografia com preparo intestinal</w:t>
            </w:r>
          </w:p>
        </w:tc>
        <w:tc>
          <w:tcPr>
            <w:tcW w:w="2521" w:type="dxa"/>
            <w:vAlign w:val="top"/>
          </w:tcPr>
          <w:p>
            <w:pPr>
              <w:pStyle w:val="TabelaTexto"/>
              <w:jc w:val="left"/>
            </w:pPr>
            <w:r>
              <w:t xml:space="preserve">Endometriose profunda infiltrativa</w:t>
            </w:r>
          </w:p>
        </w:tc>
        <w:tc>
          <w:tcPr>
            <w:tcW w:w="2100" w:type="dxa"/>
            <w:vAlign w:val="top"/>
          </w:tcPr>
          <w:p>
            <w:pPr>
              <w:pStyle w:val="TabelaTexto"/>
              <w:jc w:val="left"/>
            </w:pPr>
            <w:r>
              <w:t xml:space="preserve">Incidência de infertilidade e manifestações álgicas (dismenorreia, dispareunia, disquezia menstrual e disúria)</w:t>
            </w:r>
          </w:p>
        </w:tc>
        <w:tc>
          <w:tcPr>
            <w:tcW w:w="3221" w:type="dxa"/>
            <w:vAlign w:val="top"/>
          </w:tcPr>
          <w:p>
            <w:pPr>
              <w:pStyle w:val="TabelaTexto"/>
              <w:jc w:val="left"/>
            </w:pPr>
            <w:r>
              <w:t xml:space="preserve">Infertilidade documentada em 43,8% da amostra; alta prevalência de dismenorreia severa (84,7%), dispareunia profunda (69,1%) e sintomas de acometimento compartimental posterior como disquezia cíclica (60,7%).</w:t>
            </w:r>
          </w:p>
        </w:tc>
      </w:tr>
      <w:tr>
        <w:trPr>
          <w:cantSplit/>
        </w:trPr>
        <w:tc>
          <w:tcPr>
            <w:tcW w:w="2100" w:type="dxa"/>
            <w:vAlign w:val="top"/>
          </w:tcPr>
          <w:p>
            <w:pPr>
              <w:pStyle w:val="TabelaTexto"/>
              <w:jc w:val="left"/>
            </w:pPr>
            <w:r>
              <w:t xml:space="preserve">Bonachea-Peña et al., 2021 [12]</w:t>
            </w:r>
          </w:p>
        </w:tc>
        <w:tc>
          <w:tcPr>
            <w:tcW w:w="1260" w:type="dxa"/>
            <w:vAlign w:val="top"/>
          </w:tcPr>
          <w:p>
            <w:pPr>
              <w:pStyle w:val="TabelaTextoCentro"/>
              <w:jc w:val="center"/>
            </w:pPr>
            <w:r>
              <w:t xml:space="preserve">Cuba</w:t>
            </w:r>
          </w:p>
        </w:tc>
        <w:tc>
          <w:tcPr>
            <w:tcW w:w="2801" w:type="dxa"/>
            <w:vAlign w:val="top"/>
          </w:tcPr>
          <w:p>
            <w:pPr>
              <w:pStyle w:val="TabelaTexto"/>
              <w:jc w:val="left"/>
            </w:pPr>
            <w:r>
              <w:t xml:space="preserve">Transversal; 123 mulheres em idade fértil internadas com quadro de dor pélvica crônica ginecológica</w:t>
            </w:r>
          </w:p>
        </w:tc>
        <w:tc>
          <w:tcPr>
            <w:tcW w:w="2521" w:type="dxa"/>
            <w:vAlign w:val="top"/>
          </w:tcPr>
          <w:p>
            <w:pPr>
              <w:pStyle w:val="TabelaTexto"/>
              <w:jc w:val="left"/>
            </w:pPr>
            <w:r>
              <w:t xml:space="preserve">Diagnóstico laparoscópico e anatomopatológico de afecções pélvicas</w:t>
            </w:r>
          </w:p>
        </w:tc>
        <w:tc>
          <w:tcPr>
            <w:tcW w:w="2100" w:type="dxa"/>
            <w:vAlign w:val="top"/>
          </w:tcPr>
          <w:p>
            <w:pPr>
              <w:pStyle w:val="TabelaTexto"/>
              <w:jc w:val="left"/>
            </w:pPr>
            <w:r>
              <w:t xml:space="preserve">Associação entre dor pélvica, tipologia etiológica e infertilidade secundária/paridade</w:t>
            </w:r>
          </w:p>
        </w:tc>
        <w:tc>
          <w:tcPr>
            <w:tcW w:w="3221" w:type="dxa"/>
            <w:vAlign w:val="top"/>
          </w:tcPr>
          <w:p>
            <w:pPr>
              <w:pStyle w:val="TabelaTexto"/>
              <w:jc w:val="left"/>
            </w:pPr>
            <w:r>
              <w:t xml:space="preserve">A endometriose constituiu a causa prevalente de dor ginecológica incapacitante; paradoxalmente, a maioria das pacientes acometidas era multípara, evidenciando declínio de fertilidade secundário ao avanço lesional.</w:t>
            </w:r>
          </w:p>
        </w:tc>
      </w:tr>
      <w:tr>
        <w:trPr>
          <w:cantSplit/>
        </w:trPr>
        <w:tc>
          <w:tcPr>
            <w:tcW w:w="2100" w:type="dxa"/>
            <w:vAlign w:val="top"/>
          </w:tcPr>
          <w:p>
            <w:pPr>
              <w:pStyle w:val="TabelaTexto"/>
              <w:jc w:val="left"/>
            </w:pPr>
            <w:r>
              <w:t xml:space="preserve">Caran et al., 2021 [2]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análise morfológica estrita de 706 embriões de 162 pacientes (472 de controles e 234 com endometriose peritoneal)</w:t>
            </w:r>
          </w:p>
        </w:tc>
        <w:tc>
          <w:tcPr>
            <w:tcW w:w="2521" w:type="dxa"/>
            <w:vAlign w:val="top"/>
          </w:tcPr>
          <w:p>
            <w:pPr>
              <w:pStyle w:val="TabelaTexto"/>
              <w:jc w:val="left"/>
            </w:pPr>
            <w:r>
              <w:t xml:space="preserve">Endometriose peritoneal superficial exclusiva</w:t>
            </w:r>
          </w:p>
        </w:tc>
        <w:tc>
          <w:tcPr>
            <w:tcW w:w="2100" w:type="dxa"/>
            <w:vAlign w:val="top"/>
          </w:tcPr>
          <w:p>
            <w:pPr>
              <w:pStyle w:val="TabelaTexto"/>
              <w:jc w:val="left"/>
            </w:pPr>
            <w:r>
              <w:t xml:space="preserve">Qualidade embrionária graduada (Graded Embryo Score), fertilização normal, implantação e taxas de concepção</w:t>
            </w:r>
          </w:p>
        </w:tc>
        <w:tc>
          <w:tcPr>
            <w:tcW w:w="3221" w:type="dxa"/>
            <w:vAlign w:val="top"/>
          </w:tcPr>
          <w:p>
            <w:pPr>
              <w:pStyle w:val="TabelaTexto"/>
              <w:jc w:val="left"/>
            </w:pPr>
            <w:r>
              <w:t xml:space="preserve">A endometriose peritoneal superficial isolada não comprometeu o desenvolvimento embrionário precoce, apresentando escores morfológicos, implantação e taxas de gravidez equivalentes aos controles sadios.</w:t>
            </w:r>
          </w:p>
        </w:tc>
      </w:tr>
      <w:tr>
        <w:trPr>
          <w:cantSplit/>
        </w:trPr>
        <w:tc>
          <w:tcPr>
            <w:tcW w:w="2100" w:type="dxa"/>
            <w:vAlign w:val="top"/>
          </w:tcPr>
          <w:p>
            <w:pPr>
              <w:pStyle w:val="TabelaTexto"/>
              <w:jc w:val="left"/>
            </w:pPr>
            <w:r>
              <w:t xml:space="preserve">Giorgi et al., 2021 [5]</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Experimental prospectivo; maturação in vitro de 883 zigotos bovinos expostos a fluido folicular humano</w:t>
            </w:r>
          </w:p>
        </w:tc>
        <w:tc>
          <w:tcPr>
            <w:tcW w:w="2521" w:type="dxa"/>
            <w:vAlign w:val="top"/>
          </w:tcPr>
          <w:p>
            <w:pPr>
              <w:pStyle w:val="TabelaTexto"/>
              <w:jc w:val="left"/>
            </w:pPr>
            <w:r>
              <w:t xml:space="preserve">Fluido folicular obtido de mulheres com endometriose leve (n=11) vs. doadoras sadias (n=11)</w:t>
            </w:r>
          </w:p>
        </w:tc>
        <w:tc>
          <w:tcPr>
            <w:tcW w:w="2100" w:type="dxa"/>
            <w:vAlign w:val="top"/>
          </w:tcPr>
          <w:p>
            <w:pPr>
              <w:pStyle w:val="TabelaTexto"/>
              <w:jc w:val="left"/>
            </w:pPr>
            <w:r>
              <w:t xml:space="preserve">Tax</w:t>
            </w:r>
          </w:p>
        </w:tc>
      </w:tr>
    </w:tbl>
    <w:p>
      <w:pPr>
        <w:sectPr>
          <w:headerReference w:type="default" r:id="rIdCabecalho"/>
          <w:pgSz w:w="16838" w:h="11906" w:orient="landscape"/>
          <w:pgMar w:top="1701" w:right="1134" w:bottom="1134" w:left="1701" w:header="709" w:footer="709" w:gutter="0"/>
        </w:sectPr>
      </w:pPr>
    </w:p>
    <w:p>
      <w:pPr>
        <w:pStyle w:val="Titulo1"/>
      </w:pPr>
      <w:r>
        <w:rPr>
          <w:b/>
        </w:rPr>
        <w:t xml:space="preserve">4 Discussão</w:t>
      </w:r>
    </w:p>
    <w:p>
      <w:pPr>
        <w:pStyle w:val="Titulo2"/>
      </w:pPr>
      <w:r>
        <w:rPr>
          <w:b/>
        </w:rPr>
        <w:t xml:space="preserve">4.1 Síntese e interpretação analítica dos achados à luz do eixo reprodutivo</w:t>
      </w:r>
    </w:p>
    <w:p>
      <w:pPr>
        <w:pStyle w:val="Normal"/>
      </w:pPr>
      <w:r>
        <w:t xml:space="preserve">Esta revisão investigou de que maneira a endometriose afeta a integridade do eixo reprodutivo feminino e os parâmetros de fertilidade em mulheres em idade fértil. A análise integrada dos 30 estudos primários selecionados evidencia que a afecção desestrutura a homeostase reprodutiva em múltiplos níveis: reduz a reserva folicular ovariana, compromete a competência funcional dos oócitos e distorce a resposta à estimulação exógena, embora não inviabilize de modo uniforme os desfechos clínicos duros de gestação quando se alcança o estágio de transferência embrionária euploide.</w:t>
      </w:r>
    </w:p>
    <w:p>
      <w:pPr>
        <w:pStyle w:val="Normal"/>
      </w:pPr>
      <w:r>
        <w:t xml:space="preserve">No nível gonadal, pacientes com endometriose moderada a grave (estágios III e IV) sofrem declínio prematuro em biomarcadores substitutos da reserva ovariana, especialmente o hormônio antimülleriano (HAM) e a contagem de folículos antrais (CFA), em comparação a controles pareados por idade [1,15,16,28]. Em coorte prospectiva mexicana com 178 participantes, mulheres portadoras de doença avançada apresentaram HAM médio de 1,6 ± 1,3 ng/mL frente a 2,5 ± 1,4 ng/mL no grupo controle (p &lt; 0,005), paralelamente a um encolhimento expressivo da CFA de 11,4 ± 8,3 contra 17,5 ± 10,3 (p &lt; 0,001) [1]. Na mesma direção, coorte transversal brasileira identificou mediana de HAM de 0,66 ng/mL entre portadoras soropositivas para autoanticorpos antitireoidianos versus 1,37 ng/mL nas soronegativas (p = 0,09) [3]. Esse padrão sinaliza uma depleção folicular intensificada quando o microambiente endometriótico converge com processos de desregulação imune [3].</w:t>
      </w:r>
    </w:p>
    <w:p>
      <w:pPr>
        <w:pStyle w:val="Normal"/>
      </w:pPr>
      <w:r>
        <w:t xml:space="preserve">Essa perda quantitativa limita o rendimento dos ciclos de reprodução assistida. Em coorte abrangendo 3.517 pacientes, a prevalência de baixa reserva ovariana (HAM &lt; 1,1 ng/mL) atingiu 26,23% nas mulheres submetidas a cistectomia, taxa nitidamente superior à daquelas sob manejo não cirúrgico (12,90%) e à dos controles sem afecção gonadal (13,56%) [23]. O estudo mexicano ratificou esse estrangulamento quantitativo ao verificar menor recrutamento de folículos totais (16,2 ± 8,8 versus 23,1 ± 9,7; p &lt; 0,001) e colheita ovocitária deprimida (7,3 ± 5,1 versus 10,4 ± 4,6; p &lt; 0,001) no estadiamento III-IV [1]. O decréscimo desses marcadores laboratoriais intermediários traduz uma contração direta do contingente ovocitário disponível para procedimentos de fertilização in vitro.</w:t>
      </w:r>
    </w:p>
    <w:p>
      <w:pPr>
        <w:pStyle w:val="Normal"/>
      </w:pPr>
      <w:r>
        <w:t xml:space="preserve">Os danos ultrapassam a reserva ovariana e atingem a qualidade citoplasmática e molecular dos gametas. Em ensaio funcional controlado, a exposição ao fluido folicular de pacientes com doença incipiente derrubou a taxa de eclosão de blastocistos para 12,5%, contrastando com 42,1% no controle sadio (p = 0,029); a suplementação antioxidante com N-acetil-cisteína restabeleceu a taxa de eclosão para 44,4% (p = 0,02) [5]. O achado confirma que o estresse oxidativo e a lipoperoxidação intrafolicular desestabilizam o desenvolvimento embrionário precoce [5]. Em nível genômico, sequenciamentos de célula única demonstraram que o endometrioma perturba a atividade translacional dos oócitos, desregulando checkpoints meióticos, o complexo do spliceossomo e vias de resposta oxidativa [22]. Essa desorganização ultraestrutural manifesta-se morfologicamente: 92 ciclos de injeção intracitoplasmática revelaram índice de desbalanço morfológico ovocitário (AOQI) de 1,50 nas portadoras de endometrioma, valor superior a 1,00 observado na infertilidade inexplicada (p = 0,037), equiparável à injúria observada na reserva diminuída (1,42) e inversamente correlacionado às concentrações de HAM (r = -0,242; p = 0,02) [18].</w:t>
      </w:r>
    </w:p>
    <w:p>
      <w:pPr>
        <w:pStyle w:val="Normal"/>
      </w:pPr>
      <w:r>
        <w:t xml:space="preserve">Torna-se imperativo discriminar desfechos substitutos laboratoriais de desfechos clínicos duros. Enquanto os parâmetros substitutos (HAM, CFA e oócitos recuperados) declinam de modo consistente, as taxas de gestação clínica e de nascidos vivos exibem comportamento divergente dependendo da gravidade e da seleção embrionária. Em coorte francesa, a taxa de gravidez em curso manteve-se inalterada no grupo global com endometriose, muito embora o desfecho cumulativo por casal tenha decaído nos fenótipos com infiltração profunda (p &lt; 0,05) [28]. Sob outra abordagem, a análise de 625 ciclos submetidos a teste genético pré-implantacional revelou que, a despeito de uma taxa significativamente superior de aneuploidias nos blastocistos gerados por mulheres com endometriose (p = 0,012), as taxas de implantação, gestação clínica e nascidos vivos foram idênticas às dos controles após a transferência de blastocistos euploides [27]. Portanto, quando se supera o filtro da competência genética do embrião, o endométrio dessas mulheres preserva capacidade adequada de sustentação gestacional.</w:t>
      </w:r>
    </w:p>
    <w:p>
      <w:pPr>
        <w:pStyle w:val="Titulo2"/>
      </w:pPr>
      <w:r>
        <w:rPr>
          <w:b/>
        </w:rPr>
        <w:t xml:space="preserve">4.2 Confronto dialético e mecanismos biológicos da afecção</w:t>
      </w:r>
    </w:p>
    <w:p>
      <w:pPr>
        <w:pStyle w:val="Normal"/>
      </w:pPr>
      <w:r>
        <w:t xml:space="preserve">A literatura exibe consenso quanto à perda folicular quantitativa, mas polariza-se quando os desfechos analisados migram de parâmetros laboratoriais intermediários para desfechos clínicos centrados na paciente. Investigações clássicas reportam quedas drásticas nas taxas de gravidez clínica em portadoras de endometrioma ou operadas previamente quando contrastadas a controles com obstrução tubária pura [21,26,29,30]. Em sentido oposto, estudos contemporâneos atestam equivalência nas taxas de fertilização, qualidade morfológica de clivagem e nascidos vivos, especialmente nos quadros de lesão peritoneal inicial [2,25]. Essa discrepância decorre de heterogeneidades clínicas essenciais: casuísticas que apontam piores desfechos agregam endometriomas bilaterais volumosos, estadiamento cirúrgico severo e reintervenções ovarianas [21,23,26], enquanto coortes que registram equivalência analisam lesões superficiais em faixas etárias mais jovens, nas quais a robustez da reserva gonadal residual compensa os insultos pontuais [2,25].</w:t>
      </w:r>
    </w:p>
    <w:p>
      <w:pPr>
        <w:pStyle w:val="Normal"/>
      </w:pPr>
      <w:r>
        <w:t xml:space="preserve">A doença peritoneal superficial não deve ser tratada como afecção biologicamente silenciosa. Mulheres com implantes peritoneais isolados apresentaram títulos séricos de HAM deprimidos frente a controles saudáveis (p = 0,009), paralelamente a aumentos expressivos de interleucina 17 (IL-17), interleucina 23 (IL-23) e TNF-α no fluido peritoneal [20]. O dado refuta o conceito de que a destruição folicular resulte puramente da compressão tecidual gerada pelo cisto: citocinas inflamatórias difundidas a partir do peritônio agridem o córtex gonadal por sinalização parácrina e estresse oxidativo vascular crônico [20]. No entanto, a comparação da inflamação sistêmica entre os estudos primários sofre com discrepâncias laboratoriais severas. Ensaios de proteína C-reativa (PCR) variam entre métodos ultrassensíveis que marcam limiares patológicos a partir de 8,2 mg/L e ensaios convencionais que estabelecem cortes em 100 mg/L (frequentemente expressos como 10 mg/dL, obedecendo à equivalência analítica de 1 mg/dL = 10 mg/L). Essa divergência de doze vezes decorre de plataformas não comparáveis e prejudica o mapeamento da resposta inflamatória entre coortes ambulatoriais e cirúrgicas.</w:t>
      </w:r>
    </w:p>
    <w:p>
      <w:pPr>
        <w:pStyle w:val="Normal"/>
      </w:pPr>
      <w:r>
        <w:t xml:space="preserve">Vieses epidemiológicos e assimetrias regionais de acesso em saúde aprofundam a divergência dos desfechos clínicos. Em populações latino-americanas, o diagnóstico postergado por anos transfere pacientes para centros de alta complexidade em estados de avançada destruição pélvica. Em coorte venezuelana, 97,83% das pacientes diagnosticadas enfrentavam infertilidade, perfazendo razão de risco de 6,65 para esse desfecho [4]. Em paralelo, coorte brasileira com 227 pacientes registrou infertilidade em 43,8% da casuística, paralelamente a taxas elevadas de dismenorreia grave (84,7%) e dor crônica incapacitante [11]. Essa sobrecarga estrutural contrasta com casuísticas do norte da Europa, onde intervenções terapêuticas mais precoces atenuam o dano cicatricial tubário e gonadal.</w:t>
      </w:r>
    </w:p>
    <w:p>
      <w:pPr>
        <w:pStyle w:val="Normal"/>
      </w:pPr>
      <w:r>
        <w:t xml:space="preserve">No âmbito terapêutico, a escolha entre intervenção excisional e protocolos especializados de reprodução assistida define trajetórias reprodutivas discordantes. Em portadoras de endometriose com reserva diminuída, a estimulação ovariana via protocolo ultralongo com agonista de GnRH rendeu taxa cumulativa de nascidos vivos de 48,5%, superando o protocolo longo tradicional (OR: 0,577; p = 0,042), o protocolo curto (OR: 0,608; p = 0,028) e os esquemas com antagonista (OR: 0,486; p = 0,004) [17]. A dessensibilização hipofisária prolongada arrefece a secreção de citocinas pélvicas e aprimora a sincronia do estroma ovariano [17]. Ademais, frente a endometriomas volumosos (≥4 cm), a escleroterapia com etanol alcançou taxa cumulativa de nascidos vivos de 65%, superando a cistectomia laparoscópica (29%) e o manejo expectante (30,8%) [24]. Esse contraste corrobora que a cistectomia excisional indiscriminada retira estroma cortical viável adjacente à pseudocápsula e impõe dano microvascular por eletrocoagulação hemostática, sacrificando folículos primordiais em troca de benefício exclusivamente cirúrgico [19,23,24].</w:t>
      </w:r>
    </w:p>
    <w:p>
      <w:pPr>
        <w:pStyle w:val="Titulo2"/>
      </w:pPr>
      <w:r>
        <w:rPr>
          <w:b/>
        </w:rPr>
        <w:t xml:space="preserve">4.3 Limitações metodológicas dos estudos incluídos e da revisão integrativa</w:t>
      </w:r>
    </w:p>
    <w:p>
      <w:pPr>
        <w:pStyle w:val="Normal"/>
      </w:pPr>
      <w:r>
        <w:t xml:space="preserve">Os estudos primários compilados apresentam limitações estruturais relevantes. Sobressaem delineamentos observacionais retrospectivos e transversais unicêntricos, suscetíveis a viés de seleção e viés de atrito amostral. Pacientes sintomáticas, com histórico de infertilidade refratária e dor intensa, buscam centros terciários e são sobrerrepresentadas nas coortes, distorcendo estimativas quando comparadas à população assintomática da comunidade. Constatam-se falhas de padronização nas descrições cirúrgicas: perdas sanguíneas e tempos operatórios são agrupados sem relato consistente da técnica de hemostasia ovariana (eletrocoagulação bipolar versus sutura hemostática), impedindo graduar a lesão iatrogênica imposta ao parênquima ovariano. Na esfera laboratorial, a falta de padronização internacional nos ensaios de HAM e nos ensaios de PCR fragiliza a síntese quantitativa entre coortes independentes. Em relação a esta própria revisão integrativa, a acentuada heterogeneidade clínica e metodológica dos estudos primários impossibilitou a condução de metanálise quantitativa formal com modelos de metarregressão, restringindo as conclusões ao escopo da síntese qualitativa e descritiva dos dados.</w:t>
      </w:r>
    </w:p>
    <w:p>
      <w:pPr>
        <w:pStyle w:val="Titulo2"/>
      </w:pPr>
      <w:r>
        <w:rPr>
          <w:b/>
        </w:rPr>
        <w:t xml:space="preserve">4.4 Implicações clínicas e lacunas para investigações futuras</w:t>
      </w:r>
    </w:p>
    <w:p>
      <w:pPr>
        <w:pStyle w:val="Normal"/>
      </w:pPr>
      <w:r>
        <w:t xml:space="preserve">No manejo clínico reprodutivo, distinguir desfechos substitutos de desfechos clínicos duros é mandatório para evitar iatrogenias. A diminuição isolada de HAM ou CFA não equivale a insucesso na gestação por ciclo estimulado, não justificando a indicação imediata de cirurgias ovarianas ablativas com o único propósito de melhorar marcadores basais. Pelo contrário: a abordagem deve priorizar a preservação prévia da fertilidade via criopreservação de oócitos e o emprego de esquemas de supressão inflamatória prolongada antes da fertilização in vitro. Nos casos em que a abordagem de endometriomas se impuser por dor incoercível, técnicas conservadoras como a escleroterapia ecoguiada ou a vaporização a laser mostram-se preferíveis à cistectomia excisional para preservar a reserva folicular.</w:t>
      </w:r>
    </w:p>
    <w:p>
      <w:pPr>
        <w:pStyle w:val="Normal"/>
      </w:pPr>
      <w:r>
        <w:t xml:space="preserve">A longo prazo, a agressão contínua sobre o parênquima gonadal antecipa a transição menopáusica e reduz a janela de fecundidade útil, elevando secundariamente os riscos osteometabólicos e cardiovasculares decorrentes do hipoestrogenismo prematuro e do estado inflamatório peritoneal crônico. Quanto às lacunas científicas, impõe-se a realização de ensaios clínicos prospectivos, multicêntricos e randomizados que comparem a escleroterapia de endometriomas contra a conduta expectante e a reprodução assistida imediata, adotando-se como desfecho primário obrigatório a taxa cumulativa de nascidos vivos por intenção de tratar e a evolução longitudinal da reserva ovariana em longo prazo.</w:t>
      </w:r>
    </w:p>
    <w:p>
      <w:pPr>
        <w:pStyle w:val="Titulo1"/>
      </w:pPr>
      <w:r>
        <w:rPr>
          <w:b/>
        </w:rPr>
        <w:t xml:space="preserve">5 Conclusão</w:t>
      </w:r>
    </w:p>
    <w:p>
      <w:pPr>
        <w:pStyle w:val="Normal"/>
      </w:pPr>
      <w:r>
        <w:t xml:space="preserve">A endometriose afeta a integridade do eixo reprodutivo feminino e os parâmetros de fertilidade por meio de três eixos fisiopatológicos articulados: distorção anatômica tubo-ovariana, inflamação crônica mediada por citocinas peritoneais e microambiente oxidativo intrafolicular desfavorável. Esses fatores culminam tanto no declínio de desfechos substitutos — evidenciado pela redução precoce dos níveis de hormônio antimülleriano e da contagem de folículos antrais — quanto no comprometimento de desfechos clínicos centrados na paciente, incluindo menor recuperação de oócitos maduros em metáfase II, pior cinética embrionária e taxas inferiores de implantação e de nascidos vivos cumulativos.</w:t>
      </w:r>
    </w:p>
    <w:p>
      <w:pPr>
        <w:pStyle w:val="Normal"/>
      </w:pPr>
      <w:r>
        <w:t xml:space="preserve">No entanto, a magnitude dessa interferência não é uniforme. O impacto clínico oscila substancialmente conforme o estadiamento anatômico da moléstia, a presença de endometriomas bilaterais e, de maneira crítica, a extensão de intervenções cirúrgicas excisionais prévias, que frequentemente impõem dano iatrogênico à reserva ovariana. Permanece incerto o real benefício reprodutivo de intervenções cirúrgicas ou medicamentosas em estágios iniciais assintomáticos, bem como a superioridade temporal de tratamentos conservadores versus o encaminhamento imediato para fertilização in vitro. O direcionamento terapêutico exige estratificação fenotípica individualizada, priorização da preservação oocitária e restrição de cistectomias intempestivas em mulheres com desejo gestacional futuro.</w:t>
      </w:r>
    </w:p>
    <w:p>
      <w:pPr>
        <w:pStyle w:val="Titulo1"/>
        <w:jc w:val="center"/>
      </w:pPr>
      <w:r>
        <w:rPr>
          <w:b/>
        </w:rPr>
        <w:t xml:space="preserve">Referências</w:t>
      </w:r>
    </w:p>
    <w:p>
      <w:pPr>
        <w:pStyle w:val="Referencia"/>
      </w:pPr>
      <w:r>
        <w:t xml:space="preserve">1. Molina Rodríguez R. Epidemiologia, clínica y evolución en pacientes con endometriosis. Rev Obstet Ginecol Venez. 2024;84(3):299-306. doi:10.51288/00840311.</w:t>
      </w:r>
    </w:p>
    <w:p>
      <w:pPr>
        <w:pStyle w:val="Referencia"/>
      </w:pPr>
      <w:r>
        <w:t xml:space="preserve">2. Pontes CFR, Chamié LP, Aguiar MM, Silva EJC, Leite DFB, Silva SALC, et al. Endometriose profunda: achados clínicos e epidemiológicos de mulheres diagnosticadas segundo critérios do International Deep Endometriosis Analysis Group (IDEA). Rev Bras Crescimento Desenvolv Hum. 2022;32(2):223-231. doi:10.36311/jhgd.v32.13312.</w:t>
      </w:r>
    </w:p>
    <w:p>
      <w:pPr>
        <w:pStyle w:val="Referencia"/>
      </w:pPr>
      <w:r>
        <w:t xml:space="preserve">3. Bonachea-Peña RR, Rodríguez-Arozarena C, González-Coca DB, Rodríguez-Chamizo C, Bonachea-Rodríguez M. Dolor pélvico crónico en mujeres. Arch Med Camaguey. 2021;25(4). Disponível em: http://scielo.sld.cu/scielo.php?script=sci_arttext&amp;pid=S1025-02552021000400006 [citado 2026 set 28]</w:t>
      </w:r>
    </w:p>
    <w:p>
      <w:pPr>
        <w:pStyle w:val="Referencia"/>
      </w:pPr>
      <w:r>
        <w:t xml:space="preserve">4. Cardozo-Henríquez V, Ávila-Berardi F, Cardozo-Belisario L, Rodríguez-Roque S. Endometriosis como causa de infertilidad. Rev Obstet Ginecol Venez. 2025;85(1):52-58. Disponível em: http://www.scielo.org.ve/scielo.php?script=sci_arttext&amp;pid=S0048-77322025000100052 [citado 2026 set 28]</w:t>
      </w:r>
    </w:p>
    <w:p>
      <w:pPr>
        <w:pStyle w:val="Referencia"/>
      </w:pPr>
      <w:r>
        <w:t xml:space="preserve">5. Pereira JO, Kulak Junior J. Exploring endometriosis before surgical treatment: unraveling pain, sexual function and quality of life patterns. Rev Bras Ginecol Obstet. 2025;47. doi:10.61622/rbgo/2025rbgo47.</w:t>
      </w:r>
    </w:p>
    <w:p>
      <w:pPr>
        <w:pStyle w:val="Referencia"/>
      </w:pPr>
      <w:r>
        <w:t xml:space="preserve">6. Nogueira Neto J, Melo VG, Lima LCS, Mendes ABC, Barreto FN, Gomes LMRS, et al. The impact of videolaparoscopic surgery in the treatment of endometriosis on depression levels. Rev Assoc Med Bras (1992). 2024;70(7). doi:10.1590/1806-9282.20231651.</w:t>
      </w:r>
    </w:p>
    <w:p>
      <w:pPr>
        <w:pStyle w:val="Referencia"/>
      </w:pPr>
      <w:r>
        <w:t xml:space="preserve">7. Sousa TL, Silva RM, Ribeiro LB, Pontes SS. O conhecimento de mulheres portadora de endometriose sobre a doença e o planejamento familiar. REVISA (Online). 2021;10(2):379-387. Disponível em: https://pesquisa.bvsalud.org/portal/resource/pt/biblio-1253819 [citado 2026 set 28]</w:t>
      </w:r>
    </w:p>
    <w:p>
      <w:pPr>
        <w:pStyle w:val="Referencia"/>
      </w:pPr>
      <w:r>
        <w:t xml:space="preserve">8. Giorgi VSI, Ferriani RA, Navarro PA. Fluido folicular de mulheres inférteis com endometriose leve prejudica o desenvolvimento in vitro de embriões bovinos: Potencial papel do estresse oxidativo. Rev Bras Ginecol Obstet. 2021;43(2):119-125. doi:10.1055/s-0040-1718443.</w:t>
      </w:r>
    </w:p>
    <w:p>
      <w:pPr>
        <w:pStyle w:val="Referencia"/>
      </w:pPr>
      <w:r>
        <w:t xml:space="preserve">9. Akay A, Dilbaz B, Engin-Üstün Y. Comparison of serum markers of inflammation in endometrioma and benign ovarian cysts. Rev Bras Ginecol Obstet. 2025;47. doi:10.61622/rbgo/2025rbgo58.</w:t>
      </w:r>
    </w:p>
    <w:p>
      <w:pPr>
        <w:pStyle w:val="Referencia"/>
      </w:pPr>
      <w:r>
        <w:t xml:space="preserve">10. Griffiths MJ, Brown ME, Gibson DA, Collins F, Dunlop CE, Saunders PTK, et al. Anti-Müllerian hormone decreased in women with superficial peritoneal endometriosis and associated with an elevated inflammatory profile. Reprod Fertil. 2026;7(2):RAF250127. doi:10.1530/RAF-25-0127. PMID: 42160260.</w:t>
      </w:r>
    </w:p>
    <w:p>
      <w:pPr>
        <w:pStyle w:val="Referencia"/>
      </w:pPr>
      <w:r>
        <w:t xml:space="preserve">11. Diao X, Huang J, Xiang R, Zhuang S, Liang Q, Liang X, et al. Single-cell dual-omics reveals translational and transcriptional landscapes and regulations in oocytes from ovarian endometriosis patients. Front Endocrinol (Lausanne). 2025;16:1534648. doi:10.3389/fendo.2025.1534648. PMID: 40034233.</w:t>
      </w:r>
    </w:p>
    <w:p>
      <w:pPr>
        <w:pStyle w:val="Referencia"/>
      </w:pPr>
      <w:r>
        <w:t xml:space="preserve">12. Bianco B, Loureiro FA, Trevisan CM, Christofolini DM, Laganà AS, Barbosa CP. Implication of FSHB rs10835638 variant in endometriosis in Brazilian women. Einstein (Sao Paulo). 2023;21. doi:10.31744/einstein_journal/2023ao0483.</w:t>
      </w:r>
    </w:p>
    <w:p>
      <w:pPr>
        <w:pStyle w:val="Referencia"/>
      </w:pPr>
      <w:r>
        <w:t xml:space="preserve">13. Souza ASR, Ferreira MER, Gomes RC, Rios SV, Chacon VO, Viana MAB, et al. Endometriosis, autoimmunity and ovarian reserve: a research note. Rev Bras Saude Mater Infant. 2025;25. doi:10.1590/1806-9304202520240276-en.</w:t>
      </w:r>
    </w:p>
    <w:p>
      <w:pPr>
        <w:pStyle w:val="Referencia"/>
      </w:pPr>
      <w:r>
        <w:t xml:space="preserve">14. Sorvia Naveda KD, Barros Delgadillo JC, Espino y Sosa S. Efecto de la endometriosis etapa III-IV en ciclos de reproducción asistida: FIV e ICSI. Ginecol Obstet Mex. 2024;92(12):501-509. Disponível em: https://www.scielo.org.mx/scielo.php?script=sci_arttext&amp;pid=S0300-90412024001200501 [citado 2026 set 28]</w:t>
      </w:r>
    </w:p>
    <w:p>
      <w:pPr>
        <w:pStyle w:val="Referencia"/>
      </w:pPr>
      <w:r>
        <w:t xml:space="preserve">15. Valenti M, Schliep KC, Paulsen M, Hemmert RB, Peterson CM, Furlong MA, et al. Incident endometriosis diagnosis and AMH: how surgical staging and typology relate to serum AMH levels. Am J Obstet Gynecol. 2026;234(5):1450-1458. doi:10.1016/j.ajog.2025.12.070. PMID: 41519422.</w:t>
      </w:r>
    </w:p>
    <w:p>
      <w:pPr>
        <w:pStyle w:val="Referencia"/>
      </w:pPr>
      <w:r>
        <w:t xml:space="preserve">16. Farland LV, Valenti M, Degnan WJ, Bertone-Johnson ER, Harris HR, DiVasta AD, et al. Laparoscopically confirmed endometriosis and anti-Müllerian hormone levels: Findings from the Nurses' Health Study II. Maturitas. 2024;183:107969. doi:10.1016/j.maturitas.2024.107969. PMID: 38489917.</w:t>
      </w:r>
    </w:p>
    <w:p>
      <w:pPr>
        <w:pStyle w:val="Referencia"/>
      </w:pPr>
      <w:r>
        <w:t xml:space="preserve">17. Lu R, Jiao W, Li X, Zeng C, Shang J, Xue Q. Ovarian endometriosis negatively impacts pregnancy outcomes in young infertile women undergoing IVF/ICSI treatment. Eur J Med Res. 2025;30(1):555. doi:10.1186/s40001-025-02816-9. PMID: 40604864.</w:t>
      </w:r>
    </w:p>
    <w:p>
      <w:pPr>
        <w:pStyle w:val="Referencia"/>
      </w:pPr>
      <w:r>
        <w:t xml:space="preserve">18. Zhang F, Chen Y, Lv C, Ni F, Yan L, Song J. A retrospective cohort study comparing controlled ovarian stimulation protocols for IVF/ICSI in women with endometriosis and diminished ovarian reserve. Front Endocrinol (Lausanne). 2026;17:1879193. doi:10.3389/fendo.2026.1879193. PMID: 42666230.</w:t>
      </w:r>
    </w:p>
    <w:p>
      <w:pPr>
        <w:pStyle w:val="Referencia"/>
      </w:pPr>
      <w:r>
        <w:t xml:space="preserve">19. Haque A, Primariawan RJ, Hendarto H. Comparison of success rates in early stages of in vitro fertilization (IVF) in women with and without endometriosis. Narra J. 2024;4(3):e1019. doi:10.52225/narra.v4i3.1019. PMID: 39816123.</w:t>
      </w:r>
    </w:p>
    <w:p>
      <w:pPr>
        <w:pStyle w:val="Referencia"/>
      </w:pPr>
      <w:r>
        <w:t xml:space="preserve">20. Qu H, Lv H, Kang Y, Yan L, Du Y. Reproductive outcomes of single frozen-thawed embryo transfer in patients with endometriosis after preimplantation genetic testing. J Assist Reprod Genet. 2024;41(2):429-435. doi:10.1007/s10815-023-02996-5. PMID: 38079077.</w:t>
      </w:r>
    </w:p>
    <w:p>
      <w:pPr>
        <w:pStyle w:val="Referencia"/>
      </w:pPr>
      <w:r>
        <w:t xml:space="preserve">21. Park JH, Kim SK, Jee BC. Average oocyte quality index as a method for scoring dysmorphic oocytes in women with ovarian endometrioma undergoing in vitro fertilization and its correlation with ovarian reserve. Clin Exp Reprod Med. 2026;53(3):219-225. doi:10.5653/cerm.2025.08438. PMID: 41560389.</w:t>
      </w:r>
    </w:p>
    <w:p>
      <w:pPr>
        <w:pStyle w:val="Referencia"/>
      </w:pPr>
      <w:r>
        <w:t xml:space="preserve">22. Caran J, Genro VK, Souza CAB, Cunha-Filho JS. Escore embrionário graduado em embriões de mulheres inférteis com e sem endometriose peritoneal. Rev Bras Ginecol Obstet. 2021;43(1):28-34. doi:10.1055/s-0040-1721855.</w:t>
      </w:r>
    </w:p>
    <w:p>
      <w:pPr>
        <w:pStyle w:val="Referencia"/>
      </w:pPr>
      <w:r>
        <w:t xml:space="preserve">23. Morcel K, Merviel P, Bouée S, Le Guillou M, Carlier M, James P, et al. What is the impact of endometriosis and the AFS stage on cumulative pregnancy rates in IVF programs? Reprod Health. 2024;21(1):13. doi:10.1186/s12978-024-01747-8. PMID: 38287446.</w:t>
      </w:r>
    </w:p>
    <w:p>
      <w:pPr>
        <w:pStyle w:val="Referencia"/>
      </w:pPr>
      <w:r>
        <w:t xml:space="preserve">24. Sánchez-Resendis Ó, Ávila-Morales J, Sánchez-Aguilar ÓE, Del Valle-Jiménez JH. Long-term management of pelvic pain with levonorgestrel in women with endometriosis who desire to postpone a future pregnancy and preserve their fertility. Case Series. Ginecol Obstet Mex. 2023;91(5):307-316. Disponível em: https://pesquisa.bvsalud.org/portal/resource/pt/biblio-1506265 [citado 2026 set 28]</w:t>
      </w:r>
    </w:p>
    <w:p>
      <w:pPr>
        <w:pStyle w:val="Referencia"/>
      </w:pPr>
      <w:r>
        <w:t xml:space="preserve">25. Feng Y, Yang X, Chen H, Zhang L, Cui C, Wang L, et al. Direct IVF versus prior laparoscopic cystectomy for ovarian endometrioma ≥4 cm: cumulative live birth rate and implications for fertility preservation - a retrospective cohort study. Front Endocrinol (Lausanne). 2026;17:1851907. doi:10.3389/fendo.2026.1851907. PMID: 42601902.</w:t>
      </w:r>
    </w:p>
    <w:p>
      <w:pPr>
        <w:pStyle w:val="Referencia"/>
      </w:pPr>
      <w:r>
        <w:t xml:space="preserve">26. Li Y, Gong Y, Jiang H, Ji M. Impact of endometriotic cystectomy on ovarian reserve function and ovulation induction outcomes in women with endometriosis undergoing assisted reproductive technology. Front Endocrinol (Lausanne). 2025;16:1687765. doi:10.3389/fendo.2025.1687765. PMID: 41635542.</w:t>
      </w:r>
    </w:p>
    <w:p>
      <w:pPr>
        <w:pStyle w:val="Referencia"/>
      </w:pPr>
      <w:r>
        <w:t xml:space="preserve">27. Şükür YE, Kaplan NB, Aslan B, Akgün N, Özmen B, Sönmezer M, et al. Optimal management of large endometriomas (≥ 4 cm) before IVF: ethanol sclerotherapy, cystectomy, or no intervention? BMC Womens Health. 2025;25(1):507. doi:10.1186/s12905-025-04069-4. PMID: 41121030.</w:t>
      </w:r>
    </w:p>
    <w:p>
      <w:pPr>
        <w:pStyle w:val="Referencia"/>
      </w:pPr>
      <w:r>
        <w:t xml:space="preserve">28. Hernández A, Sanz A, Spagnolo E, Lopez A, Martínez Jorge P, Iniesta S, et al. Impact of Ovarian Endometrioma and Surgery on Reproductive Outcomes: A Single-Center Spanish Cohort Study. Biomedicines. 2023;11(3):844. doi:10.3390/biomedicines11030844. PMID: 36979823.</w:t>
      </w:r>
    </w:p>
    <w:p>
      <w:pPr>
        <w:pStyle w:val="Referencia"/>
      </w:pPr>
      <w:r>
        <w:t xml:space="preserve">29. Nadă ES, Coroleucă CB, Coroleucă CA, Brătilă E. Ovarian Stimulation for In Vitro Fertilization and Reproductive Outcome after Surgical Treatment of Endometriosis Compared with Tubal Factor Infertility. Clin Pract. 2023;14(1):1-12. doi:10.3390/clinpract14010001. PMID: 38391397.</w:t>
      </w:r>
    </w:p>
    <w:p>
      <w:pPr>
        <w:pStyle w:val="Referencia"/>
      </w:pPr>
      <w:r>
        <w:t xml:space="preserve">30. Nadă ES, Coroleucă CA, Coroleucă CB, Brătilă E. Reproductive outcome after in vitro fertilization in endometriosis - key factors and implications. J Med Life. 2024;17(3):334-340. doi:10.25122/jml-2024-0114. PMID: 39044926.</w:t>
      </w:r>
    </w:p>
    <w:p>
      <w:pPr>
        <w:pStyle w:val="Referencia"/>
      </w:pPr>
      <w:r>
        <w:t xml:space="preserve">31. Page MJ, McKenzie JE, Bossuyt PM, Boutron I, Hoffmann TC, Mulrow CD, et al. The PRISMA 2020 statement: an updated guideline for reporting systematic reviews. BMJ. 2021;372:n71. doi:10.1136/bmj.n71. PMID: 33782057.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Repercussões da endometriose na integridade do eixo reprodutivo e nos desfechos de fertilidade: revisão integrativa da literatura</dc:title>
  <dc:creator>Autor</dc:creator>
  <cp:lastModifiedBy>Autor</cp:lastModifiedBy>
  <cp:revision>1</cp:revision>
  <dcterms:created xsi:type="dcterms:W3CDTF">2026-10-13T20:26:18Z</dcterms:created>
  <dcterms:modified xsi:type="dcterms:W3CDTF">2026-10-13T20:26:18Z</dcterms:modified>
</cp:coreProperties>
</file>