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Endometriose e Fertilidade: Revisão Integrativa dos Mecanismos Fisiopatológicos e Desfechos Reprodutivos</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Sintetizar as evidências sobre os mecanismos pelos quais a endometriose compromete a integridade do eixo reprodutivo e os parâmetros de fertilidade em mulheres em idade fértil. </w:t>
      </w:r>
      <w:r>
        <w:rPr>
          <w:b/>
        </w:rPr>
        <w:t xml:space="preserve">Métodos:</w:t>
      </w:r>
      <w:r>
        <w:t xml:space="preserve"> Revisão integrativa orientada pelo checklist PRISMA nas bases PubMed/MEDLINE, SciELO e LILACS (2021-2026). A qualidade metodológica dos 30 estudos selecionados foi avaliada criticamente por instrumentos do Joanna Briggs Institute e ferramentas Cochrane de risco de viés. Sem conflitos de interesse a declarar. </w:t>
      </w:r>
      <w:r>
        <w:rPr>
          <w:b/>
        </w:rPr>
        <w:t xml:space="preserve">Resultados:</w:t>
      </w:r>
      <w:r>
        <w:t xml:space="preserve"> A avaliação crítica evidenciou predominância de estudos de qualidade metodológica moderada a alta. A doença afeta a fertilidade por múltiplos mecanismos: inflamação peritoneal crônica, estresse oxidativo intrafolicular e aderências tubo-ovarianas. Houve declínio prematuro de biomarcadores da reserva folicular (hormônio antimülleriano e contagem de folículos antrais), agravado por endometriomas e cistectomias prévias. Em reprodução assistida, observou-se disfunção mitocondrial oocitária, menor rendimento de oócitos em metáfase II e taxas reduzidas de clivagem, implantação e nascidos vivos cumulativos. </w:t>
      </w:r>
      <w:r>
        <w:rPr>
          <w:b/>
        </w:rPr>
        <w:t xml:space="preserve">Conclusão:</w:t>
      </w:r>
      <w:r>
        <w:t xml:space="preserve"> A endometriose compromete a fertilidade pela associação de depleção folicular quantitativa e dano qualitativo oocitário, com gravidade variável segundo o estadiamento e a localização anatômica. A conduta exige individualização rigorosa, priorizando preservação da fertilidade e minimização de danos cirúrgicos ovarianos.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evidence regarding the mechanisms by which endometriosis compromises the female reproductive axis and fertility parameters in women of reproductive age. </w:t>
      </w:r>
      <w:r>
        <w:rPr>
          <w:b/>
        </w:rPr>
        <w:t xml:space="preserve">Methods:</w:t>
      </w:r>
      <w:r>
        <w:t xml:space="preserve"> Integrative review guided by the PRISMA checklist across PubMed/MEDLINE, SciELO, and LILACS (2021-2026). Methodological quality of the 30 included studies was critically appraised using Joanna Briggs Institute tools and Cochrane risk-of-bias instruments. No conflicts of interest declared. </w:t>
      </w:r>
      <w:r>
        <w:rPr>
          <w:b/>
        </w:rPr>
        <w:t xml:space="preserve">Results:</w:t>
      </w:r>
      <w:r>
        <w:t xml:space="preserve"> Critical appraisal revealed a predominance of moderate to high methodological quality. The disease affects fertility via multiple mechanisms: chronic peritoneal inflammation, intrafollicular oxidative stress, and tubo-ovarian adhesions. Premature decline in ovarian reserve biomarkers (anti-Müllerian hormone and antral follicle count) was identified, aggravated by endometriomas and previous cystectomies. In assisted reproduction technologies, oocyte mitochondrial dysfunction, lower metaphase II oocyte yield, and reduced cleavage, implantation, and cumulative live birth rates were observed. </w:t>
      </w:r>
      <w:r>
        <w:rPr>
          <w:b/>
        </w:rPr>
        <w:t xml:space="preserve">Conclusion:</w:t>
      </w:r>
      <w:r>
        <w:t xml:space="preserve"> Endometriosis impairs fertility through combined quantitative follicular depletion and qualitative oocyte compromise, with severity varying by disease stage and anatomical localization. Clinical management demands strict individualization, prioritizing fertility preservation and minimizing ovarian surgical damage.</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Contexto Clínico-Epidemiológico e Sobrecarga Reprodutiva</w:t>
      </w:r>
    </w:p>
    <w:p>
      <w:pPr>
        <w:pStyle w:val="Normal"/>
      </w:pPr>
      <w:r>
        <w:t xml:space="preserve">A endometriose caracteriza-se pela presença e proliferação ectópica de tecido endometrial funcional — estroma e glândulas — fora da cavidade uterina, desencadeando resposta inflamatória crônica tecidual e sistêmica. O agravo acomete aproximadamente 10% das mulheres em idade reprodutiva e incide em até metade daquelas submetidas à investigação diagnóstica de infertilidade [9,11]. A sintomatologia álgica, que combina dismenorreia severa, dispareunia de profundidade e dor pélvica crônica acíclica [9,11,12], converge com frequência para o comprometimento progressivo da fertilidade [4,11]. Agravam esse cenário atrasos diagnósticos sistemáticos e carências estruturais de aconselhamento reprodutivo [10,13], culminando em sofrimento psicossocial e degradação da qualidade de vida [8,10]. No parênquima ovariano, os endometriomas provocam estiramento mecânico, fibrose reativa e dano vascular ao córtex adjacente [9,15], lesando diretamente o contingente de folículos primordiais.</w:t>
      </w:r>
    </w:p>
    <w:p>
      <w:pPr>
        <w:pStyle w:val="Titulo2"/>
      </w:pPr>
      <w:r>
        <w:rPr>
          <w:b/>
        </w:rPr>
        <w:t xml:space="preserve">Desregulação do Eixo Reprodutivo e Dissociação de Desfechos</w:t>
      </w:r>
    </w:p>
    <w:p>
      <w:pPr>
        <w:pStyle w:val="Normal"/>
      </w:pPr>
      <w:r>
        <w:t xml:space="preserve">O impacto biológico da afecção ultrapassa a distorção anatômica pélvica e a obstrução tubária mecânica. No microambiente peritoneal e intrafolicular, a elevação de citocinas pró-inflamatórias (como TNF-α, IL-17 e IL-23) e o estresse oxidativo sustentado perturbam a esteroidogênese folicular, desregulam a maquinaria translacional dos oócitos e prejudicam a clivagem embrionária inicial [5,20,22]. Concomitantemente, constata-se expressivo declínio na reserva gonadal, mensurado pela redução do hormônio antimülleriano (AMH) e da contagem de folículos antrais [15,16] — efeito rotineiramente agravado pela ressecção cirúrgica excisional de cistos [19,23]. Emerge na literatura, contudo, uma dissociação clínica marcante entre desfechos laboratoriais substitutos e desfechos duros centrados na paciente. A redução quantitativa de biomarcadores de reserva e o menor rendimento ovocitário em ciclos estimulados nem sempre se traduzem em queda equivalente nas taxas de gravidez clínica ou de nascidos vivos cumulativos [1,2,19,25]. Enquanto parte dos estudos demonstra manutenção de taxas gestacionais apesar do menor resgate oocitário [1,19], coortes dedicadas à endometriose ovariana e profunda apontam redução real na implantação e aumento de aneuploidias [21,26,27,28], evidenciando que os efeitos da doença variam conforme a extensão do insulto inflamatório e o fenótipo clínico.</w:t>
      </w:r>
    </w:p>
    <w:p>
      <w:pPr>
        <w:pStyle w:val="Titulo2"/>
      </w:pPr>
      <w:r>
        <w:rPr>
          <w:b/>
        </w:rPr>
        <w:t xml:space="preserve">Lacuna Epistêmica e Objetivo</w:t>
      </w:r>
    </w:p>
    <w:p>
      <w:pPr>
        <w:pStyle w:val="Normal"/>
      </w:pPr>
      <w:r>
        <w:t xml:space="preserve">As divergências reportadas na literatura decorrem da heterogeneidade amostral, da multiplicidade de protocolos terapêuticos e da sobreposição entre o dano citotóxico primário da doença e as sequelas iatrogênicas de intervenções cirúrgicas prévias [17,21,24,26,28,30]. Permanece inconclusivo em que medida marcadores substitutos de resposta ovariana refletem com fidelidade o real potencial reprodutivo de mulheres afetadas. Diante da carência de sínteses integrativas que articulem as vias fisiopatológicas aos desfechos clínicos sob o rigor metodológico das diretrizes PRISMA 2020, este estudo tem como objetivo revisar criticamente a literatura sobre como a endometriose afeta a integridade do eixo reprodutivo feminino e os parâmetros de fertilidade em mulheres em idade fértil, discriminando os impactos sobre a reserva ovariana, a qualidade ovocitária e embrionária e as taxas cumulativas de nascidos vivos.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bibliográfica nas bases de dados eletrônicas identificou 153 registros primários (PubMed/MEDLINE: 96; SciELO: 16; LILACS: 41). Desses, 1 registro de menor relevância, segundo a ordenação de algoritmo da própria base, não foi recuperado para triagem. Após a exclusão de duplicatas (19), artigos sem resumo disponível (10) e registros não recuperados pelo limite de busca (1), 123 registros seguiram para triagem por título e resumo. Nessa fase, 31 foram excluídos pelos seguintes critérios: desenho não primário (13), temática desalinhada ao escopo (7), relatos de caso isolados (6) e ausência de dados de desfecho reprodutivo (5). Na reavaliação de 9 registros regionais inicialmente descartados, 6 foram reintegrados ao processo de análise. Dos 92 estudos avaliados na íntegra quanto à elegibilidade, 62 foram descartados por priorização de viabilidade temática. Os 30 estudos remanescentes tiveram metadados confirmados nas fontes primárias e atenderam integralmente aos critérios de inclusão, compondo o corpus analítico desta revisão (Figura 1).</w:t>
      </w:r>
    </w:p>
    <w:p>
      <w:pPr>
        <w:pStyle w:val="Legenda"/>
      </w:pPr>
      <w:r>
        <w:rPr>
          <w:b/>
        </w:rPr>
        <w:t xml:space="preserve">Figura 1 –</w:t>
      </w:r>
      <w:r>
        <w:t xml:space="preserve"> Fluxograma de identificação, triagem e inclusão dos estudos, estruturado segundo as diretrizes PRISMA</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Elaborado pelos autores a partir do protocolo PRISMA.</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[19]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FIV</w:t>
            </w:r>
          </w:p>
        </w:tc>
        <w:tc>
          <w:tcPr>
            <w:tcW w:w="2521" w:type="dxa"/>
            <w:vAlign w:val="top"/>
          </w:tcPr>
          <w:p>
            <w:pPr>
              <w:pStyle w:val="TabelaTexto"/>
              <w:jc w:val="left"/>
            </w:pPr>
            <w:r>
              <w:t xml:space="preserve">Endometrioma ovariano ≥4 cm manejado cirurgicamente (cistectomia laparoscópica) vs. não cirúrgico (cistos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A cistectomia prévia reduziu expressivamente o AMH e o total de oócitos colhidos, embora a taxa cumulativa de nascidos vivos tenha permanecido equiparável entre os braços cirúrgico e conservador.</w:t>
            </w:r>
          </w:p>
        </w:tc>
      </w:tr>
      <w:tr>
        <w:trPr>
          <w:cantSplit/>
        </w:trPr>
        <w:tc>
          <w:tcPr>
            <w:tcW w:w="2100" w:type="dxa"/>
            <w:vAlign w:val="top"/>
          </w:tcPr>
          <w:p>
            <w:pPr>
              <w:pStyle w:val="TabelaTexto"/>
              <w:jc w:val="left"/>
            </w:pPr>
            <w:r>
              <w:t xml:space="preserve">Griffiths et al., 2026 [20]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associada a endometriose ovariana (SPE+OE; n=23), comparadas a controles sem a doença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redução de AMH sérico frente aos controles; SPE correlacionou-se a concentrações peritoneais elevadas de IL-17, TNF-α e IL-23, associando o microambiente inflamatório à perda de reserva folicular.</w:t>
            </w:r>
          </w:p>
        </w:tc>
      </w:tr>
      <w:tr>
        <w:trPr>
          <w:cantSplit/>
        </w:trPr>
        <w:tc>
          <w:tcPr>
            <w:tcW w:w="2100" w:type="dxa"/>
            <w:vAlign w:val="top"/>
          </w:tcPr>
          <w:p>
            <w:pPr>
              <w:pStyle w:val="TabelaTexto"/>
              <w:jc w:val="left"/>
            </w:pPr>
            <w:r>
              <w:t xml:space="preserve">Park et al., 2026 [18]</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1 a 5 oócitos em metáfase II obtidos</w:t>
            </w:r>
          </w:p>
        </w:tc>
        <w:tc>
          <w:tcPr>
            <w:tcW w:w="2521" w:type="dxa"/>
            <w:vAlign w:val="top"/>
          </w:tcPr>
          <w:p>
            <w:pPr>
              <w:pStyle w:val="TabelaTexto"/>
              <w:jc w:val="left"/>
            </w:pPr>
            <w:r>
              <w:t xml:space="preserve">Endometrioma ovariano atual ou recorrente (34 ciclos), infertilidade inexplicada (26 ciclos) e baixa reserva ovariana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superior no grupo endometrioma (1,50) em relação à infertilidade inexplicada (1,00), aproximando-se do grupo com baixa reserva (1,42); o AMH correlacionou-se inversamente com o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(18–44 anos) submetidas a cirurgia ginecológica</w:t>
            </w:r>
          </w:p>
        </w:tc>
        <w:tc>
          <w:tcPr>
            <w:tcW w:w="2521" w:type="dxa"/>
            <w:vAlign w:val="top"/>
          </w:tcPr>
          <w:p>
            <w:pPr>
              <w:pStyle w:val="TabelaTexto"/>
              <w:jc w:val="left"/>
            </w:pPr>
            <w:r>
              <w:t xml:space="preserve">Endometriose incidente confirmada cirurgicamente, estadiamento ASRM (I–IV) e subtipos (superficial, profunda, ovariana)</w:t>
            </w:r>
          </w:p>
        </w:tc>
        <w:tc>
          <w:tcPr>
            <w:tcW w:w="2100" w:type="dxa"/>
            <w:vAlign w:val="top"/>
          </w:tcPr>
          <w:p>
            <w:pPr>
              <w:pStyle w:val="TabelaTexto"/>
              <w:jc w:val="left"/>
            </w:pPr>
            <w:r>
              <w:t xml:space="preserve">Concentrações séricas pré-operatórias de AMH</w:t>
            </w:r>
          </w:p>
        </w:tc>
        <w:tc>
          <w:tcPr>
            <w:tcW w:w="3221" w:type="dxa"/>
            <w:vAlign w:val="top"/>
          </w:tcPr>
          <w:p>
            <w:pPr>
              <w:pStyle w:val="TabelaTexto"/>
              <w:jc w:val="left"/>
            </w:pPr>
            <w:r>
              <w:t xml:space="preserve">Endometriose estágio III-IV associou-se a AMH 40,1% menor; endometriomas ovarianos promoveram redução de 54,3%; o histórico de infertilidade intensificou o declínio (-72,6%).</w:t>
            </w:r>
          </w:p>
        </w:tc>
      </w:tr>
      <w:tr>
        <w:trPr>
          <w:cantSplit/>
        </w:trPr>
        <w:tc>
          <w:tcPr>
            <w:tcW w:w="2100" w:type="dxa"/>
            <w:vAlign w:val="top"/>
          </w:tcPr>
          <w:p>
            <w:pPr>
              <w:pStyle w:val="TabelaTexto"/>
              <w:jc w:val="left"/>
            </w:pPr>
            <w:r>
              <w:t xml:space="preserve">Zhang et al., 2026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FIV/ICSI em mulheres com endometriose e reserva ovariana diminuída</w:t>
            </w:r>
          </w:p>
        </w:tc>
        <w:tc>
          <w:tcPr>
            <w:tcW w:w="2521" w:type="dxa"/>
            <w:vAlign w:val="top"/>
          </w:tcPr>
          <w:p>
            <w:pPr>
              <w:pStyle w:val="TabelaTexto"/>
              <w:jc w:val="left"/>
            </w:pPr>
            <w:r>
              <w:t xml:space="preserve">Quatro protocolos de estimulação ovariana controlada (ultralongo, longo, curto e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com agonista ultralongo superou os demais esquemas, alcançando maiores taxas cumulativas de nascidos vivos (48,5%), nascidos vivos por ciclo (36,6%) e gravidez clínica (41,1%).</w:t>
            </w:r>
          </w:p>
        </w:tc>
      </w:tr>
      <w:tr>
        <w:trPr>
          <w:cantSplit/>
        </w:trPr>
        <w:tc>
          <w:tcPr>
            <w:tcW w:w="2100" w:type="dxa"/>
            <w:vAlign w:val="top"/>
          </w:tcPr>
          <w:p>
            <w:pPr>
              <w:pStyle w:val="TabelaTexto"/>
              <w:jc w:val="left"/>
            </w:pPr>
            <w:r>
              <w:t xml:space="preserve">Akay et al., 2025 [6]</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benignos não endometrióticos)</w:t>
            </w:r>
          </w:p>
        </w:tc>
        <w:tc>
          <w:tcPr>
            <w:tcW w:w="2521" w:type="dxa"/>
            <w:vAlign w:val="top"/>
          </w:tcPr>
          <w:p>
            <w:pPr>
              <w:pStyle w:val="TabelaTexto"/>
              <w:jc w:val="left"/>
            </w:pPr>
            <w:r>
              <w:t xml:space="preserve">Endometrioma ovariano comparado a cistos ovarianos benignos</w:t>
            </w:r>
          </w:p>
        </w:tc>
        <w:tc>
          <w:tcPr>
            <w:tcW w:w="2100" w:type="dxa"/>
            <w:vAlign w:val="top"/>
          </w:tcPr>
          <w:p>
            <w:pPr>
              <w:pStyle w:val="TabelaTexto"/>
              <w:jc w:val="left"/>
            </w:pPr>
            <w:r>
              <w:t xml:space="preserve">Reserva ovariana (FSH e AMH) e marcadores inflamatórios sistêmicos (RDW, NLR, PLR e leucócitos) pré e pós-operatórios</w:t>
            </w:r>
          </w:p>
        </w:tc>
        <w:tc>
          <w:tcPr>
            <w:tcW w:w="3221" w:type="dxa"/>
            <w:vAlign w:val="top"/>
          </w:tcPr>
          <w:p>
            <w:pPr>
              <w:pStyle w:val="TabelaTexto"/>
              <w:jc w:val="left"/>
            </w:pPr>
            <w:r>
              <w:t xml:space="preserve">Marcadores inflamatórios basais revelaram-se superiores no endometrioma, com elevação pós-operatória de NLR; o perfil inflamatório correlacionou-se ao diâmetro cístico, mas não ao estágio da doença ou ao AMH.</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endometriose</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Infertilidade e taxa de concepção</w:t>
            </w:r>
          </w:p>
        </w:tc>
        <w:tc>
          <w:tcPr>
            <w:tcW w:w="3221" w:type="dxa"/>
            <w:vAlign w:val="top"/>
          </w:tcPr>
          <w:p>
            <w:pPr>
              <w:pStyle w:val="TabelaTexto"/>
              <w:jc w:val="left"/>
            </w:pPr>
            <w:r>
              <w:t xml:space="preserve">Infertilidade documentada em 97,83% da coorte (risco 6,65 vezes maior); apenas 23,91% das mulheres engravidaram, com 90,91% dessas gestações obtidas exclusivamente por reprodução assistida.</w:t>
            </w:r>
          </w:p>
        </w:tc>
      </w:tr>
      <w:tr>
        <w:trPr>
          <w:cantSplit/>
        </w:trPr>
        <w:tc>
          <w:tcPr>
            <w:tcW w:w="2100" w:type="dxa"/>
            <w:vAlign w:val="top"/>
          </w:tcPr>
          <w:p>
            <w:pPr>
              <w:pStyle w:val="TabelaTexto"/>
              <w:jc w:val="left"/>
            </w:pPr>
            <w:r>
              <w:t xml:space="preserve">Diao et al., 2025 [22]</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Experimental/Translacional; oócitos humanos de pacientes com endometriose ovariana e controles com infertilidade tubária ou masculina</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de vesícula germinativa (GV)</w:t>
            </w:r>
          </w:p>
        </w:tc>
        <w:tc>
          <w:tcPr>
            <w:tcW w:w="3221" w:type="dxa"/>
            <w:vAlign w:val="top"/>
          </w:tcPr>
          <w:p>
            <w:pPr>
              <w:pStyle w:val="TabelaTexto"/>
              <w:jc w:val="left"/>
            </w:pPr>
            <w:r>
              <w:t xml:space="preserve">O endometrioma causou reprogramação translacional global nos gametas, desregulando vias de sinalização para estresse oxidativo, progressão meiótica e maquinário do spliceossomo.</w:t>
            </w:r>
          </w:p>
        </w:tc>
      </w:tr>
      <w:tr>
        <w:trPr>
          <w:cantSplit/>
        </w:trPr>
        <w:tc>
          <w:tcPr>
            <w:tcW w:w="2100" w:type="dxa"/>
            <w:vAlign w:val="top"/>
          </w:tcPr>
          <w:p>
            <w:pPr>
              <w:pStyle w:val="TabelaTexto"/>
              <w:jc w:val="left"/>
            </w:pPr>
            <w:r>
              <w:t xml:space="preserve">Li et al., 2025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em FIV/ICSI: controles (n=494), endometrioma não operado (n=217) e cistectomia prévia (n=122)</w:t>
            </w:r>
          </w:p>
        </w:tc>
        <w:tc>
          <w:tcPr>
            <w:tcW w:w="2521" w:type="dxa"/>
            <w:vAlign w:val="top"/>
          </w:tcPr>
          <w:p>
            <w:pPr>
              <w:pStyle w:val="TabelaTexto"/>
              <w:jc w:val="left"/>
            </w:pPr>
            <w:r>
              <w:t xml:space="preserve">Presença de endometrioma in situ vs. histórico de cistectomia ovariana</w:t>
            </w:r>
          </w:p>
        </w:tc>
        <w:tc>
          <w:tcPr>
            <w:tcW w:w="2100" w:type="dxa"/>
            <w:vAlign w:val="top"/>
          </w:tcPr>
          <w:p>
            <w:pPr>
              <w:pStyle w:val="TabelaTexto"/>
              <w:jc w:val="left"/>
            </w:pPr>
            <w:r>
              <w:t xml:space="preserve">Reserva ovariana (AFC, FSH, AMH), consumo de gonadotrofinas, total de oócitos captados e maduros (MII), incidência de DOR</w:t>
            </w:r>
          </w:p>
        </w:tc>
        <w:tc>
          <w:tcPr>
            <w:tcW w:w="3221" w:type="dxa"/>
            <w:vAlign w:val="top"/>
          </w:tcPr>
          <w:p>
            <w:pPr>
              <w:pStyle w:val="TabelaTexto"/>
              <w:jc w:val="left"/>
            </w:pPr>
            <w:r>
              <w:t xml:space="preserve">A cistectomia prévia acarretou queda expressiva da reserva folicular, maior taxa de baixa resposta ovariana (DOR) e necessidade de doses elevadas de gonadotrofinas frente aos grupos controle e não cirúrgico.</w:t>
            </w:r>
          </w:p>
        </w:tc>
      </w:tr>
      <w:tr>
        <w:trPr>
          <w:cantSplit/>
        </w:trPr>
        <w:tc>
          <w:tcPr>
            <w:tcW w:w="2100" w:type="dxa"/>
            <w:vAlign w:val="top"/>
          </w:tcPr>
          <w:p>
            <w:pPr>
              <w:pStyle w:val="TabelaTexto"/>
              <w:jc w:val="left"/>
            </w:pPr>
            <w:r>
              <w:t xml:space="preserve">Lu et al., 2025 [21]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endometrioma e 2.956 controles pareadas submetidas ao primeiro ciclo de FIV/ICSI</w:t>
            </w:r>
          </w:p>
        </w:tc>
        <w:tc>
          <w:tcPr>
            <w:tcW w:w="2521" w:type="dxa"/>
            <w:vAlign w:val="top"/>
          </w:tcPr>
          <w:p>
            <w:pPr>
              <w:pStyle w:val="TabelaTexto"/>
              <w:jc w:val="left"/>
            </w:pPr>
            <w:r>
              <w:t xml:space="preserve">Endometrioma ovariano estratificado por faixa etária (&lt;35 anos vs. ≥35 anos)</w:t>
            </w:r>
          </w:p>
        </w:tc>
        <w:tc>
          <w:tcPr>
            <w:tcW w:w="2100" w:type="dxa"/>
            <w:vAlign w:val="top"/>
          </w:tcPr>
          <w:p>
            <w:pPr>
              <w:pStyle w:val="TabelaTexto"/>
              <w:jc w:val="left"/>
            </w:pPr>
            <w:r>
              <w:t xml:space="preserve">Reserva ovariana (AMH, contagem de folículos antrais), taxa cumulativa de gravidez clínica e taxa de nascidos vivos</w:t>
            </w:r>
          </w:p>
        </w:tc>
        <w:tc>
          <w:tcPr>
            <w:tcW w:w="3221" w:type="dxa"/>
            <w:vAlign w:val="top"/>
          </w:tcPr>
          <w:p>
            <w:pPr>
              <w:pStyle w:val="TabelaTexto"/>
              <w:jc w:val="left"/>
            </w:pPr>
            <w:r>
              <w:t xml:space="preserve">O endometrioma deprimiu a reserva folicular e as taxas cumulativas de gravidez e nascidos vivos nas pacientes jovens (&lt;35 anos), sem efeito diferencial nas mulheres com idade ≥35 anos; o AMH figurou como preditor independente de nascido vivo.</w:t>
            </w:r>
          </w:p>
        </w:tc>
      </w:tr>
      <w:tr>
        <w:trPr>
          <w:cantSplit/>
        </w:trPr>
        <w:tc>
          <w:tcPr>
            <w:tcW w:w="2100" w:type="dxa"/>
            <w:vAlign w:val="top"/>
          </w:tcPr>
          <w:p>
            <w:pPr>
              <w:pStyle w:val="TabelaTexto"/>
              <w:jc w:val="left"/>
            </w:pPr>
            <w:r>
              <w:t xml:space="preserve">Pereira et al., 2025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avançada e indicação cirúrgica (mediana de 35 anos)</w:t>
            </w:r>
          </w:p>
        </w:tc>
        <w:tc>
          <w:tcPr>
            <w:tcW w:w="2521" w:type="dxa"/>
            <w:vAlign w:val="top"/>
          </w:tcPr>
          <w:p>
            <w:pPr>
              <w:pStyle w:val="TabelaTexto"/>
              <w:jc w:val="left"/>
            </w:pPr>
            <w:r>
              <w:t xml:space="preserve">Estadiamento ASRM III e IV</w:t>
            </w:r>
          </w:p>
        </w:tc>
        <w:tc>
          <w:tcPr>
            <w:tcW w:w="2100" w:type="dxa"/>
            <w:vAlign w:val="top"/>
          </w:tcPr>
          <w:p>
            <w:pPr>
              <w:pStyle w:val="TabelaTexto"/>
              <w:jc w:val="left"/>
            </w:pPr>
            <w:r>
              <w:t xml:space="preserve">Intensidade álgica, função sexual, escores de qualidade de vida e prevalência de infertilidade</w:t>
            </w:r>
          </w:p>
        </w:tc>
        <w:tc>
          <w:tcPr>
            <w:tcW w:w="3221" w:type="dxa"/>
            <w:vAlign w:val="top"/>
          </w:tcPr>
          <w:p>
            <w:pPr>
              <w:pStyle w:val="TabelaTexto"/>
              <w:jc w:val="left"/>
            </w:pPr>
            <w:r>
              <w:t xml:space="preserve">Mulheres nos estágios III e IV segregaram-se em dois fenótipos funcionais distintos de gravidade álgica e prejuízo à função sexual; a frequência de infertilidade permaneceu uniforme entre esses subgrupos.</w:t>
            </w:r>
          </w:p>
        </w:tc>
      </w:tr>
      <w:tr>
        <w:trPr>
          <w:cantSplit/>
        </w:trPr>
        <w:tc>
          <w:tcPr>
            <w:tcW w:w="2100" w:type="dxa"/>
            <w:vAlign w:val="top"/>
          </w:tcPr>
          <w:p>
            <w:pPr>
              <w:pStyle w:val="TabelaTexto"/>
              <w:jc w:val="left"/>
            </w:pPr>
            <w:r>
              <w:t xml:space="preserve">Souza et al., 2025 [3]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(18–49 anos) com diagnóstico firmado de endometriose</w:t>
            </w:r>
          </w:p>
        </w:tc>
        <w:tc>
          <w:tcPr>
            <w:tcW w:w="2521" w:type="dxa"/>
            <w:vAlign w:val="top"/>
          </w:tcPr>
          <w:p>
            <w:pPr>
              <w:pStyle w:val="TabelaTexto"/>
              <w:jc w:val="left"/>
            </w:pPr>
            <w:r>
              <w:t xml:space="preserve">Soropositividade para autoanticorpos tireoidianos (anti-TPO e anti-Tg)</w:t>
            </w:r>
          </w:p>
        </w:tc>
        <w:tc>
          <w:tcPr>
            <w:tcW w:w="2100" w:type="dxa"/>
            <w:vAlign w:val="top"/>
          </w:tcPr>
          <w:p>
            <w:pPr>
              <w:pStyle w:val="TabelaTexto"/>
              <w:jc w:val="left"/>
            </w:pPr>
            <w:r>
              <w:t xml:space="preserve">Reserva ovariana estimada por AMH e contagem de folículos antrais (AFC)</w:t>
            </w:r>
          </w:p>
        </w:tc>
        <w:tc>
          <w:tcPr>
            <w:tcW w:w="3221" w:type="dxa"/>
            <w:vAlign w:val="top"/>
          </w:tcPr>
          <w:p>
            <w:pPr>
              <w:pStyle w:val="TabelaTexto"/>
              <w:jc w:val="left"/>
            </w:pPr>
            <w:r>
              <w:t xml:space="preserve">Alta prevalência de autoimunidade tireoidiana associada à endometriose; não houve redução estatisticamente significante na reserva folicular, embora pacientes soropositivas tenham exibido tendência a menores valores medianos de AMH.</w:t>
            </w:r>
          </w:p>
        </w:tc>
      </w:tr>
      <w:tr>
        <w:trPr>
          <w:cantSplit/>
        </w:trPr>
        <w:tc>
          <w:tcPr>
            <w:tcW w:w="2100" w:type="dxa"/>
            <w:vAlign w:val="top"/>
          </w:tcPr>
          <w:p>
            <w:pPr>
              <w:pStyle w:val="TabelaTexto"/>
              <w:jc w:val="left"/>
            </w:pPr>
            <w:r>
              <w:t xml:space="preserve">Şükür et al., 2025 [24]</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com endometrioma ≥4 cm no primeiro ciclo de FIV</w:t>
            </w:r>
          </w:p>
        </w:tc>
        <w:tc>
          <w:tcPr>
            <w:tcW w:w="2521" w:type="dxa"/>
            <w:vAlign w:val="top"/>
          </w:tcPr>
          <w:p>
            <w:pPr>
              <w:pStyle w:val="TabelaTexto"/>
              <w:jc w:val="left"/>
            </w:pPr>
            <w:r>
              <w:t xml:space="preserve">Três condutas terapêuticas: conduta expectante (n=39), escleroterapia com etanol (n=20) e cistectomia laparoscópica (n=31)</w:t>
            </w:r>
          </w:p>
        </w:tc>
        <w:tc>
          <w:tcPr>
            <w:tcW w:w="2100" w:type="dxa"/>
            <w:vAlign w:val="top"/>
          </w:tcPr>
          <w:p>
            <w:pPr>
              <w:pStyle w:val="TabelaTexto"/>
              <w:jc w:val="left"/>
            </w:pPr>
            <w:r>
              <w:t xml:space="preserve">Taxa cumulativa de nascidos vivos, rendimento de oócitos e embriões, implantação e taxa de cancelamento de ciclo</w:t>
            </w:r>
          </w:p>
        </w:tc>
        <w:tc>
          <w:tcPr>
            <w:tcW w:w="3221" w:type="dxa"/>
            <w:vAlign w:val="top"/>
          </w:tcPr>
          <w:p>
            <w:pPr>
              <w:pStyle w:val="TabelaTexto"/>
              <w:jc w:val="left"/>
            </w:pPr>
            <w:r>
              <w:t xml:space="preserve">A escleroterapia com etanol preservou a reserva folicular e alcançou maior taxa cumulativa de nascidos vivos (65%), superando os braços de cistectomia cirúrgica e manejo expectante.</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vinculadas ao Nurses' Health Study II com dosagem de AMH</w:t>
            </w:r>
          </w:p>
        </w:tc>
        <w:tc>
          <w:tcPr>
            <w:tcW w:w="2521" w:type="dxa"/>
            <w:vAlign w:val="top"/>
          </w:tcPr>
          <w:p>
            <w:pPr>
              <w:pStyle w:val="TabelaTexto"/>
              <w:jc w:val="left"/>
            </w:pPr>
            <w:r>
              <w:t xml:space="preserve">Diagnóstico laparoscópico de endometriose</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Portadoras de endometriose exibiram AMH 29,6% menor em relação a mulheres sadias; a presença de sobrepeso/obesidade (IMC ≥25 kg/m²) intensificou essa redução para 44,0%.</w:t>
            </w:r>
          </w:p>
        </w:tc>
      </w:tr>
      <w:tr>
        <w:trPr>
          <w:cantSplit/>
        </w:trPr>
        <w:tc>
          <w:tcPr>
            <w:tcW w:w="2100" w:type="dxa"/>
            <w:vAlign w:val="top"/>
          </w:tcPr>
          <w:p>
            <w:pPr>
              <w:pStyle w:val="TabelaTexto"/>
              <w:jc w:val="left"/>
            </w:pPr>
            <w:r>
              <w:t xml:space="preserve">Haque et al., 2024 [25]</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ciclos de FIV (93 com endometriose e 317 sem a afecção)</w:t>
            </w:r>
          </w:p>
        </w:tc>
        <w:tc>
          <w:tcPr>
            <w:tcW w:w="2521" w:type="dxa"/>
            <w:vAlign w:val="top"/>
          </w:tcPr>
          <w:p>
            <w:pPr>
              <w:pStyle w:val="TabelaTexto"/>
              <w:jc w:val="left"/>
            </w:pPr>
            <w:r>
              <w:t xml:space="preserve">Diagnóstico clínico-cirúrgico de endometriose</w:t>
            </w:r>
          </w:p>
        </w:tc>
        <w:tc>
          <w:tcPr>
            <w:tcW w:w="2100" w:type="dxa"/>
            <w:vAlign w:val="top"/>
          </w:tcPr>
          <w:p>
            <w:pPr>
              <w:pStyle w:val="TabelaTexto"/>
              <w:jc w:val="left"/>
            </w:pPr>
            <w:r>
              <w:t xml:space="preserve">Rendimento ovocitário, maturação nuclear, taxas de fertilização, clivagem embrionária, gestação clínica e nascido vivo</w:t>
            </w:r>
          </w:p>
        </w:tc>
        <w:tc>
          <w:tcPr>
            <w:tcW w:w="3221" w:type="dxa"/>
            <w:vAlign w:val="top"/>
          </w:tcPr>
          <w:p>
            <w:pPr>
              <w:pStyle w:val="TabelaTexto"/>
              <w:jc w:val="left"/>
            </w:pPr>
            <w:r>
              <w:t xml:space="preserve">A doença reduziu a quantidade e a qualidade morfológica dos gametas resgatados; contudo, o desenvolvimento embrionário subsequente, a gravidez clínica e o nascido vivo não diferiram dos controles.</w:t>
            </w:r>
          </w:p>
        </w:tc>
      </w:tr>
      <w:tr>
        <w:trPr>
          <w:cantSplit/>
        </w:trPr>
        <w:tc>
          <w:tcPr>
            <w:tcW w:w="2100" w:type="dxa"/>
            <w:vAlign w:val="top"/>
          </w:tcPr>
          <w:p>
            <w:pPr>
              <w:pStyle w:val="TabelaTexto"/>
              <w:jc w:val="left"/>
            </w:pPr>
            <w:r>
              <w:t xml:space="preserve">Molina Rodríguez, 2024 [9]</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prontuários de 560 mulheres avaliadas em serviço terciário especializado</w:t>
            </w:r>
          </w:p>
        </w:tc>
        <w:tc>
          <w:tcPr>
            <w:tcW w:w="2521" w:type="dxa"/>
            <w:vAlign w:val="top"/>
          </w:tcPr>
          <w:p>
            <w:pPr>
              <w:pStyle w:val="TabelaTexto"/>
              <w:jc w:val="left"/>
            </w:pPr>
            <w:r>
              <w:t xml:space="preserve">Endometriose pélvica confirmada</w:t>
            </w:r>
          </w:p>
        </w:tc>
        <w:tc>
          <w:tcPr>
            <w:tcW w:w="2100" w:type="dxa"/>
            <w:vAlign w:val="top"/>
          </w:tcPr>
          <w:p>
            <w:pPr>
              <w:pStyle w:val="TabelaTexto"/>
              <w:jc w:val="left"/>
            </w:pPr>
            <w:r>
              <w:t xml:space="preserve">Idade diagnóstica, paridade, gravidade de dismenorreia, dispareunia e topografia das lesões ectópicas</w:t>
            </w:r>
          </w:p>
        </w:tc>
        <w:tc>
          <w:tcPr>
            <w:tcW w:w="3221" w:type="dxa"/>
            <w:vAlign w:val="top"/>
          </w:tcPr>
          <w:p>
            <w:pPr>
              <w:pStyle w:val="TabelaTexto"/>
              <w:jc w:val="left"/>
            </w:pPr>
            <w:r>
              <w:t xml:space="preserve">Concentração diagnóstica na faixa de 26 a 35 anos; nuliparidade documentada em 63,00% da amostra; dismenorreia primária em 63,07%; o ovário representou o sítio anatômico preponderante (78,70%).</w:t>
            </w:r>
          </w:p>
        </w:tc>
      </w:tr>
      <w:tr>
        <w:trPr>
          <w:cantSplit/>
        </w:trPr>
        <w:tc>
          <w:tcPr>
            <w:tcW w:w="2100" w:type="dxa"/>
            <w:vAlign w:val="top"/>
          </w:tcPr>
          <w:p>
            <w:pPr>
              <w:pStyle w:val="TabelaTexto"/>
              <w:jc w:val="left"/>
            </w:pPr>
            <w:r>
              <w:t xml:space="preserve">Morcel et al., 2024 [28]</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estratificados por gravidade e tipologia da doença</w:t>
            </w:r>
          </w:p>
        </w:tc>
        <w:tc>
          <w:tcPr>
            <w:tcW w:w="2521" w:type="dxa"/>
            <w:vAlign w:val="top"/>
          </w:tcPr>
          <w:p>
            <w:pPr>
              <w:pStyle w:val="TabelaTexto"/>
              <w:jc w:val="left"/>
            </w:pPr>
            <w:r>
              <w:t xml:space="preserve">Estágios da endometriose (ASRM I-II, III-IV sem endometrioma, endometrioma isolado e endometriose profunda infiltrativa)</w:t>
            </w:r>
          </w:p>
        </w:tc>
        <w:tc>
          <w:tcPr>
            <w:tcW w:w="2100" w:type="dxa"/>
            <w:vAlign w:val="top"/>
          </w:tcPr>
          <w:p>
            <w:pPr>
              <w:pStyle w:val="TabelaTexto"/>
              <w:jc w:val="left"/>
            </w:pPr>
            <w:r>
              <w:t xml:space="preserve">Taxas de gravidez clínica, gestação em curso e taxa cumulativa de gravidez por casal transferido</w:t>
            </w:r>
          </w:p>
        </w:tc>
        <w:tc>
          <w:tcPr>
            <w:tcW w:w="3221" w:type="dxa"/>
            <w:vAlign w:val="top"/>
          </w:tcPr>
          <w:p>
            <w:pPr>
              <w:pStyle w:val="TabelaTexto"/>
              <w:jc w:val="left"/>
            </w:pPr>
            <w:r>
              <w:t xml:space="preserve">A gravidez em curso por ciclo a fresco não divergiu dos controles; em contrapartida, as taxas cumulativas por casal decaíram acentuadamente no subgrupo acometido por endometriose profunda com nódulos infiltrativos.</w:t>
            </w:r>
          </w:p>
        </w:tc>
      </w:tr>
      <w:tr>
        <w:trPr>
          <w:cantSplit/>
        </w:trPr>
        <w:tc>
          <w:tcPr>
            <w:tcW w:w="2100" w:type="dxa"/>
            <w:vAlign w:val="top"/>
          </w:tcPr>
          <w:p>
            <w:pPr>
              <w:pStyle w:val="TabelaTexto"/>
              <w:jc w:val="left"/>
            </w:pPr>
            <w:r>
              <w:t xml:space="preserve">Nadă et al., 2024 [26]</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mulheres com endometriose e antecedente cirúrgico vs. fator tubário submetidas a FIV</w:t>
            </w:r>
          </w:p>
        </w:tc>
        <w:tc>
          <w:tcPr>
            <w:tcW w:w="2521" w:type="dxa"/>
            <w:vAlign w:val="top"/>
          </w:tcPr>
          <w:p>
            <w:pPr>
              <w:pStyle w:val="TabelaTexto"/>
              <w:jc w:val="left"/>
            </w:pPr>
            <w:r>
              <w:t xml:space="preserve">Endometriose operada, idade materna, AMH basal e regimes farmacológicos de estimulação ovariana</w:t>
            </w:r>
          </w:p>
        </w:tc>
        <w:tc>
          <w:tcPr>
            <w:tcW w:w="2100" w:type="dxa"/>
            <w:vAlign w:val="top"/>
          </w:tcPr>
          <w:p>
            <w:pPr>
              <w:pStyle w:val="TabelaTexto"/>
              <w:jc w:val="left"/>
            </w:pPr>
            <w:r>
              <w:t xml:space="preserve">Taxa de gravidez clínica confirmada por ultrassonografia</w:t>
            </w:r>
          </w:p>
        </w:tc>
        <w:tc>
          <w:tcPr>
            <w:tcW w:w="3221" w:type="dxa"/>
            <w:vAlign w:val="top"/>
          </w:tcPr>
          <w:p>
            <w:pPr>
              <w:pStyle w:val="TabelaTexto"/>
              <w:jc w:val="left"/>
            </w:pPr>
            <w:r>
              <w:t xml:space="preserve">O braço acometido por endometriose apresentou menor taxa de prenhez clínica frente ao fator tubário; idade e AMH atuaram como preditores independentes; o uso de corifolitropina alfa melhorou os desfechos clínicos.</w:t>
            </w:r>
          </w:p>
        </w:tc>
      </w:tr>
      <w:tr>
        <w:trPr>
          <w:cantSplit/>
        </w:trPr>
        <w:tc>
          <w:tcPr>
            <w:tcW w:w="2100" w:type="dxa"/>
            <w:vAlign w:val="top"/>
          </w:tcPr>
          <w:p>
            <w:pPr>
              <w:pStyle w:val="TabelaTexto"/>
              <w:jc w:val="left"/>
            </w:pPr>
            <w:r>
              <w:t xml:space="preserve">Nogueira Neto et al., 2024 [10]</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com endometriose submetidas a intervenção cirúrgica laparoscópica</w:t>
            </w:r>
          </w:p>
        </w:tc>
        <w:tc>
          <w:tcPr>
            <w:tcW w:w="2521" w:type="dxa"/>
            <w:vAlign w:val="top"/>
          </w:tcPr>
          <w:p>
            <w:pPr>
              <w:pStyle w:val="TabelaTexto"/>
              <w:jc w:val="left"/>
            </w:pPr>
            <w:r>
              <w:t xml:space="preserve">Laparoscopia excisional para endometriose</w:t>
            </w:r>
          </w:p>
        </w:tc>
        <w:tc>
          <w:tcPr>
            <w:tcW w:w="2100" w:type="dxa"/>
            <w:vAlign w:val="top"/>
          </w:tcPr>
          <w:p>
            <w:pPr>
              <w:pStyle w:val="TabelaTexto"/>
              <w:jc w:val="left"/>
            </w:pPr>
            <w:r>
              <w:t xml:space="preserve">Escore depressivo relacionado à dor e categorização da fertilidade</w:t>
            </w:r>
          </w:p>
        </w:tc>
        <w:tc>
          <w:tcPr>
            <w:tcW w:w="3221" w:type="dxa"/>
            <w:vAlign w:val="top"/>
          </w:tcPr>
          <w:p>
            <w:pPr>
              <w:pStyle w:val="TabelaTexto"/>
              <w:jc w:val="left"/>
            </w:pPr>
            <w:r>
              <w:t xml:space="preserve">A ressecção cirúrgica mitigou os escores depressivos; baixa fertilidade prévia foi observada em 50,9% das pacientes, coexistindo com estadiamento cirúrgico grave em 39,3% dos casos.</w:t>
            </w:r>
          </w:p>
        </w:tc>
      </w:tr>
      <w:tr>
        <w:trPr>
          <w:cantSplit/>
        </w:trPr>
        <w:tc>
          <w:tcPr>
            <w:tcW w:w="2100" w:type="dxa"/>
            <w:vAlign w:val="top"/>
          </w:tcPr>
          <w:p>
            <w:pPr>
              <w:pStyle w:val="TabelaTexto"/>
              <w:jc w:val="left"/>
            </w:pPr>
            <w:r>
              <w:t xml:space="preserve">Qu et al., 2024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ciclos com teste genético pré-implantacional para aneuploidias (PGT-A)</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Taxa de aneuploidia blastocitária, nascido vivo, perdas gestacionais clínicas e complicações obstétricas</w:t>
            </w:r>
          </w:p>
        </w:tc>
        <w:tc>
          <w:tcPr>
            <w:tcW w:w="3221" w:type="dxa"/>
            <w:vAlign w:val="top"/>
          </w:tcPr>
          <w:p>
            <w:pPr>
              <w:pStyle w:val="TabelaTexto"/>
              <w:jc w:val="left"/>
            </w:pPr>
            <w:r>
              <w:t xml:space="preserve">A presença de endometriose aumentou expressivamente a taxa de aneuploidia em blastocistos; não obstante, após a transferência de concepto euploide, as taxas de nascido vivo e abortamento equipararam-se aos controles.</w:t>
            </w:r>
          </w:p>
        </w:tc>
      </w:tr>
      <w:tr>
        <w:trPr>
          <w:cantSplit/>
        </w:trPr>
        <w:tc>
          <w:tcPr>
            <w:tcW w:w="2100" w:type="dxa"/>
            <w:vAlign w:val="top"/>
          </w:tcPr>
          <w:p>
            <w:pPr>
              <w:pStyle w:val="TabelaTexto"/>
              <w:jc w:val="left"/>
            </w:pPr>
            <w:r>
              <w:t xml:space="preserve">Sorvia Naveda et al., 2024 [1]</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inférteis: 89 com endometriose estágio III-IV e 89 controles com outras etiologias</w:t>
            </w:r>
          </w:p>
        </w:tc>
        <w:tc>
          <w:tcPr>
            <w:tcW w:w="2521" w:type="dxa"/>
            <w:vAlign w:val="top"/>
          </w:tcPr>
          <w:p>
            <w:pPr>
              <w:pStyle w:val="TabelaTexto"/>
              <w:jc w:val="left"/>
            </w:pPr>
            <w:r>
              <w:t xml:space="preserve">Endometriose avançada com endometriomas anexiais</w:t>
            </w:r>
          </w:p>
        </w:tc>
        <w:tc>
          <w:tcPr>
            <w:tcW w:w="2100" w:type="dxa"/>
            <w:vAlign w:val="top"/>
          </w:tcPr>
          <w:p>
            <w:pPr>
              <w:pStyle w:val="TabelaTexto"/>
              <w:jc w:val="left"/>
            </w:pPr>
            <w:r>
              <w:t xml:space="preserve">Marcadores de reserva folicular (AMH, AFC), oócitos totais e MII recuperados, implantação embrionária e nascido vivo</w:t>
            </w:r>
          </w:p>
        </w:tc>
        <w:tc>
          <w:tcPr>
            <w:tcW w:w="3221" w:type="dxa"/>
            <w:vAlign w:val="top"/>
          </w:tcPr>
          <w:p>
            <w:pPr>
              <w:pStyle w:val="TabelaTexto"/>
              <w:jc w:val="left"/>
            </w:pPr>
            <w:r>
              <w:t xml:space="preserve">Pacientes nos estágios III-IV apresentaram decréscimo de AMH, contagem antral e oócitos maduros; a taxa final de nascidos vivos por embrião transferido permaneceu análoga à do grupo controle.</w:t>
            </w:r>
          </w:p>
        </w:tc>
      </w:tr>
      <w:tr>
        <w:trPr>
          <w:cantSplit/>
        </w:trPr>
        <w:tc>
          <w:tcPr>
            <w:tcW w:w="2100" w:type="dxa"/>
            <w:vAlign w:val="top"/>
          </w:tcPr>
          <w:p>
            <w:pPr>
              <w:pStyle w:val="TabelaTexto"/>
              <w:jc w:val="left"/>
            </w:pPr>
            <w:r>
              <w:t xml:space="preserve">Bianco et al., 2023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cirúrgica e controles sem lesões à inspeção laparoscópica</w:t>
            </w:r>
          </w:p>
        </w:tc>
        <w:tc>
          <w:tcPr>
            <w:tcW w:w="2521" w:type="dxa"/>
            <w:vAlign w:val="top"/>
          </w:tcPr>
          <w:p>
            <w:pPr>
              <w:pStyle w:val="TabelaTexto"/>
              <w:jc w:val="left"/>
            </w:pPr>
            <w:r>
              <w:t xml:space="preserve">Polimorfismo rs10835638 no gene FSHB (c.-211G&gt;T) em subgrupos férteis e inférteis</w:t>
            </w:r>
          </w:p>
        </w:tc>
        <w:tc>
          <w:tcPr>
            <w:tcW w:w="2100" w:type="dxa"/>
            <w:vAlign w:val="top"/>
          </w:tcPr>
          <w:p>
            <w:pPr>
              <w:pStyle w:val="TabelaTexto"/>
              <w:jc w:val="left"/>
            </w:pPr>
            <w:r>
              <w:t xml:space="preserve">Suscetibilidade à progressão da doença e impacto na infertilidade feminina</w:t>
            </w:r>
          </w:p>
        </w:tc>
        <w:tc>
          <w:tcPr>
            <w:tcW w:w="3221" w:type="dxa"/>
            <w:vAlign w:val="top"/>
          </w:tcPr>
          <w:p>
            <w:pPr>
              <w:pStyle w:val="TabelaTexto"/>
              <w:jc w:val="left"/>
            </w:pPr>
            <w:r>
              <w:t xml:space="preserve">Frequências alélicas e genotípicas não divergiram globalmente entre casos e controles; o alelo T associou-se exclusivamente aos estágios mínimos/leves da doença, sem correlação com o fenótipo de infertilidade.</w:t>
            </w:r>
          </w:p>
        </w:tc>
      </w:tr>
      <w:tr>
        <w:trPr>
          <w:cantSplit/>
        </w:trPr>
        <w:tc>
          <w:tcPr>
            <w:tcW w:w="2100" w:type="dxa"/>
            <w:vAlign w:val="top"/>
          </w:tcPr>
          <w:p>
            <w:pPr>
              <w:pStyle w:val="TabelaTexto"/>
              <w:jc w:val="left"/>
            </w:pPr>
            <w:r>
              <w:t xml:space="preserve">Hernández et al., 2023 [29]</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pacientes de FIV: endometrioma in situ (n=124), cistectomia prévia (n=55) e controles (n=65)</w:t>
            </w:r>
          </w:p>
        </w:tc>
        <w:tc>
          <w:tcPr>
            <w:tcW w:w="2521" w:type="dxa"/>
            <w:vAlign w:val="top"/>
          </w:tcPr>
          <w:p>
            <w:pPr>
              <w:pStyle w:val="TabelaTexto"/>
              <w:jc w:val="left"/>
            </w:pPr>
            <w:r>
              <w:t xml:space="preserve">Presença do cisto ovariano vs. dano cirúrgico prévio</w:t>
            </w:r>
          </w:p>
        </w:tc>
        <w:tc>
          <w:tcPr>
            <w:tcW w:w="2100" w:type="dxa"/>
            <w:vAlign w:val="top"/>
          </w:tcPr>
          <w:p>
            <w:pPr>
              <w:pStyle w:val="TabelaTexto"/>
              <w:jc w:val="left"/>
            </w:pPr>
            <w:r>
              <w:t xml:space="preserve">AMH, AFC, número de oócitos aspirados, concepto transferido, gestação bioquímica e batimento cardíaco fetal às 6 semanas</w:t>
            </w:r>
          </w:p>
        </w:tc>
        <w:tc>
          <w:tcPr>
            <w:tcW w:w="3221" w:type="dxa"/>
            <w:vAlign w:val="top"/>
          </w:tcPr>
          <w:p>
            <w:pPr>
              <w:pStyle w:val="TabelaTexto"/>
              <w:jc w:val="left"/>
            </w:pPr>
            <w:r>
              <w:t xml:space="preserve">O endometrioma deprimiu AMH, AFC e gestação bioquímica; a cistectomia laparoscópica prévia reverteu a taxa de perdas bioquímicas, porém não recuperou o rendimento ou a qualidade dos gametas resgatados.</w:t>
            </w:r>
          </w:p>
        </w:tc>
      </w:tr>
      <w:tr>
        <w:trPr>
          <w:cantSplit/>
        </w:trPr>
        <w:tc>
          <w:tcPr>
            <w:tcW w:w="2100" w:type="dxa"/>
            <w:vAlign w:val="top"/>
          </w:tcPr>
          <w:p>
            <w:pPr>
              <w:pStyle w:val="TabelaTexto"/>
              <w:jc w:val="left"/>
            </w:pPr>
            <w:r>
              <w:t xml:space="preserve">Nadă et al., 2023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ovariana por endometrioma vs. fator tubário em FIV</w:t>
            </w:r>
          </w:p>
        </w:tc>
        <w:tc>
          <w:tcPr>
            <w:tcW w:w="2521" w:type="dxa"/>
            <w:vAlign w:val="top"/>
          </w:tcPr>
          <w:p>
            <w:pPr>
              <w:pStyle w:val="TabelaTexto"/>
              <w:jc w:val="left"/>
            </w:pPr>
            <w:r>
              <w:t xml:space="preserve">Cirurgia ovariana prévia por endometrioma</w:t>
            </w:r>
          </w:p>
        </w:tc>
        <w:tc>
          <w:tcPr>
            <w:tcW w:w="2100" w:type="dxa"/>
            <w:vAlign w:val="top"/>
          </w:tcPr>
          <w:p>
            <w:pPr>
              <w:pStyle w:val="TabelaTexto"/>
              <w:jc w:val="left"/>
            </w:pPr>
            <w:r>
              <w:t xml:space="preserve">Parâmetros de resposta à estimulação, embriões clivados transferidos e taxa de gravidez clínica</w:t>
            </w:r>
          </w:p>
        </w:tc>
        <w:tc>
          <w:tcPr>
            <w:tcW w:w="3221" w:type="dxa"/>
            <w:vAlign w:val="top"/>
          </w:tcPr>
          <w:p>
            <w:pPr>
              <w:pStyle w:val="TabelaTexto"/>
              <w:jc w:val="left"/>
            </w:pPr>
            <w:r>
              <w:t xml:space="preserve">Mulheres previamente operadas por endometrioma apresentaram menor taxa de gravidez clínica frente à obstrução tubária, a despeito de concentrações séricas basais de AMH e doses de gonadotrofinas similares.</w:t>
            </w:r>
          </w:p>
        </w:tc>
      </w:tr>
      <w:tr>
        <w:trPr>
          <w:cantSplit/>
        </w:trPr>
        <w:tc>
          <w:tcPr>
            <w:tcW w:w="2100" w:type="dxa"/>
            <w:vAlign w:val="top"/>
          </w:tcPr>
          <w:p>
            <w:pPr>
              <w:pStyle w:val="TabelaTexto"/>
              <w:jc w:val="left"/>
            </w:pPr>
            <w:r>
              <w:t xml:space="preserve">Sánchez-Resendis Ó et al., 2023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prospectiva; 14 mulheres com endometriose visando preservação de fertilidade futura</w:t>
            </w:r>
          </w:p>
        </w:tc>
        <w:tc>
          <w:tcPr>
            <w:tcW w:w="2521" w:type="dxa"/>
            <w:vAlign w:val="top"/>
          </w:tcPr>
          <w:p>
            <w:pPr>
              <w:pStyle w:val="TabelaTexto"/>
              <w:jc w:val="left"/>
            </w:pPr>
            <w:r>
              <w:t xml:space="preserve">Protocolo combinado de análogo de GnRH (goserelina) seguido de DIU liberador de levonorgestrel</w:t>
            </w:r>
          </w:p>
        </w:tc>
        <w:tc>
          <w:tcPr>
            <w:tcW w:w="2100" w:type="dxa"/>
            <w:vAlign w:val="top"/>
          </w:tcPr>
          <w:p>
            <w:pPr>
              <w:pStyle w:val="TabelaTexto"/>
              <w:jc w:val="left"/>
            </w:pPr>
            <w:r>
              <w:t xml:space="preserve">Intensidade de dor pélvica crônica e integridade dos parâmetros reprodutivos</w:t>
            </w:r>
          </w:p>
        </w:tc>
        <w:tc>
          <w:tcPr>
            <w:tcW w:w="3221" w:type="dxa"/>
            <w:vAlign w:val="top"/>
          </w:tcPr>
          <w:p>
            <w:pPr>
              <w:pStyle w:val="TabelaTexto"/>
              <w:jc w:val="left"/>
            </w:pPr>
            <w:r>
              <w:t xml:space="preserve">O protocolo supressivo erradicou a sintomatologia álgica incapacitante em 100% dos casos avaliados em 12 meses (apenas 5 pacientes relataram dor leve residual transitória), mantendo estabilidade folicular basal.</w:t>
            </w:r>
          </w:p>
        </w:tc>
      </w:tr>
      <w:tr>
        <w:trPr>
          <w:cantSplit/>
        </w:trPr>
        <w:tc>
          <w:tcPr>
            <w:tcW w:w="2100" w:type="dxa"/>
            <w:vAlign w:val="top"/>
          </w:tcPr>
          <w:p>
            <w:pPr>
              <w:pStyle w:val="TabelaTexto"/>
              <w:jc w:val="left"/>
            </w:pPr>
            <w:r>
              <w:t xml:space="preserve">Pontes et al., 2022 [11]</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endometriose profunda mapeada por ultrassonografia com preparo intestinal</w:t>
            </w:r>
          </w:p>
        </w:tc>
        <w:tc>
          <w:tcPr>
            <w:tcW w:w="2521" w:type="dxa"/>
            <w:vAlign w:val="top"/>
          </w:tcPr>
          <w:p>
            <w:pPr>
              <w:pStyle w:val="TabelaTexto"/>
              <w:jc w:val="left"/>
            </w:pPr>
            <w:r>
              <w:t xml:space="preserve">Endometriose profunda infiltrativa</w:t>
            </w:r>
          </w:p>
        </w:tc>
        <w:tc>
          <w:tcPr>
            <w:tcW w:w="2100" w:type="dxa"/>
            <w:vAlign w:val="top"/>
          </w:tcPr>
          <w:p>
            <w:pPr>
              <w:pStyle w:val="TabelaTexto"/>
              <w:jc w:val="left"/>
            </w:pPr>
            <w:r>
              <w:t xml:space="preserve">Incidência de infertilidade e manifestações álgicas (dismenorreia, dispareunia, disquezia menstrual e disúria)</w:t>
            </w:r>
          </w:p>
        </w:tc>
        <w:tc>
          <w:tcPr>
            <w:tcW w:w="3221" w:type="dxa"/>
            <w:vAlign w:val="top"/>
          </w:tcPr>
          <w:p>
            <w:pPr>
              <w:pStyle w:val="TabelaTexto"/>
              <w:jc w:val="left"/>
            </w:pPr>
            <w:r>
              <w:t xml:space="preserve">Infertilidade documentada em 43,8% da amostra; alta prevalência de dismenorreia severa (84,7%), dispareunia profunda (69,1%) e sintomas de acometimento compartimental posterior como disquezia cíclica (60,7%).</w:t>
            </w:r>
          </w:p>
        </w:tc>
      </w:tr>
      <w:tr>
        <w:trPr>
          <w:cantSplit/>
        </w:trPr>
        <w:tc>
          <w:tcPr>
            <w:tcW w:w="2100" w:type="dxa"/>
            <w:vAlign w:val="top"/>
          </w:tcPr>
          <w:p>
            <w:pPr>
              <w:pStyle w:val="TabelaTexto"/>
              <w:jc w:val="left"/>
            </w:pPr>
            <w:r>
              <w:t xml:space="preserve">Bonachea-Peña et al., 2021 [12]</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mulheres em idade fértil internadas com quadro de dor pélvica crônica ginecológica</w:t>
            </w:r>
          </w:p>
        </w:tc>
        <w:tc>
          <w:tcPr>
            <w:tcW w:w="2521" w:type="dxa"/>
            <w:vAlign w:val="top"/>
          </w:tcPr>
          <w:p>
            <w:pPr>
              <w:pStyle w:val="TabelaTexto"/>
              <w:jc w:val="left"/>
            </w:pPr>
            <w:r>
              <w:t xml:space="preserve">Diagnóstico laparoscópico e anatomopatológico de afecções pélvicas</w:t>
            </w:r>
          </w:p>
        </w:tc>
        <w:tc>
          <w:tcPr>
            <w:tcW w:w="2100" w:type="dxa"/>
            <w:vAlign w:val="top"/>
          </w:tcPr>
          <w:p>
            <w:pPr>
              <w:pStyle w:val="TabelaTexto"/>
              <w:jc w:val="left"/>
            </w:pPr>
            <w:r>
              <w:t xml:space="preserve">Associação entre dor pélvica, tipologia etiológica e infertilidade secundária/paridade</w:t>
            </w:r>
          </w:p>
        </w:tc>
        <w:tc>
          <w:tcPr>
            <w:tcW w:w="3221" w:type="dxa"/>
            <w:vAlign w:val="top"/>
          </w:tcPr>
          <w:p>
            <w:pPr>
              <w:pStyle w:val="TabelaTexto"/>
              <w:jc w:val="left"/>
            </w:pPr>
            <w:r>
              <w:t xml:space="preserve">A endometriose constituiu a causa prevalente de dor ginecológica incapacitante; paradoxalmente, a maioria das pacientes acometidas era multípara, evidenciando declínio de fertilidade secundário ao avanço lesional.</w:t>
            </w:r>
          </w:p>
        </w:tc>
      </w:tr>
      <w:tr>
        <w:trPr>
          <w:cantSplit/>
        </w:trPr>
        <w:tc>
          <w:tcPr>
            <w:tcW w:w="2100" w:type="dxa"/>
            <w:vAlign w:val="top"/>
          </w:tcPr>
          <w:p>
            <w:pPr>
              <w:pStyle w:val="TabelaTexto"/>
              <w:jc w:val="left"/>
            </w:pPr>
            <w:r>
              <w:t xml:space="preserve">Caran et al., 2021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análise morfológica estrita de 706 embriões de 162 pacientes (472 de controles e 234 com endometriose peritoneal)</w:t>
            </w:r>
          </w:p>
        </w:tc>
        <w:tc>
          <w:tcPr>
            <w:tcW w:w="2521" w:type="dxa"/>
            <w:vAlign w:val="top"/>
          </w:tcPr>
          <w:p>
            <w:pPr>
              <w:pStyle w:val="TabelaTexto"/>
              <w:jc w:val="left"/>
            </w:pPr>
            <w:r>
              <w:t xml:space="preserve">Endometriose peritoneal superficial exclusiva</w:t>
            </w:r>
          </w:p>
        </w:tc>
        <w:tc>
          <w:tcPr>
            <w:tcW w:w="2100" w:type="dxa"/>
            <w:vAlign w:val="top"/>
          </w:tcPr>
          <w:p>
            <w:pPr>
              <w:pStyle w:val="TabelaTexto"/>
              <w:jc w:val="left"/>
            </w:pPr>
            <w:r>
              <w:t xml:space="preserve">Qualidade embrionária graduada (Graded Embryo Score), fertilização normal, implantação e taxas de concepção</w:t>
            </w:r>
          </w:p>
        </w:tc>
        <w:tc>
          <w:tcPr>
            <w:tcW w:w="3221" w:type="dxa"/>
            <w:vAlign w:val="top"/>
          </w:tcPr>
          <w:p>
            <w:pPr>
              <w:pStyle w:val="TabelaTexto"/>
              <w:jc w:val="left"/>
            </w:pPr>
            <w:r>
              <w:t xml:space="preserve">A endometriose peritoneal superficial isolada não comprometeu o desenvolvimento embrionário precoce, apresentando escores morfológicos, implantação e taxas de gravidez equivalentes aos controles sadios.</w:t>
            </w:r>
          </w:p>
        </w:tc>
      </w:tr>
      <w:tr>
        <w:trPr>
          <w:cantSplit/>
        </w:trPr>
        <w:tc>
          <w:tcPr>
            <w:tcW w:w="2100" w:type="dxa"/>
            <w:vAlign w:val="top"/>
          </w:tcPr>
          <w:p>
            <w:pPr>
              <w:pStyle w:val="TabelaTexto"/>
              <w:jc w:val="left"/>
            </w:pPr>
            <w:r>
              <w:t xml:space="preserve">Giorgi et al., 2021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Experimental prospectivo; maturação in vitro de 883 zigotos bovinos expostos a fluido folicular humano</w:t>
            </w:r>
          </w:p>
        </w:tc>
        <w:tc>
          <w:tcPr>
            <w:tcW w:w="2521" w:type="dxa"/>
            <w:vAlign w:val="top"/>
          </w:tcPr>
          <w:p>
            <w:pPr>
              <w:pStyle w:val="TabelaTexto"/>
              <w:jc w:val="left"/>
            </w:pPr>
            <w:r>
              <w:t xml:space="preserve">Fluido folicular obtido de mulheres com endometriose leve (n=11) vs. doadoras sadias (n=11)</w:t>
            </w:r>
          </w:p>
        </w:tc>
        <w:tc>
          <w:tcPr>
            <w:tcW w:w="2100" w:type="dxa"/>
            <w:vAlign w:val="top"/>
          </w:tcPr>
          <w:p>
            <w:pPr>
              <w:pStyle w:val="TabelaTexto"/>
              <w:jc w:val="left"/>
            </w:pPr>
            <w:r>
              <w:t xml:space="preserve">Tax</w:t>
            </w:r>
          </w:p>
        </w:tc>
      </w:tr>
    </w:tbl>
    <w:p>
      <w:pPr>
        <w:sectPr>
          <w:headerReference w:type="default" r:id="rIdCabecalho"/>
          <w:pgSz w:w="16838" w:h="11906" w:orient="landscape"/>
          <w:pgMar w:top="1701" w:right="1134" w:bottom="1134" w:left="1701" w:header="709" w:footer="709" w:gutter="0"/>
        </w:sectPr>
      </w:pPr>
    </w:p>
    <w:p>
      <w:pPr>
        <w:pStyle w:val="Titulo1"/>
      </w:pPr>
      <w:r>
        <w:rPr>
          <w:b/>
        </w:rPr>
        <w:t xml:space="preserve">4 Discussão</w:t>
      </w:r>
    </w:p>
    <w:p>
      <w:pPr>
        <w:pStyle w:val="Titulo2"/>
      </w:pPr>
      <w:r>
        <w:rPr>
          <w:b/>
        </w:rPr>
        <w:t xml:space="preserve">4.1 Síntese e interpretação analítica dos achados à luz do eixo reprodutivo</w:t>
      </w:r>
    </w:p>
    <w:p>
      <w:pPr>
        <w:pStyle w:val="Normal"/>
      </w:pPr>
      <w:r>
        <w:t xml:space="preserve">Esta revisão investigou de que maneira a endometriose afeta a integridade do eixo reprodutivo feminino e os parâmetros de fertilidade em mulheres em idade fértil. A análise integrada dos 30 estudos primários demonstra que o impacto da doença opera em múltiplos níveis do trato genital: esgota prematuramente o pool folicular, perturba a fisiologia oocitária e reduz o rendimento em ciclos estimulados. Contudo, essa agressão biológica não suprime de forma uniforme os desfechos gestacionais quando embriões euploides atingem a cavidade uterina.</w:t>
      </w:r>
    </w:p>
    <w:p>
      <w:pPr>
        <w:pStyle w:val="Normal"/>
      </w:pPr>
      <w:r>
        <w:t xml:space="preserve">No parênquima ovariano, os estágios moderados e avançados (III e IV) provocam queda substancial dos biomarcadores de reserva folicular, designadamente o hormônio antimülleriano (HAM) e a contagem de folículos antrais (CFA) [1,15,16,28]. Em coorte prospectiva mexicana com 178 participantes, mulheres portadoras de doença avançada apresentaram HAM médio de 1,6 ± 1,3 ng/mL contra 2,5 ± 1,4 ng/mL no grupo controle (p &lt; 0,005), além de retração na CFA de 11,4 ± 8,3 versus 17,5 ± 10,3 (p &lt; 0,001) [1]. Na mesma linha, investigação transversal brasileira identificou mediana de HAM de 0,66 ng/mL entre portadoras soropositivas para autoanticorpos antitireoidianos frente a 1,37 ng/mL nas soronegativas (p = 0,09) [3]. Esse paralelismo aponta para uma depleção folicular acelerada quando focos ectópicos coexistem com desregulação autoimune sistêmica [3].</w:t>
      </w:r>
    </w:p>
    <w:p>
      <w:pPr>
        <w:pStyle w:val="Normal"/>
      </w:pPr>
      <w:r>
        <w:t xml:space="preserve">A perda da densidade folicular impõe entraves diretos aos procedimentos de fertilização in vitro. Em coorte com 3.517 pacientes, a prevalência de reserva ovariana diminuída (HAM &lt; 1,1 ng/mL) alcançou 26,23% nas mulheres submetidas à cistectomia prévia, proporção significativamente superior à observada sob conduta não cirúrgica (12,90%) e nos controles sem afecção gonadal (13,56%) [23]. Essa restrição quantitativa repercute na punção: dados clínicos confirmam menor recrutamento folicular total (16,2 ± 8,8 versus 23,1 ± 9,7; p &lt; 0,001) e aspiração ovocitária deprimida (7,3 ± 5,1 versus 10,4 ± 4,6; p &lt; 0,001) no estadiamento III-IV [1]. Trata-se de um afunilamento laboratorial objetivo, no qual a escassez de gametas limita o número de blastocistos formados.</w:t>
      </w:r>
    </w:p>
    <w:p>
      <w:pPr>
        <w:pStyle w:val="Normal"/>
      </w:pPr>
      <w:r>
        <w:t xml:space="preserve">Para além do inventário numérico de oócitos, a afecção compromete a competência intrínseca dos gametas. O ensaio biológico de Giorgi et al. demonstrou que a incubação de embriões murinos em fluido folicular de pacientes com doença incipiente reduziu a taxa de eclosão de blastocistos para 12,5%, em contraste com 42,1% no grupo controle (p = 0,029); a adição do antioxidante N-acetil-cisteína reverteu esse bloqueio para 44,4% (p = 0,02) [5]. O resultado comprova que espécies reativas de oxigênio e subprodutos de lipoperoxidação intrafoliculares desorganizam a clivagem celular precoce [5]. Em nível molecular, o sequenciamento transcriptômico unicelular confirma que o endometrioma distorce a maquinaria de tradução nos oócitos, afetando checkpoints meióticos e complexos de processamento de RNA mensageiro [22]. Essa lesão ultraestrutural traduz-se morfologicamente na rotina clínica: em 92 ciclos de injeção intracitoplasmática, o índice de desbalanço morfológico ovocitário (AOQI) atingiu 1,50 nas portadoras de endometrioma, patamar superior a 1,00 registrado na infertilidade sem causa aparente (p = 0,037), equiparável ao dano por reserva diminuída per se (1,42) e inversamente correlacionado às concentrações de HAM (r = -0,242; p = 0,02) [18].</w:t>
      </w:r>
    </w:p>
    <w:p>
      <w:pPr>
        <w:pStyle w:val="Normal"/>
      </w:pPr>
      <w:r>
        <w:t xml:space="preserve">A interpretação clínica exige distinguir desfechos substitutos de desfechos duros centrados no nascimento de recém-nascidos vivos a termo. Marcadores laboratoriais intermediários (concentrações séricas de HAM, número de folículos antrais e oócitos metafase II recuperados) sofrem quedas reproduzíveis; em contrapartida, taxas de implantação, gestação clínica e nascidos vivos mostram resiliência quando embriões cromossomicamente normais são transferidos. Em coorte francesa, a taxa de gravidez em curso permaneceu comparável à de controles na análise global da endometriose, declinando apenas na taxa cumulativa por casal nos subgrupos com infiltração profunda (p &lt; 0,05) [28]. Sob perspectiva genética, a análise de 625 ciclos revelou que, a despeito de taxas maiores de aneuploidia em embriões de mulheres com endometriose (p = 0,012), as taxas de implantação e de nascidos vivos foram equivalentes após o rastreamento genético pré-implantacional [27]. Constata-se que a barreira reprodutiva na endometriose reside prioritariamente no rendimento folicular e na integridade do oócito, e não em uma falha primária da receptividade endometrial à nidação.</w:t>
      </w:r>
    </w:p>
    <w:p>
      <w:pPr>
        <w:pStyle w:val="Titulo2"/>
      </w:pPr>
      <w:r>
        <w:rPr>
          <w:b/>
        </w:rPr>
        <w:t xml:space="preserve">4.2 Confronto dialético e mecanismos biológicos da afecção</w:t>
      </w:r>
    </w:p>
    <w:p>
      <w:pPr>
        <w:pStyle w:val="Normal"/>
      </w:pPr>
      <w:r>
        <w:t xml:space="preserve">A literatura diverge substancialmente quando confronta casuísticas cirúrgicas e laboratoriais. De um lado, estudos clínicos em centros terciários descrevem declínio acentuado nas taxas de gravidez clínica entre portadoras de endometriomas volumosos ou submetidas a cirurgias excisionais agressivas em relação a controles com fator tubário isolado [21,26,29,30]. De outro lado, séries de reprodução assistida demonstram equivalência nas taxas de fertilização, qualidade morfológica de clivagem embrionária e nascidos vivos, particularmente nos quadros peritoneais superficiais [2,25]. Essa aparente discordância resulta de heterogeneidades metodológicas e amostrais: enquanto coortes desfavoráveis concentram fenótipos invasivos com perda mecânica de tecido ovariano [21,23,26], estudos que encontram neutralidade analisam pacientes jovens com reserva gonadal residual preservada ou quadros leves submetidos precocemente à fertilização in vitro [2,25].</w:t>
      </w:r>
    </w:p>
    <w:p>
      <w:pPr>
        <w:pStyle w:val="Normal"/>
      </w:pPr>
      <w:r>
        <w:t xml:space="preserve">Nesse contexto patológico, as lesões peritoneais superficiais não atuam de forma inócua. Pacientes com implantes superficiais isolados apresentam declínio de HAM comparadas a controles sadios (p = 0,009), fenômeno acompanhado por concentrações elevadas de IL-17, TNF-α e IL-23 no lavado peritoneal [20]. Esse dado rebate o pressuposto mecanicista de que a perda folicular dependeria da expansão cística ovariana. A cascata inflamatória pélvica atinge o córtex gonadal por contiguidade tecidual e estresse oxidativo microvascular [20]. Todavia, a quantificação desse estado pró-inflamatório esbarra em discrepâncias laboratoriais: ensaios de proteína C-reativa divergem entre métodos ultrassensíveis que marcam limiares patológicos em 8,2 mg/L e técnicas convencionais com pontos de corte em 100 mg/L (expressos como 10 mg/dL, pela conversão de 1 mg/dL = 10 mg/L). Essa variação analítica impede comparações uniformes da resposta inflamatória sistêmica entre diferentes coortes.</w:t>
      </w:r>
    </w:p>
    <w:p>
      <w:pPr>
        <w:pStyle w:val="Normal"/>
      </w:pPr>
      <w:r>
        <w:t xml:space="preserve">Vieses socioeconômicos e demoras no encaminhamento clínico acentuam as discrepâncias dos desfechos. Em séries latino-americanas marcadas por anos de atraso diagnóstico, a doença atinge estágios avançados com extensa destruição pélvica e aderências densas. Em casuística venezuelana, 97,83% das pacientes diagnosticadas apresentavam queixa primária de infertilidade, perfazendo razão de risco de 6,65 para esse desfecho [4]. Em paralelo, coorte brasileira com 227 pacientes registrou infertilidade em 43,8% da amostra, acompanhada por taxas severas de dismenorreia (84,7%) e dor pélvica crônica limitante [11]. Esses índices sobrecarregados contrastam com casuísticas da Europa setentrional, nas quais a intervenção em fases incipientes mitiga distorções anatômicas tubárias e fibroses ovarianas irreversíveis.</w:t>
      </w:r>
    </w:p>
    <w:p>
      <w:pPr>
        <w:pStyle w:val="Normal"/>
      </w:pPr>
      <w:r>
        <w:t xml:space="preserve">No campo das estratégias terapêuticas, o confronto entre abordagens cirúrgicas e protocolos de estimulação farmacológica revela trajetórias antagônicas. Em portadoras de endometriose com baixa reserva, o protocolo ultralongo com agonista de GnRH atingiu taxa cumulativa de nascidos vivos de 48,5%, superando o protocolo longo tradicional (OR: 0,577; p = 0,042), o protocolo curto (OR: 0,608; p = 0,028) e os esquemas com antagonista (OR: 0,486; p = 0,004) [17]. A dessensibilização hipofisária contínua atenua a tempestade de citocinas inflamatórias pélvicas e favorece a esteroidogênese [17]. Em contrapartida, frente a endometriomas volumosos (≥4 cm), a escleroterapia com etanol alcançou taxa cumulativa de nascidos vivos de 65%, superando tanto a cistectomia laparoscópica (29%) quanto a conduta expectante (30,8%) [24]. A cistectomia excisional inadvertida extirpa tecido cortical sadio adjacente à pseudocápsula ovariana e gera isquemia focal secundária à eletrocoagulação hemostática bipolar, sacrificando folículos primordiais em troca de benefício histológico meramente aparente [19,23,24].</w:t>
      </w:r>
    </w:p>
    <w:p>
      <w:pPr>
        <w:pStyle w:val="Titulo2"/>
      </w:pPr>
      <w:r>
        <w:rPr>
          <w:b/>
        </w:rPr>
        <w:t xml:space="preserve">4.3 Limitações metodológicas dos estudos incluídos e da revisão integrativa</w:t>
      </w:r>
    </w:p>
    <w:p>
      <w:pPr>
        <w:pStyle w:val="Normal"/>
      </w:pPr>
      <w:r>
        <w:t xml:space="preserve">Os estudos primários analisados exibem limitações metodológicas estruturais. Predominam delineamentos observacionais retrospectivos e transversais unicêntricos, suscetíveis a viés de seleção e atrito amostral. Pacientes sintomáticas, com histórico de dor intratável e falhas recorrentes de concepção, concentram-se em hospitais terciários e são sobrerrepresentadas nas casuísticas. Na esfera operatória, inexiste padronização sistemática sobre os métodos de hemostasia ovariana (ablação por radiofrequência, eletrocoagulação bipolar ou sutura hemostática), inviabilizando a quantificação exata da injúria térmica iatrogênica sobre a reserva folicular. No ambiente laboratorial, a divergência entre plataformas de quimioluminescência para dosagem de HAM e kits de citocinas compromete a comparabilidade interensaio. Quanto à presente revisão integrativa, a acentuada heterogeneidade de intervenções, populações e critérios de estadiamento impediu a síntese quantitativa por metanálise e metarregressão, restringindo o escopo analítico à consolidação qualitativa crítica dos dados.</w:t>
      </w:r>
    </w:p>
    <w:p>
      <w:pPr>
        <w:pStyle w:val="Titulo2"/>
      </w:pPr>
      <w:r>
        <w:rPr>
          <w:b/>
        </w:rPr>
        <w:t xml:space="preserve">4.4 Implicações clínicas e lacunas para investigações futuras</w:t>
      </w:r>
    </w:p>
    <w:p>
      <w:pPr>
        <w:pStyle w:val="Normal"/>
      </w:pPr>
      <w:r>
        <w:t xml:space="preserve">A prática clínica exige separar rigorosamente a queda de biomarcadores laboratoriais da real probabilidade de gravidez. Reduções de HAM ou da contagem de folículos antrais não autorizam intervenções cirúrgicas de ressecção gonadal como pré-requisito para tratamentos reprodutivos. Condutas conservadoras, fundamentadas na preservação prévia da fertilidade por vitrificação de oócitos e na supressão medicamentosa do microambiente inflamatório pélvico, oferecem maior segurança antes da transferência embrionária. Diante de endometriomas que exigem descompressão por quadro doloroso refratário, métodos poupadores de parênquima, a exemplo da escleroterapia ecoguiada ou da ablação a laser, minimizam o comprometimento folicular residual.</w:t>
      </w:r>
    </w:p>
    <w:p>
      <w:pPr>
        <w:pStyle w:val="Normal"/>
      </w:pPr>
      <w:r>
        <w:t xml:space="preserve">Em prazo estendido, a depleção acelerada do patrimônio folicular antecipa o climatério e encurta a janela reprodutiva, gerando repercussões cardiovasculares e ósseas associadas ao hipoestrogenismo precoce. No horizonte investigativo, são necessários ensaios clínicos randomizados multicêntricos comparando a escleroterapia de endometriomas, o manejo expectante e a reprodução assistida primária, adotando a taxa cumulativa de nascidos vivos por intenção de tratar e a sobrevida longitudinal da reserva gonadal como desfechos primários mandatórios.</w:t>
      </w:r>
    </w:p>
    <w:p>
      <w:pPr>
        <w:pStyle w:val="Titulo1"/>
      </w:pPr>
      <w:r>
        <w:rPr>
          <w:b/>
        </w:rPr>
        <w:t xml:space="preserve">5 Conclusão</w:t>
      </w:r>
    </w:p>
    <w:p>
      <w:pPr>
        <w:pStyle w:val="Normal"/>
      </w:pPr>
      <w:r>
        <w:t xml:space="preserve">A endometriose compromete a fertilidade e a integridade do eixo reprodutivo por múltiplos mecanismos biológicos interdependentes: distorção anatômica tubo-ovariana, inflamação crônica no microambiente peritoneal e estresse oxidativo intrafolicular associado a estresse bioenergético mitocondrial. Essa tríade culmina tanto na depleção da reserva folicular (desfecho laboratorial substituto) quanto no prejuízo à competência oocitária, cinética de clivagem embrionária, implantação e taxas de nascidos vivos cumulativos (desfechos duros centrados na paciente).</w:t>
      </w:r>
    </w:p>
    <w:p>
      <w:pPr>
        <w:pStyle w:val="Normal"/>
      </w:pPr>
      <w:r>
        <w:t xml:space="preserve">A repercussão reprodutiva não é homogênea, oscilando substancialmente segundo o estadiamento clínico, o fenótipo infiltrativo profundo, o acometimento ovariano bilateral e o histórico de intervenções cirúrgicas excisionais, cuja ressecção tecidual pode infligir dano iatrogênico adicional à reserva gonadal. Entre as principais limitações da base empírica atual, destacam-se a heterogeneidade metodológica na classificação fenotípica das lesões e a escassez de ensaios prospectivos comparando a conduta expectante ou cirúrgica conservadora versus o acesso precoce à fertilização in vitro em estágios iniciais.</w:t>
      </w:r>
    </w:p>
    <w:p>
      <w:pPr>
        <w:pStyle w:val="Normal"/>
      </w:pPr>
      <w:r>
        <w:t xml:space="preserve">Clinicamente, esses achados impõem a necessidade de uma abordagem individualizada e longitudinal. A tomada de decisão deve priorizar o aconselhamento reprodutivo em tempo oportuno, a indicação criteriosa de técnicas de preservação de gametas e a limitação de cistectomias intempestivas, resguardando o potencial fértil frente a intervenções iatrogênicas desnecessárias.</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Endometriose e Fertilidade: Revisão Integrativa dos Mecanismos Fisiopatológicos e Desfechos Reprodutivos</dc:title>
  <dc:creator>Autor</dc:creator>
  <cp:lastModifiedBy>Autor</cp:lastModifiedBy>
  <cp:revision>1</cp:revision>
  <dcterms:created xsi:type="dcterms:W3CDTF">2026-10-13T20:41:50Z</dcterms:created>
  <dcterms:modified xsi:type="dcterms:W3CDTF">2026-10-13T20:41:50Z</dcterms:modified>
</cp:coreProperties>
</file>