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Lipoproteína(a) sérica como preditora independente de eventos cardiovasculares adversos em adultos: revisão integrativa da literatura</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Analisar as evidências científicas sobre o papel da lipoproteína(a) sérica elevada como preditor independente de eventos cardiovasculares adversos em adultos. </w:t>
      </w:r>
      <w:r>
        <w:rPr>
          <w:b/>
        </w:rPr>
        <w:t xml:space="preserve">Métodos:</w:t>
      </w:r>
      <w:r>
        <w:t xml:space="preserve"> Revisão integrativa da literatura realizada em 29 de setembro de 2026 nas bases PubMed/MEDLINE, SciELO e LILACS, abrangendo o período de 2021 a 2026 em português, inglês e espanhol. De 209 registros identificados e 179 triados, incluíram-se 30 estudos (18 coortes prospectivas, 11 retrospectivas e um ensaio clínico randomizado) oriundos de 16 países. </w:t>
      </w:r>
      <w:r>
        <w:rPr>
          <w:b/>
        </w:rPr>
        <w:t xml:space="preserve">Resultados:</w:t>
      </w:r>
      <w:r>
        <w:t xml:space="preserve"> A lipoproteína(a) elevada associou-se independentemente à recidiva de infarto agudo do miocárdio, reestenose intra-stent e mortalidade cardiovascular em coronariopatas. Registrou-se risco duplicado de aterosclerose sintomática na maturidade entre jovens com concentrações basais aumentadas, além de relação com acometimento coronariano multivascular precoce. No domínio cerebrovascular, vinculou-se ao acidente vascular cerebral isquêmico e à aterosclerose de grandes artérias em indivíduos com menos de 60 anos, sem relação com eventos hemorrágicos. Observou-se sinergismo prognóstico adverso com interleucina-6, proteína C-reativa ultrassensível e esteatose hepática metabólica. Em contrapartida, certos cenários de prevenção secundária crônica e subgrupos de pacientes diabéticos não exibiram capacidade preditiva independente para desfechos compostos. </w:t>
      </w:r>
      <w:r>
        <w:rPr>
          <w:b/>
        </w:rPr>
        <w:t xml:space="preserve">Conclusão:</w:t>
      </w:r>
      <w:r>
        <w:t xml:space="preserve"> A lipoproteína(a) sérica elevada atua como preditor independente de eventos aterotrombóticos coronarianos e cerebrovasculares, integrando o risco residual cardiovascular com maior expressividade clínica em estratos basais de alto risco e sob inflamação vascular concomitante.</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analyze scientific evidence regarding elevated serum lipoprotein(a) as an independent predictor of adverse cardiovascular events in adults. </w:t>
      </w:r>
      <w:r>
        <w:rPr>
          <w:b/>
        </w:rPr>
        <w:t xml:space="preserve">Methods:</w:t>
      </w:r>
      <w:r>
        <w:t xml:space="preserve"> Integrative literature review conducted on September 29, 2026, across PubMed/MEDLINE, SciELO, and LILACS databases, covering publications from 2021 to 2026 in Portuguese, English, and Spanish. From 209 identified and 179 screened records, 30 studies were included (18 prospective cohorts, 11 retrospective cohorts, and one randomized clinical trial) across 16 countries. </w:t>
      </w:r>
      <w:r>
        <w:rPr>
          <w:b/>
        </w:rPr>
        <w:t xml:space="preserve">Results:</w:t>
      </w:r>
      <w:r>
        <w:t xml:space="preserve"> Elevated lipoprotein(a) independently associated with recurrent myocardial infarction, in-stent restenosis, and cardiovascular mortality in patients with coronary disease. A twofold increase in symptomatic adult atherosclerosis occurred in individuals exposed at younger ages, alongside multivessel disease in early infarction. Cerebrovascular findings linked elevated levels to ischemic stroke and large-artery atherosclerosis in patients under 60 years, without associations with hemorrhagic events. Significant synergistic interactions were observed with interleukin-6, high-sensitivity C-reactive protein, and metabolic dysfunction-associated steatotic liver disease. Conversely, selected chronic secondary prevention settings and diabetic subsets showed no independent predictive value for composite endpoints. </w:t>
      </w:r>
      <w:r>
        <w:rPr>
          <w:b/>
        </w:rPr>
        <w:t xml:space="preserve">Conclusion:</w:t>
      </w:r>
      <w:r>
        <w:t xml:space="preserve"> Elevated serum lipoprotein(a) functions as an independent predictor of coronary and cerebrovascular atherothrombotic events, composing residual cardiovascular risk with pronounced clinical relevance in high baseline risk strata and active inflammatory states.</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As evidências científicas analisadas indicam que a lipoproteína(a) sérica elevada atua como preditor independente para a ocorrência de eventos cardiovasculares adversos em adultos, configurando um componente proeminente do risco aterotrombótico residual. Essa lipoproteína associa-se de modo consistente ao surgimento de infarto agudo do miocárdio, mortalidade cardiovascular, reestenose pós-angioplastia e acidente vascular cerebral isquêmico aterosclerótico de grandes artérias, mantendo seu valor prognóstico mesmo em indivíduos que atingiram metas terapêuticas estritas de colesterol de baixa densidade ou que apresentavam ausência inicial de calcificação coronariana.</w:t>
      </w:r>
    </w:p>
    <w:p>
      <w:pPr>
        <w:pStyle w:val="Normal"/>
      </w:pPr>
      <w:r>
        <w:t xml:space="preserve">Adicionalmente, infere-se que o impacto prognóstico da molécula é modulado pelo perfil de suscetibilidade basal dos indivíduos, registrando amplificação expressiva na vigência de processos inflamatórios sistêmicos e desarranjos metabólicos concomitantes, bem como em portadores de anatomias coronarianas de alta complexidade. Embora se verifiquem atenuações na capacidade discriminativa em subgrupos com diabetes mellitus e na predição de desfechos compostos amplos sob prevenção secundária farmacológica intensiva, conclui-se que a lipoproteína(a) elevada representa um biomarcador determinante para a estratificação individualizada de eventos isquêmicos e da letalidade vascular.</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Pesquisador Responsável</dc:creator>
  <cp:lastModifiedBy>Pesquisador Responsável</cp:lastModifiedBy>
  <cp:revision>3</cp:revision>
  <dcterms:created xsi:type="dcterms:W3CDTF">2026-09-23T17:57:55Z</dcterms:created>
  <dcterms:modified xsi:type="dcterms:W3CDTF">2026-09-30T17:57:55Z</dcterms:modified>
</cp:coreProperties>
</file>