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Projeto Ênio</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Esta revisão integrativa analisa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t xml:space="preserve">2 Métodos</w:t>
      </w:r>
    </w:p>
    <w:p>
      <w:pPr>
        <w:pStyle w:val="Titulo2"/>
      </w:pPr>
      <w: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t xml:space="preserve">4 Discussão</w:t>
      </w:r>
    </w:p>
    <w:p>
      <w:pPr>
        <w:pStyle w:val="Titulo2"/>
      </w:pPr>
      <w: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os de diabetes testaram, em sua maioria, telemonitoramento com pouco ou nenhum suporte. A essa condicionalidade clínica soma-se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Titulo2"/>
      </w:pPr>
      <w: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âmbito do SUS [36], e as diretrizes europeias de 2024 convergem quanto ao papel do automonitoramento e do telemonitoramento no manejo hipertensivo, ainda que com recomendações não totalmente uniformes entre si [37].</w:t>
      </w:r>
    </w:p>
    <w:p>
      <w:pPr>
        <w:pStyle w:val="Titulo2"/>
      </w:pPr>
      <w: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184</TotalTime>
  <Pages>12</Pages>
  <Words>4500</Words>
  <Characters>26000</Characters>
  <Application>Microsoft Macintosh Word</Application>
  <DocSecurity>0</DocSecurity>
  <Lines>210</Lines>
  <Paragraphs>85</Paragraphs>
  <ScaleCrop>false</ScaleCrop>
  <Company>Universidade</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Ênio</dc:title>
  <dc:creator>Pesquisador Responsável</dc:creator>
  <cp:lastModifiedBy>Pesquisador Responsável</cp:lastModifiedBy>
  <cp:revision>3</cp:revision>
  <dcterms:created xsi:type="dcterms:W3CDTF">2026-09-26T14:06:56Z</dcterms:created>
  <dcterms:modified xsi:type="dcterms:W3CDTF">2026-10-03T14:06:56Z</dcterms:modified>
</cp:coreProperties>
</file>