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w:t>
      </w:r>
    </w:p>
    <w:p>
      <w:pPr>
        <w:pStyle w:val="Normal"/>
      </w:pPr>
      <w:r>
        <w:t xml:space="preserve">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w:t>
      </w:r>
    </w:p>
    <w:p>
      <w:pPr>
        <w:pStyle w:val="Normal"/>
      </w:pPr>
      <w:r>
        <w:t xml:space="preserve">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w:t>
      </w:r>
    </w:p>
    <w:p>
      <w:pPr>
        <w:pStyle w:val="Normal"/>
      </w:pPr>
      <w:r>
        <w:t xml:space="preserve">Diante desse panorama, impõe-se uma síntese crítica abrangente. Portanto, o objetivo desta revisão integrativa é analisar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w:t>
      </w:r>
    </w:p>
    <w:p>
      <w:pPr>
        <w:pStyle w:val="Titulo1"/>
      </w:pPr>
      <w:r>
        <w:rPr>
          <w:b/>
        </w:rPr>
        <w:t xml:space="preserve">2 Métodos</w:t>
      </w:r>
    </w:p>
    <w:p>
      <w:pPr>
        <w:pStyle w:val="Titulo2"/>
      </w:pPr>
      <w:r>
        <w:rPr>
          <w:b/>
        </w:rPr>
        <w:t xml:space="preserve">Delineamento</w:t>
      </w:r>
    </w:p>
    <w:p>
      <w:pPr>
        <w:pStyle w:val="Normal"/>
      </w:pPr>
      <w:r>
        <w:t xml:space="preserve">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w:t>
      </w:r>
    </w:p>
    <w:p>
      <w:pPr>
        <w:pStyle w:val="Titulo2"/>
      </w:pPr>
      <w:r>
        <w:rPr>
          <w:b/>
        </w:rPr>
        <w:t xml:space="preserve">Pergunta norteadora e estratégia PICO</w:t>
      </w:r>
    </w:p>
    <w:p>
      <w:pPr>
        <w:pStyle w:val="Normal"/>
      </w:pPr>
      <w:r>
        <w:t xml:space="preserve">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w:t>
      </w:r>
    </w:p>
    <w:p>
      <w:pPr>
        <w:pStyle w:val="Titulo2"/>
      </w:pPr>
      <w:r>
        <w:rPr>
          <w:b/>
        </w:rPr>
        <w:t xml:space="preserve">Busca na literatura</w:t>
      </w:r>
    </w:p>
    <w:p>
      <w:pPr>
        <w:pStyle w:val="Normal"/>
      </w:pPr>
      <w:r>
        <w:t xml:space="preserve">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w:t>
      </w:r>
    </w:p>
    <w:p>
      <w:pPr>
        <w:pStyle w:val="Titulo2"/>
      </w:pPr>
      <w:r>
        <w:rPr>
          <w:b/>
        </w:rPr>
        <w:t xml:space="preserve">Critérios de elegibilidade</w:t>
      </w:r>
    </w:p>
    <w:p>
      <w:pPr>
        <w:pStyle w:val="Normal"/>
      </w:pPr>
      <w:r>
        <w:t xml:space="preserve">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w:t>
      </w:r>
    </w:p>
    <w:p>
      <w:pPr>
        <w:pStyle w:val="Titulo2"/>
      </w:pPr>
      <w:r>
        <w:rPr>
          <w:b/>
        </w:rPr>
        <w:t xml:space="preserve">Seleção e extração de dados</w:t>
      </w:r>
    </w:p>
    <w:p>
      <w:pPr>
        <w:pStyle w:val="Normal"/>
      </w:pPr>
      <w:r>
        <w:t xml:space="preserve">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w:t>
      </w:r>
    </w:p>
    <w:p>
      <w:pPr>
        <w:pStyle w:val="Titulo1"/>
      </w:pPr>
      <w:r>
        <w:rPr>
          <w:b/>
        </w:rP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w:t>
      </w:r>
    </w:p>
    <w:p>
      <w:pPr>
        <w:pStyle w:val="Titulo2"/>
      </w:pPr>
      <w:r>
        <w:rPr>
          <w:b/>
        </w:rP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w:t>
      </w:r>
    </w:p>
    <w:p>
      <w:pPr>
        <w:pStyle w:val="Titulo2"/>
      </w:pPr>
      <w:r>
        <w:rPr>
          <w:b/>
        </w:rP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w:t>
      </w:r>
    </w:p>
    <w:p>
      <w:pPr>
        <w:pStyle w:val="Normal"/>
      </w:pPr>
      <w:r>
        <w:t xml:space="preserve">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w:t>
      </w:r>
    </w:p>
    <w:p>
      <w:pPr>
        <w:pStyle w:val="Titulo2"/>
      </w:pPr>
      <w:r>
        <w:rPr>
          <w:b/>
        </w:rP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w:t>
      </w:r>
    </w:p>
    <w:p>
      <w:pPr>
        <w:pStyle w:val="Normal"/>
      </w:pPr>
      <w:r>
        <w:t xml:space="preserve">Fora do Brasil, mas ainda na América Latina, um estudo colombiano descreveu a telessaúde como estratégia custo-efetiva para DM2 na atenção primária [27]; um piloto chileno, o COSMOS, integrou SMS e voz automatizada ao cuidado presencial de diabéticos na APS [28].</w:t>
      </w:r>
    </w:p>
    <w:p>
      <w:pPr>
        <w:pStyle w:val="Titulo2"/>
      </w:pPr>
      <w:r>
        <w:rPr>
          <w:b/>
        </w:rP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w:t>
      </w:r>
    </w:p>
    <w:p>
      <w:pPr>
        <w:pStyle w:val="Titulo1"/>
      </w:pPr>
      <w:r>
        <w:rPr>
          <w:b/>
        </w:rPr>
        <w:t xml:space="preserve">4 Discussão</w:t>
      </w:r>
    </w:p>
    <w:p>
      <w:pPr>
        <w:pStyle w:val="Titulo2"/>
      </w:pPr>
      <w:r>
        <w:rPr>
          <w:b/>
        </w:rPr>
        <w:t xml:space="preserve">Resumo dos principais achados</w:t>
      </w:r>
    </w:p>
    <w:p>
      <w:pPr>
        <w:pStyle w:val="Normal"/>
      </w:pPr>
      <w:r>
        <w:t xml:space="preserve">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[5,6,10,13].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w:t>
      </w:r>
    </w:p>
    <w:p>
      <w:pPr>
        <w:pStyle w:val="Normal"/>
      </w:pPr>
      <w:r>
        <w:t xml:space="preserve">Tal achado ajuda a explicar a diferença entre HAS e DM. A condição clínica, talvez, não seja o fator determinante; o que varia é a maturidade do suporte testado em cada uma. Os ensaios de hipertensão avaliaram majoritariamente protocolos com co-intervenção ativa [5,6,10,13]; os de diabetes testaram, em sua maioria, telemonitoramento com pouco ou nenhum suporte [7,8,18]. A essa condicionalidade clínica soma-se uma condicionalidade social. A aceitabilidade foi alta entre usuários já engajados e com acesso à tecnologia, mas a implementação foi ameaçada pela exclusão digital de idosos e populações rurais [29,30], pela sobrecarga das equipes [21,34], pela integração fragmentada com os registros clínicos. Nos estudos brasileiros identificados [21,23], essas barreiras assumiram forma concreta: escassez de equipamentos, alta rotatividade, baixo engajamento dos usuários.</w:t>
      </w:r>
    </w:p>
    <w:p>
      <w:pPr>
        <w:pStyle w:val="Titulo2"/>
      </w:pPr>
      <w:r>
        <w:rPr>
          <w:b/>
        </w:rP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[9].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Titulo2"/>
      </w:pPr>
      <w:r>
        <w:rPr>
          <w:b/>
        </w:rP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SUS [36], e as diretrizes europeias de 2024 convergem quanto ao papel do automonitoramento e do telemonitoramento no manejo hipertensivo, ainda que com recomendações não totalmente uniformes entre si [37].</w:t>
      </w:r>
    </w:p>
    <w:p>
      <w:pPr>
        <w:pStyle w:val="Titulo2"/>
      </w:pPr>
      <w:r>
        <w:rPr>
          <w:b/>
        </w:rP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[12,21,23], aproveitando os Núcleos de Telessaúde já existentes [3,4].</w:t>
      </w:r>
    </w:p>
    <w:p>
      <w:pPr>
        <w:pStyle w:val="Normal"/>
      </w:pPr>
      <w:r>
        <w:t xml:space="preserve">Salvaguardas de equidade digital, por sua vez, parecem mais eficazes quando desenhadas desde o início do projeto — alternativas por telefone/SMS, reforço por agentes comunitários [22,28,31] — do que quando adicionadas depois, como remendo. Para o diabetes, diante de evidência mais fraca [7,8,18], a adoção deveria ser mais cautelosa, com ensaios pragmáticos locais. E há uma lacuna urgente: nenhum estudo de custo-efetividade identificado foi conduzido no Brasil, então limiares importados (ex. £20.000/QALY) oferecem só orientação indireta [11,15,33]. Pesquisas multicêntricas na APS brasileira são o caminho mais direto para transformar essas hipóteses em evidência aplicável.</w:t>
      </w:r>
    </w:p>
    <w:p>
      <w:pPr>
        <w:pStyle w:val="Titulo1"/>
      </w:pPr>
      <w:r>
        <w:rPr>
          <w:b/>
        </w:rP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dc:title>
  <dc:creator>Autor</dc:creator>
  <cp:lastModifiedBy>Autor</cp:lastModifiedBy>
  <cp:revision>1</cp:revision>
  <dcterms:created xsi:type="dcterms:W3CDTF">2026-10-06T23:34:52Z</dcterms:created>
  <dcterms:modified xsi:type="dcterms:W3CDTF">2026-10-06T23:34:52Z</dcterms:modified>
</cp:coreProperties>
</file>