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 – Revisão Integrativa</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Portanto, o objetivo desta revisão integrativa é analisar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rPr>
          <w:b/>
        </w:rPr>
        <w:t xml:space="preserve">2 Métodos</w:t>
      </w:r>
    </w:p>
    <w:p>
      <w:pPr>
        <w:pStyle w:val="Titulo2"/>
      </w:pPr>
      <w:r>
        <w:rPr>
          <w:b/>
        </w:rP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rPr>
          <w:b/>
        </w:rP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rPr>
          <w:b/>
        </w:rP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rPr>
          <w:b/>
        </w:rP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rPr>
          <w:b/>
        </w:rP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rPr>
          <w:b/>
        </w:rP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rPr>
          <w:b/>
        </w:rP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rPr>
          <w:b/>
        </w:rP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rPr>
          <w:b/>
        </w:rP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rPr>
          <w:b/>
        </w:rPr>
        <w:t xml:space="preserve">4 Discussão</w:t>
      </w:r>
    </w:p>
    <w:p>
      <w:pPr>
        <w:pStyle w:val="Titulo2"/>
      </w:pPr>
      <w:r>
        <w:rPr>
          <w:b/>
        </w:rP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[5,6,10,13].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[5,6,10,13]; os de diabetes testaram, em sua maioria, telemonitoramento com pouco ou nenhum suporte [7,8,18]. A essa condicionalidade clínica soma-se uma condicionalidade social. A aceitabilidade foi alta entre usuários já engajados e com acesso à tecnologia, mas a implementação foi ameaçada pela exclusão digital de idosos e populações rurais [29,30], pela sobrecarga das equipes [21,34], pela integração fragmentada com os registros clínicos. Nos estudos brasileiros identificados [21,23], essas barreiras assumiram forma concreta: escassez de equipamentos, alta rotatividade, baixo engajamento dos usuários.</w:t>
      </w:r>
    </w:p>
    <w:p>
      <w:pPr>
        <w:pStyle w:val="Titulo2"/>
      </w:pPr>
      <w:r>
        <w:rPr>
          <w:b/>
        </w:rP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[9].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rPr>
          <w:b/>
        </w:rP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SUS [36], e as diretrizes europeias de 2024 convergem quanto ao papel do automonitoramento e do telemonitoramento no manejo hipertensivo, ainda que com recomendações não totalmente uniformes entre si [37].</w:t>
      </w:r>
    </w:p>
    <w:p>
      <w:pPr>
        <w:pStyle w:val="Titulo2"/>
      </w:pPr>
      <w:r>
        <w:rPr>
          <w:b/>
        </w:rP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[12,21,23], aproveitando os Núcleos de Telessaúde já existentes [3,4].</w:t>
      </w:r>
    </w:p>
    <w:p>
      <w:pPr>
        <w:pStyle w:val="Normal"/>
      </w:pPr>
      <w:r>
        <w:t xml:space="preserve">Salvaguardas de equidade digital, por sua vez, parecem mais eficazes quando desenhadas desde o início do projeto — alternativas por telefone/SMS, reforço por agentes comunitários [22,28,31] — do que quando adicionadas depois, como remendo. Para o diabetes, diante de evidência mais fraca [7,8,18], a adoção deveria ser mais cautelosa, com ensaios pragmáticos locais. E há uma lacuna urgente: nenhum estudo de custo-efetividade identificado foi conduzido no Brasil, então limiares importados (ex. £20.000/QALY) oferecem só orientação indireta [11,15,33]. Pesquisas multicêntricas na APS brasileira são o caminho mais direto para transformar essas hipóteses em evidência aplicável.</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 – Revisão Integrativa</dc:title>
  <dc:creator>Autor</dc:creator>
  <cp:lastModifiedBy>Autor</cp:lastModifiedBy>
  <cp:revision>1</cp:revision>
  <dcterms:created xsi:type="dcterms:W3CDTF">2026-10-07T00:50:45Z</dcterms:created>
  <dcterms:modified xsi:type="dcterms:W3CDTF">2026-10-07T00:50:45Z</dcterms:modified>
</cp:coreProperties>
</file>