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Telemonitoramento de hipertensão arterial sistêmica e diabetes mellitus na Atenção Primária à Saúde: implicações para o Sistema Único de Saúde – Revisão Integrativa</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Objetivo:</w:t>
      </w:r>
      <w:r>
        <w:t xml:space="preserve"> Sintetizar as evidências sobre efetividade clínica, custo-efetividade, aceitabilidade e barreiras de implementação do telemonitoramento de hipertensão arterial sistêmica (HAS) e diabetes mellitus (DM) na Atenção Primária à Saúde (APS), discutindo implicações para o Sistema Único de Saúde (SUS). </w:t>
      </w:r>
      <w:r>
        <w:rPr>
          <w:b/>
        </w:rPr>
        <w:t xml:space="preserve">Métodos:</w:t>
      </w:r>
      <w:r>
        <w:t xml:space="preserve"> Revisão integrativa com buscas nas bases PubMed/MEDLINE e SciELO, empregando os descritores telemonitoring, hypertension, diabetes mellitus e primary health care, sem restrição de desenho metodológico. </w:t>
      </w:r>
      <w:r>
        <w:rPr>
          <w:b/>
        </w:rPr>
        <w:t xml:space="preserve">Resultados:</w:t>
      </w:r>
      <w:r>
        <w:t xml:space="preserve"> 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em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Conclusão:</w:t>
      </w:r>
      <w:r>
        <w:t xml:space="preserve"> 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Objective:</w:t>
      </w:r>
      <w:r>
        <w:t xml:space="preserve"> To synthesize the evidence on clinical effectiveness, cost-effectiveness, acceptability, and implementation barriers of telemonitoring for systemic arterial hypertension (SAH) and diabetes mellitus (DM) in Primary Health Care (PHC), discussing implications for the Brazilian Unified Health System (SUS). </w:t>
      </w:r>
      <w:r>
        <w:rPr>
          <w:b/>
        </w:rPr>
        <w:t xml:space="preserve">Methods:</w:t>
      </w:r>
      <w:r>
        <w:t xml:space="preserve"> Integrative review with searches in PubMed/MEDLINE and SciELO, using the descriptors telemonitoring, hypertension, diabetes mellitus, and primary health care, with no restriction on methodological design. </w:t>
      </w:r>
      <w:r>
        <w:rPr>
          <w:b/>
        </w:rPr>
        <w:t xml:space="preserve">Results:</w:t>
      </w:r>
      <w:r>
        <w:t xml:space="preserve"> Twenty-four studies were included (12 clinical or quasi-experimental trials, 2 synthesis studies, 3 qualitative or mixed-methods studies, 7 observational, cross-sectional, descriptive studies or pilot projects), published between 2014 and 2025 in eleven countries, in addition to a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in-person team care. Results for glycemic control were more heterogeneous. Recurring barriers included digital exclusion of older adults and rural populations, team overload, and lack of integration with electronic health records, although interventions deliberately designed for underrepresented populations have shown that this barrier is surmountable in Brazil; infrastructure gaps, professional turnover, and low user adherence were also observed. </w:t>
      </w:r>
      <w:r>
        <w:rPr>
          <w:b/>
        </w:rPr>
        <w:t xml:space="preserve">Conclusion:</w:t>
      </w:r>
      <w:r>
        <w:t xml:space="preserve"> Telemonitoring for SAH and DM is a promising technology for PHC, but its benefit depends on structured team-based clinical support, not on the technology itself. For the SUS, responsible incorporation requires investment in infrastructure, team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rPr>
          <w:b/>
        </w:rPr>
        <w:t xml:space="preserve">1 Introdução</w:t>
      </w:r>
    </w:p>
    <w:p>
      <w:pPr>
        <w:pStyle w:val="Normal"/>
      </w:pPr>
      <w:r>
        <w:t xml:space="preserve">A hipertensão arterial sistêmica (HAS) e o diabetes mellitus tipo 2 (DM2) concentram a maior carga assistencial na Atenção Primária à Saúde (APS). Sem acompanhamento longitudinal contínuo e resolutivo, ambas as enfermidades evoluem com descompensações frequentes e lideram as internações por condições sensíveis à atenção primária no Sistema Único de Saúde (SUS) [1]. Estabilizar esses quadros requer monitoramento constante: titulação oportuna de fármacos, vigilância de metas terapêuticas e estímulo permanente à adesão. Na rotina dos serviços, contudo, a sobrecarga de atendimentos pontuais, a escassez de tempo de consulta e a alta rotatividade de profissionais fragmentam esse seguimento preventivo.</w:t>
      </w:r>
    </w:p>
    <w:p>
      <w:pPr>
        <w:pStyle w:val="Normal"/>
      </w:pPr>
      <w:r>
        <w:t xml:space="preserve">O telemonitoramento desponta como uma via de reorganização do cuidado. A estratégia consiste na transmissão remota e estruturada de parâmetros clínicos — pressão arterial e glicemia capilar — obtidos no domicílio pelo próprio usuário ou por seus cuidadores e enviados à equipe de saúde [2]. Não se confunde com a teleconsultoria entre profissionais nem com a teleconsulta ambulatorial, modalidades já normatizadas e difundidas pelo Programa Nacional Telessaúde Brasil Redes [3,4]. Enquanto ferramenta de acompanhamento contínuo em nível comunitário, o telemonitoramento ainda constitui uma intervenção incipiente e pouco articulada aos fluxos regulares da APS brasileira.</w:t>
      </w:r>
    </w:p>
    <w:p>
      <w:pPr>
        <w:pStyle w:val="Normal"/>
      </w:pPr>
      <w:r>
        <w:t xml:space="preserve">O corpo de evidências disponível internacionalmente é vasto para a HAS e mais modesto para o DM2, exibindo acentuada heterogeneidade metodológica. Ensaios clínicos randomizados demonstram quedas clinicamente expressivas da pressão arterial sistólica apenas quando a tecnologia opera atrelada a intervenções clínicas ativas, protocolos de suporte e ajuste medicamentoso pactuado [5,6]. Em contrapartida, quando reduzido ao mero envio passivo de números sem gestão de caso correspondente, o telemonitoramento perde tração e falha em suplantar a consulta presencial convencional [7,8]. Subsiste, portanto, uma questão decisiva: sob quais arranjos operacionais e clínicos a transmissão remota de dados viabiliza ganhos em saúde, e em que medida resultados obtidos predominantemente em países de alta renda são transferíveis a um sistema público, universal e territorializado como o SUS.</w:t>
      </w:r>
    </w:p>
    <w:p>
      <w:pPr>
        <w:pStyle w:val="Normal"/>
      </w:pPr>
      <w:r>
        <w:t xml:space="preserve">Com o intuito de subsidiar essa tomada de decisão, esta revisão integrativa analisa a produção científica referente à efetividade clínica, custo-efetividade, aceitabilidade e barreiras de implementação do telemonitoramento de HAS e DM2 na APS, cotejando tais achados com os desafios estruturais do SUS. O percurso metodológico adota a estratégia PICO para estruturar o levantamento da literatura e a síntese analítica dos resultados, fundamentando-se nas etapas descritas por Mendes, Silveira e Galvão [9].</w:t>
      </w:r>
    </w:p>
    <w:p>
      <w:pPr>
        <w:pStyle w:val="Titulo1"/>
      </w:pPr>
      <w:r>
        <w:rPr>
          <w:b/>
        </w:rPr>
        <w:t xml:space="preserve">2 Métodos</w:t>
      </w:r>
    </w:p>
    <w:p>
      <w:pPr>
        <w:pStyle w:val="Titulo2"/>
      </w:pPr>
      <w:r>
        <w:rPr>
          <w:b/>
        </w:rPr>
        <w:t xml:space="preserve">Delineamento</w:t>
      </w:r>
    </w:p>
    <w:p>
      <w:pPr>
        <w:pStyle w:val="Normal"/>
      </w:pPr>
      <w:r>
        <w:t xml:space="preserve">Trata-se de revisão integrativa da literatura conduzida em seis etapas metodológicas sequenciais: formulação da pergunta norteadora, busca sistemática na literatura, extração de dados, avaliação crítica dos estudos incluídos, interpretação dos achados e síntese do conhecimento [9]. Para garantir transparência analítica e reprodutibilidade, o fluxo de identificação, triagem, elegibilidade e inclusão estruturou-se segundo as recomendações do modelo PRISMA 2020.</w:t>
      </w:r>
    </w:p>
    <w:p>
      <w:pPr>
        <w:pStyle w:val="Titulo2"/>
      </w:pPr>
      <w:r>
        <w:rPr>
          <w:b/>
        </w:rPr>
        <w:t xml:space="preserve">Pergunta norteadora e estratégia PICO</w:t>
      </w:r>
    </w:p>
    <w:p>
      <w:pPr>
        <w:pStyle w:val="Normal"/>
      </w:pPr>
      <w:r>
        <w:t xml:space="preserve">A formulação da pergunta de pesquisa ancorou-se no mnemônico PICO:</w:t>
      </w:r>
    </w:p>
    <w:p>
      <w:pPr>
        <w:pStyle w:val="Normal"/>
      </w:pPr>
      <w:r>
        <w:t xml:space="preserve">- </w:t>
      </w:r>
      <w:r>
        <w:rPr>
          <w:b/>
        </w:rPr>
        <w:t xml:space="preserve">População (P):</w:t>
      </w:r>
      <w:r>
        <w:t xml:space="preserve"> adultos diagnosticados com hipertensão arterial sistêmica (HAS) e/ou diabetes mellitus tipo 2 (DM2) vinculados à Atenção Primária à Saúde (APS);</w:t>
      </w:r>
    </w:p>
    <w:p>
      <w:pPr>
        <w:pStyle w:val="Normal"/>
      </w:pPr>
      <w:r>
        <w:t xml:space="preserve">- </w:t>
      </w:r>
      <w:r>
        <w:rPr>
          <w:b/>
        </w:rPr>
        <w:t xml:space="preserve">Intervenção (I):</w:t>
      </w:r>
      <w:r>
        <w:t xml:space="preserve"> telemonitoramento domiciliar de parâmetros clínicos e pressóricos/glicêmicos;</w:t>
      </w:r>
    </w:p>
    <w:p>
      <w:pPr>
        <w:pStyle w:val="Normal"/>
      </w:pPr>
      <w:r>
        <w:t xml:space="preserve">- </w:t>
      </w:r>
      <w:r>
        <w:rPr>
          <w:b/>
        </w:rPr>
        <w:t xml:space="preserve">Comparação (C):</w:t>
      </w:r>
      <w:r>
        <w:t xml:space="preserve"> cuidado presencial habitual ou ausência de monitoramento remoto;</w:t>
      </w:r>
    </w:p>
    <w:p>
      <w:pPr>
        <w:pStyle w:val="Normal"/>
      </w:pPr>
      <w:r>
        <w:t xml:space="preserve">- *</w:t>
      </w:r>
      <w:r>
        <w:rPr>
          <w:i/>
        </w:rPr>
        <w:t xml:space="preserve">Desfechos / </w:t>
      </w:r>
      <w:r>
        <w:t xml:space="preserve">Outcomes* (O):** controle pressórico e glicêmico, adesão farmacológica/comportamental, custo-efetividade e aspectos de viabilidade e aceitabilidade da intervenção no contexto da APS.</w:t>
      </w:r>
    </w:p>
    <w:p>
      <w:pPr>
        <w:pStyle w:val="Normal"/>
      </w:pPr>
      <w:r>
        <w:t xml:space="preserve">A partir dessa estrutura, estabeleceu-se a questão condutora: </w:t>
      </w:r>
      <w:r>
        <w:rPr>
          <w:i/>
        </w:rPr>
        <w:t xml:space="preserve">Quais as principais evidências analisadas em telemonitoramento de hipertensão arterial sistêmica e diabetes mellitus na Atenção Primária à Saúde e suas implicações para o Sistema Único de Saúde?</w:t>
      </w:r>
    </w:p>
    <w:p>
      <w:pPr>
        <w:pStyle w:val="Titulo2"/>
      </w:pPr>
      <w:r>
        <w:rPr>
          <w:b/>
        </w:rPr>
        <w:t xml:space="preserve">Busca na literatura</w:t>
      </w:r>
    </w:p>
    <w:p>
      <w:pPr>
        <w:pStyle w:val="Normal"/>
      </w:pPr>
      <w:r>
        <w:t xml:space="preserve">Os levantamentos bibliográficos ocorreram em setembro de 2026 nas bases de dados PubMed/MEDLINE e SciELO, complementados por buscas integradas no Portal Regional da Biblioteca Virtual em Saúde (BVS) — englobando LILACS, BDENF, IBECS, WHO IRIS e ColecionaSUS. Utilizaram-se descritores controlados e termos livres nos idiomas inglês, português e espanhol: “telemonitoring”, “telemedicine”, “remote patient monitoring”, “hypertension”, “diabetes mellitus” e “primary health care”, combinados mediante operadores booleanos AND e OR, sem restrição apriorística de desenho de estudo. No PubMed/MEDLINE, aplicou-se filtro temporal a partir de 2015 exclusivamente na equação de maior amplitude voltada ao telemonitoramento da hipertensão; as demais combinações não tiveram restrição cronológica inicial, permitindo a triagem integral dos 206 registros recuperados. No Portal Regional da BVS, a recuperação inicial somou 770 registros; expurgada a sobreposição com o MEDLINE, a análise direcionou-se aos 132 registros exclusivos das bases latino-americanas e temáticas. A busca na SciELO funcionou como fonte complementar de verificação regional.</w:t>
      </w:r>
    </w:p>
    <w:p>
      <w:pPr>
        <w:pStyle w:val="Titulo2"/>
      </w:pPr>
      <w:r>
        <w:rPr>
          <w:b/>
        </w:rPr>
        <w:t xml:space="preserve">Critérios de elegibilidade</w:t>
      </w:r>
    </w:p>
    <w:p>
      <w:pPr>
        <w:pStyle w:val="Normal"/>
      </w:pPr>
      <w:r>
        <w:t xml:space="preserve">Foram adotados como critérios de inclusão: investigações primárias originais (ensaios clínicos randomizados ou não, estudos quase-experimentais, coortes, casos-controle, inquéritos transversais e abordagens qualitativas) e revisões sistemáticas com metanálise, redigidas em português, inglês ou espanhol, cujo foco incidisse sobre o telemonitoramento domiciliar de HAS e/ou DM2 em adultos no âmbito da atenção primária ou no cuidado ambulatorial longitudinal. Excluíram-se intervenções restritas à teleconsultoria entre profissionais sem interface de automonitoramento do usuário, estudos exclusivamente pediátricos, protocolos sem resultados publicados quando redundantes com estudos empíricos definitivos já incorporados e experiências de telerrastreamento pontual desprovidas de seguimento continuado.</w:t>
      </w:r>
    </w:p>
    <w:p>
      <w:pPr>
        <w:pStyle w:val="Titulo2"/>
      </w:pPr>
      <w:r>
        <w:rPr>
          <w:b/>
        </w:rPr>
        <w:t xml:space="preserve">Seleção e extração de dados</w:t>
      </w:r>
    </w:p>
    <w:p>
      <w:pPr>
        <w:pStyle w:val="Normal"/>
      </w:pPr>
      <w:r>
        <w:t xml:space="preserve">A seleção transcorreu em duas etapas independentes, realizadas por dois revisores, com resolução de eventuais divergências por consenso. Na primeira fase, examinaram-se 329 registros únicos mediante leitura minuciosa de títulos e resumos, eliminando-se os que destoavam do escopo temático. Na segunda, 37 manuscritos potencialmente elegíveis foram avaliados em texto completo frente aos critérios estabelecidos, resultando na amostra final de 24 estudos. A extração das informações (autoria, ano, país, desenho metodológico, perfil amostral, atributos da intervenção, desfechos clínicos e barreiras/facilitadores de implantação) e a apreciação do rigor metodológico pelo instrumento </w:t>
      </w:r>
      <w:r>
        <w:rPr>
          <w:i/>
        </w:rPr>
        <w:t xml:space="preserve">Mixed Methods Appraisal Tool</w:t>
      </w:r>
      <w:r>
        <w:t xml:space="preserve"> (MMAT, versão 2018) decorreram da leitura analítica exaustiva dos artigos incluídos, submetendo cada manuscrito aos critérios correspondentes à sua categoria de desenho. As pontuações de qualidade foram igualmente pactuadas de modo consensual entre os pesquisadores.</w:t>
      </w:r>
    </w:p>
    <w:p>
      <w:pPr>
        <w:pStyle w:val="Titulo1"/>
      </w:pPr>
      <w:r>
        <w:rPr>
          <w:b/>
        </w:rPr>
        <w:t xml:space="preserve">3 Resultados</w:t>
      </w:r>
    </w:p>
    <w:p>
      <w:pPr>
        <w:pStyle w:val="Normal"/>
      </w:pPr>
      <w:r>
        <w:t xml:space="preserve">As buscas recuperaram 338 registros: 206 no PubMed/MEDLINE e 132 na BVS, restritos a bases não indexadas no MEDLINE. Após a remoção de nove duplicatas, 329 registros únicos passaram pela triagem de título e resumo. Desses, 292 foram excluídos por não atenderem aos critérios de elegibilidade, sobretudo por abordarem teleconsultoria entre profissionais, telerrastreamento pontual, tratamento farmacológico ou medida de pressão arterial sem componente de telemonitoramento remoto, população ou desfecho fora do escopo, ou por se tratarem de editoriais, cartas ou literatura cinzenta não revisada por pares. Os 37 artigos potencialmente elegíveis seguiram para avaliação em texto completo. Treze foram excluídos: quatro protocolos sem resultados publicados, três estudos não primários elegíveis (comentário, editorial ou revisão sem metanálise), cinco com população, desfecho ou tecnologia fora do escopo e um omitido por decisão de escopo, não por exclusão metodológica. Ao final, 24 estudos compuseram a síntese (Figura 1).</w:t>
      </w:r>
    </w:p>
    <w:p>
      <w:pPr>
        <w:pStyle w:val="Normal"/>
      </w:pPr>
      <w:r>
        <w:rPr>
          <w:b/>
        </w:rPr>
        <w:t xml:space="preserve">Figura 1</w:t>
      </w:r>
      <w:r>
        <w:t xml:space="preserve"> 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 [5]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 [6]</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 [10]</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 [11]</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 [12]</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 [13]</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 [14]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 [7]</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 [18]</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 [8]</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 [19]</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 [20]</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 [21]</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 [22]</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 [23]</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 [24]</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 [25]</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 [26]</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 [27]</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 [28]</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 [29]</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 [30]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 [31]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A avaliação MMAT indicou qualidade metodológica moderada a alta na maior parte dos ensaios analisados. As fragilidades mais recorrentes concentraram-se na ausência de mascaramento dos desfechos — limitação prática inerente à natureza das intervenções digitais — e no reporte deficiente das perdas de seguimento. Delineamentos desprovidos de grupo controle concorrente acumularam maior vulnerabilidade a vieses.</w:t>
      </w:r>
    </w:p>
    <w:p>
      <w:pPr>
        <w:pStyle w:val="Titulo2"/>
      </w:pPr>
      <w:r>
        <w:rPr>
          <w:b/>
        </w:rPr>
        <w:t xml:space="preserve">Efetividade clínica na hipertensão arterial</w:t>
      </w:r>
    </w:p>
    <w:p>
      <w:pPr>
        <w:pStyle w:val="Normal"/>
      </w:pPr>
      <w:r>
        <w:t xml:space="preserve">Entre as intervenções avaliadas em larga escala, a experiência britânica de implementação primária (n=3.200; subgrupo n=905) evidenciou queda média de 6,55 mmHg na pressão arterial sistólica (PAS), acompanhada de retração de 19% nos atendimentos presenciais quando confrontada com o ano prévio [5]. No mesmo sentido operou o ensaio HOME BP (n=622): a combinação digital de automonitoramento e suporte à autogestão acarretou redução adicional de 3,4 mmHg na PAS aos 12 meses frente ao manejo convencional [6].</w:t>
      </w:r>
    </w:p>
    <w:p>
      <w:pPr>
        <w:pStyle w:val="Normal"/>
      </w:pPr>
      <w:r>
        <w:t xml:space="preserve">Esse padrão manteve-se consistente nos centros asiáticos. Em Singapura, ensaio quase-experimental com 240 participantes demonstrou razão de chances de 2,69 para alcance do controle pressórico quando o monitoramento remoto integrou a teleconsulta, sob custo incremental de S$23.935 por QALY ganho [11]. Na China, estudo conduzido por Meng et al. (n=172) ratificou reduções pressóricas ambulatoriais mais acentuadas e taxas superiores de controle na coorte assistida por telemonitoramento com suporte técnico-clínico [10]. Ao sintetizar 25 ensaios clínicos (n=7.138), a metanálise com dados individuais de Tucker et al. delimitou o mecanismo dessa resposta: o automonitoramento estrito e isolado é inócuo (-1,0 mmHg), ao passo que a associação com suporte profissional intensivo produz queda de 6,1 mmHg [13]. A intervenção digital não age por si; depende da conduta terapêutica que mobiliza. Tal premissa elucida por que, na gestação, o automonitoramento com transmissão de dados não superou a rotina obstétrica para hipertensão crônica ou gestacional (n=850), evidenciando que a resposta clínica não é automática nem uniforme entre subgrupos de risco [14]. Sob a ótica do custo-efetividade, a modelagem TASMINH4 calculou que vincular automonitoramento a telemonitoramento posiciona-se como a conduta mais eficiente para titulação medicamentosa na APS britânica (£17.424/QALY), a despeito de variações paramétricas frente ao controle isolado [15].</w:t>
      </w:r>
    </w:p>
    <w:p>
      <w:pPr>
        <w:pStyle w:val="Normal"/>
      </w:pPr>
      <w:r>
        <w:t xml:space="preserve">O contraponto analítico mais contundente decorre do ensaio pragmático Hyperlink 3 (n=3.071): inserido em um modelo presencial já altamente qualificado e centrado em equipe, o telemonitoramento coordenado por farmacêuticos não suplantou o cuidado ambulatorial (-0,8 mmHg, sem significância estatística), embora tenha elevado os índices de satisfação dos usuários [12]. Longe de refutar a tecnologia, esse achado estabelece que sua magnitude clínica é modulada pelo padrão assistencial de referência. Conforme demonstraram análises complementares da mesma coorte, o gatilho terapêutico reside na intensificação farmacológica orientada por protocolos [16], gerando, em horizonte de cinco anos, redução tangível de eventos cardiovasculares (4,4% versus 8,6%) e economia líquida de US$1.900 por indivíduo assistido [17].</w:t>
      </w:r>
    </w:p>
    <w:p>
      <w:pPr>
        <w:pStyle w:val="Titulo2"/>
      </w:pPr>
      <w:r>
        <w:rPr>
          <w:b/>
        </w:rPr>
        <w:t xml:space="preserve">Efetividade clínica no diabetes mellitus e em multimorbidade</w:t>
      </w:r>
    </w:p>
    <w:p>
      <w:pPr>
        <w:pStyle w:val="Normal"/>
      </w:pPr>
      <w:r>
        <w:t xml:space="preserve">No diabetes mellitus tipo 2, as evidências revelam-se menos uniformes. Ensaio clínico randomizado conduzido nos Estados Unidos não identificou impacto mensurável sobre a hemoglobina glicada (HbA1c) ou a PAS após doze semanas de telemonitoramento domiciliar [7]. Respostas nulas análogas foram documentadas tanto no ensaio por conglomerados desenvolvido na Malásia (n=240) [18] quanto no ensaio clínico finlandês apoiado em telecoaching e medidas biométricas remotas [8].</w:t>
      </w:r>
    </w:p>
    <w:p>
      <w:pPr>
        <w:pStyle w:val="Normal"/>
      </w:pPr>
      <w:r>
        <w:t xml:space="preserve">Contrastando com essa tendência de neutralidade, um estudo observacional pré e pós-intervenção em Utah registrou expressiva inflexão glicêmica (HbA1c de 9,73% para 7,81%) e tensional (PAS de 130,7 para 122,9 mmHg) [19]. A ausência de grupo controle nessa experiência, contudo, sugere que o efeito decorreu primordialmente da intensidade do acompanhamento multiprofissional, e não do aparato digital isolado. Já no segmento de idosos com multimorbidade, o telemonitoramento demonstrou valor preventivo objetivo: o ensaio francês multicêntrico eCOBAHLT (n=534) apontou retração de 28% no risco de reinternações hospitalares não planejadas ao longo de um ano (RR 0,72; IC95% 0,51–0,94) [20].</w:t>
      </w:r>
    </w:p>
    <w:p>
      <w:pPr>
        <w:pStyle w:val="Titulo2"/>
      </w:pPr>
      <w:r>
        <w:rPr>
          <w:b/>
        </w:rPr>
        <w:t xml:space="preserve">Evidência brasileira e latino-americana</w:t>
      </w:r>
    </w:p>
    <w:p>
      <w:pPr>
        <w:pStyle w:val="Normal"/>
      </w:pPr>
      <w:r>
        <w:t xml:space="preserve">A produção científica brasileira identificada compõe-se de seis publicações, com destaque empírico para o estado do Paraná. Investigação qualitativa com enfermeiras atuantes em oito municípios paranaenses apontou que o acompanhamento remoto otimiza o autocuidado, solidifica o vínculo longitudinal com a equipe e racionaliza o fluxo assistencial; em contrapartida, as profissionais destacaram limitações estruturais severas, tais como escassez de infraestrutura digital, alta rotatividade funcional, sobrecarga e adesão oscilante dos pacientes [21].</w:t>
      </w:r>
    </w:p>
    <w:p>
      <w:pPr>
        <w:pStyle w:val="Normal"/>
      </w:pPr>
      <w:r>
        <w:t xml:space="preserve">Na mesma linha de atuação da APS paranaense, intervenção educativa remota centrada no letramento em saúde de hipertensos resultou em ganho de conhecimento sobre o curso clínico e maior adesão terapêutica [22]. Em paralelo, inquérito com 65 enfermeiras da 15ª Regional de Saúde do Paraná demonstrou que a prontidão institucional para empregar ferramentas remotas cresce com o treinamento prévio, enquanto o déficit de capacitação e a carência de dispositivos persistem como barreiras operacionais estruturantes [23]. No plano epidemiológico, o estudo TeleMRPA consolidou a maior amostragem nacional (n=6.731), atestando a utilidade da medição residencial remota na detecção de hipertensão mascarada e efeito do avental branco não identificados na rotina de consultório [24]. Complementam o quadro nacional um estudo de viabilidade em 134 usuários da atenção básica baiana, que reiterou discrepâncias expressivas entre as aferições clínicas e domiciliares [25], e um ensaio piloto em Belo Horizonte (n=28), no qual o telemonitoramento glicêmico promoveu redução substancial da HbA1c restrita ao braço experimental [26].</w:t>
      </w:r>
    </w:p>
    <w:p>
      <w:pPr>
        <w:pStyle w:val="Normal"/>
      </w:pPr>
      <w:r>
        <w:t xml:space="preserve">No cenário latino-americano, revisão colombiana posicionou a telessaúde como conduta custo-efetiva e resolutiva para a gestão do diabetes mellitus tipo 2 no primeiro nível de atenção [27], ao passo que a iniciativa chilena COSMOS comprovou a exequibilidade operacional de conectar mensagens de texto e respostas de voz automatizadas à rotina dos centros de saúde da família [28].</w:t>
      </w:r>
    </w:p>
    <w:p>
      <w:pPr>
        <w:pStyle w:val="Titulo2"/>
      </w:pPr>
      <w:r>
        <w:rPr>
          <w:b/>
        </w:rPr>
        <w:t xml:space="preserve">Aceitabilidade, custos e implementação</w:t>
      </w:r>
    </w:p>
    <w:p>
      <w:pPr>
        <w:pStyle w:val="Normal"/>
      </w:pPr>
      <w:r>
        <w:t xml:space="preserve">A absorção do telemonitoramento é modulada de forma contundente pelos determinantes socioterritoriais. Na Eslovênia, avaliação mista conduzida com idosos portadores de hipertensão e diabetes (n=55 quantitativo; n=29 qualitativo) aferiu escore global de aceitabilidade de 4,4 em 5, mas documentou descompasso relevante no estrato rural, cujos participantes enfrentaram curvas de aprendizado mais íngremes [29]. Situação semelhante emergiu em estudo qualitativo escocês durante a pandemia de covid-19: o suporte remoto facilitou o itinerário de quem já dominava recursos tecnológicos, mas aprofundou o isolamento daqueles que careciam de letramento digital prévio [30].</w:t>
      </w:r>
    </w:p>
    <w:p>
      <w:pPr>
        <w:pStyle w:val="Normal"/>
      </w:pPr>
      <w:r>
        <w:t xml:space="preserve">As experiências eslovena e escocesa convergem para o mesmo alerta: sem intervenções de nivelamento, o monitoramento remoto pode concentrar benefícios nos grupos menos vulneráveis. Em sentido oposto, ensaio piloto conduzido nos Estados Unidos com sobreviventes de acidente vascular cerebral em sua maioria negros e hispânicos (n=50) demonstrou que suporte de enfermagem estruturado, materiais visuais adaptados e videoconsultas propiciaram decréscimo de 16 mmHg na PAS domiciliar, contra aumento de 3 mmHg no controle usual [31]. O delineamento inclusivo revelou-se determinante. Quanto à dimensão econômica, o protocolo esloveno delineado para APS [32] fundamentou posterior análise de custos 'bottom-up': custos médios anuais por usuário de €489 em infraestrutura e €97 operacionais associaram-se a uma expressiva queda nos desembolsos de bolso dos pacientes, que despencaram de €545 para €132 anuais [33]. Por fim, médicos da atenção primária americana destacaram que transferir atribuições de monitoramento a farmacêuticos integrados à equipe preserva o tempo médico e ancora a sustentabilidade do modelo [34].</w:t>
      </w:r>
    </w:p>
    <w:p>
      <w:pPr>
        <w:pStyle w:val="Titulo1"/>
      </w:pPr>
      <w:r>
        <w:rPr>
          <w:b/>
        </w:rPr>
        <w:t xml:space="preserve">4 Discussão</w:t>
      </w:r>
    </w:p>
    <w:p>
      <w:pPr>
        <w:pStyle w:val="Titulo2"/>
      </w:pPr>
      <w:r>
        <w:rPr>
          <w:b/>
        </w:rPr>
        <w:t xml:space="preserve">Resumo dos principais achados</w:t>
      </w:r>
    </w:p>
    <w:p>
      <w:pPr>
        <w:pStyle w:val="Normal"/>
      </w:pPr>
      <w:r>
        <w:t xml:space="preserve">Os dados compilados nesta revisão revelam um padrão unívoco: o telemonitoramento não atua como intervenção autônoma. O ganho clínico só se consolida quando a ferramenta digital opera acoplada a um arranjo assistencial robusto, caracterizado por titulação farmacológica ativa, gestão de caso por enfermagem ou farmácia clínica e suporte comportamental estruturado [5,6,10,13]. Desprovida desse ecossistema — ou implementada em contextos em que o cuidado presencial já dispõe de equipes multiprofissionais altamente sincronizadas —, a intervenção perde tração e apresenta efeito neutro [12]. Essa leitura ganha solidez com a análise de mediação formal conduzida por Margolis et al. [16], na qual a redução pressórica decorreu primariamente da intensificação terapêutica e da rotina de aferição domiciliar, e não do aparato tecnológico isolado.</w:t>
      </w:r>
    </w:p>
    <w:p>
      <w:pPr>
        <w:pStyle w:val="Normal"/>
      </w:pPr>
      <w:r>
        <w:t xml:space="preserve">Sob essa perspectiva, a discrepância de desfechos entre hipertensão arterial sistêmica e diabetes mellitus deixa de ser um enigma clínico. O contraste não reflete a fisiopatologia das doenças, mas o desnível no desenho dos estudos. Enquanto os ensaios em hipertensão testaram pacotes multifacetados com cointervenções ativas [5,6,10,13], a literatura de diabetes concentrou-se em modelos de monitoramento remoto com suporte profissional esparso [7,8,18]. Sobre essa limitação técnica incide a barreira social. A adesão foi expressiva em estratos previamente digitalizados, mas ruiu diante da exclusão digital de idosos e usuários rurais [29,30], da sobrecarga de trabalho das equipes de referência [21,34] e da ausência de interoperabilidade com o prontuário eletrônico. No cenário brasileiro, tais gargalos revelaram-se ainda mais tangíveis, marcados pela escassez crônica de esfigmomanômetros digitais validados, alta rotatividade profissional e fragilidade no vínculo com a comunidade [21,23,25,26].</w:t>
      </w:r>
    </w:p>
    <w:p>
      <w:pPr>
        <w:pStyle w:val="Titulo2"/>
      </w:pPr>
      <w:r>
        <w:rPr>
          <w:b/>
        </w:rPr>
        <w:t xml:space="preserve">Forças e limitações</w:t>
      </w:r>
    </w:p>
    <w:p>
      <w:pPr>
        <w:pStyle w:val="Normal"/>
      </w:pPr>
      <w:r>
        <w:t xml:space="preserve">A principal força desta revisão reside em integrar achados dispersos por diferentes sistemas de saúde e desenhos metodológicos, delimitando com precisão os pontos de maturidade da evidência na hipertensão e suas lacunas no diabetes, sempre sob a ótica da Atenção Primária à Saúde. O processo de seleção e avaliação crítica por dois revisores independentes assegurou rigor analítico e mitigou vieses de seleção e aferição [9]. Por outro lado, a expressiva heterogeneidade clínica e metodológica entre os ensaios — com disparidades nos regimes de acompanhamento, nos dispositivos digitais utilizados e no tempo de seguimento — impediu a síntese metanalítica quantitativa e demanda comedimento ao transpor evidências de países de alta renda para o cotidiano da APS no Sistema Único de Saúde (SUS). Ressente-se ainda o fato de a busca ter priorizado os portais abertos em saúde pública (PubMed/MEDLINE, SciELO e BVS/LILACS), deixando de rastrear bases proprietárias como Embase e Scopus. Essa escolha, condizente com os objetivos integrativos voltados ao SUS, evidencia a urgência de ensaios clínicos pragmáticos desenvolvidos no próprio território brasileiro.</w:t>
      </w:r>
    </w:p>
    <w:p>
      <w:pPr>
        <w:pStyle w:val="Titulo2"/>
      </w:pPr>
      <w:r>
        <w:rPr>
          <w:b/>
        </w:rPr>
        <w:t xml:space="preserve">Comparação com a literatura</w:t>
      </w:r>
    </w:p>
    <w:p>
      <w:pPr>
        <w:pStyle w:val="Normal"/>
      </w:pPr>
      <w:r>
        <w:t xml:space="preserve">Os achados dialogam diretamente com a síntese quantitativa conduzida por Mihevc et al. [35], que avaliou 54 ensaios clínicos na atenção primária e constatou redução média de -5,63 mmHg na pressão arterial sistólica aos seis meses, atribuindo os maiores tamanhos de efeito à associação mandatória entre telemonitoramento, teleconsultas e ações educativas. Esta revisão corrobora qualitativamente a mesma premissa: a tecnologia amplia desfechos somente quando mobiliza o processo de cuidado. No contexto nacional, o padrão fragmentado e heterogêneo de adoção da telessaúde converge com os diagnósticos seminais de Sarti e Almeida [4] e Schmitz e Harzheim [3] sobre as desigualdades operacionais do Programa Telessaúde Brasil Redes. Trata-se da confluência entre uma insuficiência clínica de protocolo e uma assimetria estrutural de financiamento e conectividade, as quais se potencializam mutuamente em vez de se atenuarem.</w:t>
      </w:r>
    </w:p>
    <w:p>
      <w:pPr>
        <w:pStyle w:val="Titulo2"/>
      </w:pPr>
      <w:r>
        <w:rPr>
          <w:b/>
        </w:rPr>
        <w:t xml:space="preserve">Implicações para a prática e para a pesquisa</w:t>
      </w:r>
    </w:p>
    <w:p>
      <w:pPr>
        <w:pStyle w:val="Normal"/>
      </w:pPr>
      <w:r>
        <w:t xml:space="preserve">Diante da fragilidade metodológica de parte dos estudos e da persistência de barreiras operacionais históricas na telessaúde pública, o avanço da modalidade exige cautela planejada. Em curto prazo, iniciativas voltadas à hipertensão arterial no SUS devem priorizar protocolos orientados à gestão de casos por enfermeiros e farmacêuticos [12,21,23], aproveitando a infraestrutura ociosa dos Núcleos de Telessaúde [3,4]. A equidade digital não pode ser tratada como ajuste tardio: canais de baixa complexidade, como mensagens assíncronas por SMS, combinados à atuação territorial de agentes comunitários de saúde na mediação do uso dos aparelhos, devem compor o desenho inicial de qualquer intervenção [22,28,31].</w:t>
      </w:r>
    </w:p>
    <w:p>
      <w:pPr>
        <w:pStyle w:val="Normal"/>
      </w:pPr>
      <w:r>
        <w:t xml:space="preserve">Para o diabetes mellitus, a incerteza dos dados atuais desaconselha a compra massiva de tecnologias proprietárias antes da realização de estudos-piloto controlados em centros de saúde locais [7,8,18,26]. Persiste, além disso, um vácuo em avaliações de custo-efetividade contextualizadas: limiares econômicos internacionais, a exemplo do parâmetro britânico de £20.000 por QALY [15], são inaplicáveis ao espaço fiscal do SUS sem ampla calibragem [11,17,33]. Apenas ensaios multicêntricos de base pragmática, desenhados nas Clínicas da Família e Unidades Básicas de Saúde brasileiras, serão capazes de converter essas hipóteses em diretrizes assistenciais sustentáveis.</w:t>
      </w:r>
    </w:p>
    <w:p>
      <w:pPr>
        <w:pStyle w:val="Titulo1"/>
      </w:pPr>
      <w:r>
        <w:rPr>
          <w:b/>
        </w:rPr>
        <w:t xml:space="preserve">5 Conclusão</w:t>
      </w:r>
    </w:p>
    <w:p>
      <w:pPr>
        <w:pStyle w:val="Normal"/>
      </w:pPr>
      <w:r>
        <w:t xml:space="preserve">O telemonitoramento de HAS e DM não se sustenta por si só.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Titulo1"/>
        <w:jc w:val="center"/>
      </w:pPr>
      <w:r>
        <w:rPr>
          <w:b/>
        </w:rP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Revisao de Literatura IA (ABNT/OpenXML)</Application>
  <DocSecurity>0</DocSecurity>
  <ScaleCrop>false</ScaleCrop>
  <LinksUpToDate>false</LinksUpToDate>
  <SharedDoc>false</SharedDoc>
  <HyperlinksChanged>false</HyperlinksChanged>
  <AppVersion>1.0000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Telemonitoramento de hipertensão arterial sistêmica e diabetes mellitus na Atenção Primária à Saúde: implicações para o Sistema Único de Saúde – Revisão Integrativa</dc:title>
  <dc:creator>Autor</dc:creator>
  <cp:lastModifiedBy>Autor</cp:lastModifiedBy>
  <cp:revision>1</cp:revision>
  <dcterms:created xsi:type="dcterms:W3CDTF">2026-10-07T01:05:11Z</dcterms:created>
  <dcterms:modified xsi:type="dcterms:W3CDTF">2026-10-07T01:05:11Z</dcterms:modified>
</cp:coreProperties>
</file>