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 – Revisão Integrativa</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tipo 2 (DM2) constituem os principais determinantes de morbimortalidade cardiovascular na Atenção Primária à Saúde (APS). A ausência de seguimento longitudinal resolutivo acarreta descompensações clínicas recorrentes e posiciona ambas as afecções no topo das internações por condições sensíveis à atenção primária no Sistema Único de Saúde (SUS) [1]. O alcance das metas terapêuticas demanda vigilância estreita, ajuste oportuno de esquemas farmacológicos e consolidação do autocuidado apoiado. No cotidiano das unidades básicas, entretanto, a sobrecarga de atendimentos agudos, o tempo exíguo de consulta e a instabilidade das equipes multiprofissionais comprometem a continuidade do plano terapêutico.</w:t>
      </w:r>
    </w:p>
    <w:p>
      <w:pPr>
        <w:pStyle w:val="Normal"/>
      </w:pPr>
      <w:r>
        <w:t xml:space="preserve">O telemonitoramento configura uma alternativa para reestruturar as rotinas de acompanhamento crônico. Trata-se da coleta e transmissão sistemática de dados biológicos — prioritariamente níveis tensionais e glicemia capilar — obtidos no domicílio pelo paciente ou cuidador e integrados à avaliação da equipe de saúde [2]. Essa abordagem difere das teleconsultorias multiprofissionais e das teleconsultas ambulatoriais, modalidades estruturadas no Brasil no âmbito do Programa Nacional Telessaúde Brasil Redes [3,4]. Como instrumento de intervenção comunitária e vigilância contínua, o telemonitoramento permanece incipiente e desarticulado dos fluxos de trabalho da APS brasileira.</w:t>
      </w:r>
    </w:p>
    <w:p>
      <w:pPr>
        <w:pStyle w:val="Normal"/>
      </w:pPr>
      <w:r>
        <w:t xml:space="preserve">A literatura internacional apresenta vasta produção sobre HAS, enquanto os achados sobre DM2 mostram-se mais restritos, ambos marcados por substancial heterogeneidade metodológica. Ensaios clínicos randomizados evidenciam reduções clinicamente relevantes na pressão arterial sistólica quando a transmissão de dados é articulada a protocolos estruturados de suporte e titulação farmacológica ativa por equipes multidisciplinares [5,6]. Em contraste, a mera transmissão passiva de parâmetros, desprovida de intervenção clínica direcionada, não supera o cuidado presencial rotineiro [7,8]. Permanece em aberto sob quais configurações organizacionais a telemetria gera valor clínico tangível e como resultados provenientes de sistemas de saúde de alta renda se traduzem para a realidade de uma rede pública universal, territorializada e descentralizada como a do SUS.</w:t>
      </w:r>
    </w:p>
    <w:p>
      <w:pPr>
        <w:pStyle w:val="Normal"/>
      </w:pPr>
      <w:r>
        <w:t xml:space="preserve">Este estudo tem por objetivo analisar as principais evidências sobre o telemonitoramento de hipertensão arterial sistêmica e diabetes mellitus na Atenção Primária à Saúde e suas implicações para o Sistema Único de Saúde, com foco em efetividade clínica, custo-efetividade, aceitabilidade e barreiras de implementação. A revisão estrutura-se a partir da formulação PICO e dos preceitos metodológicos estabelecidos por Mendes, Silveira e Galvão [9], visando síntese rigorosa e transparente dos achados.</w:t>
      </w:r>
    </w:p>
    <w:p>
      <w:pPr>
        <w:pStyle w:val="Titulo1"/>
      </w:pPr>
      <w:r>
        <w:rPr>
          <w:b/>
        </w:rPr>
        <w:t xml:space="preserve">2 Métodos</w:t>
      </w:r>
    </w:p>
    <w:p>
      <w:pPr>
        <w:pStyle w:val="Titulo2"/>
      </w:pPr>
      <w:r>
        <w:rPr>
          <w:b/>
        </w:rPr>
        <w:t xml:space="preserve">Delineamento</w:t>
      </w:r>
    </w:p>
    <w:p>
      <w:pPr>
        <w:pStyle w:val="Normal"/>
      </w:pPr>
      <w:r>
        <w:t xml:space="preserve">Esta revisão integrativa seguiu seis etapas operacionais sequenciais: formulação da pergunta norteadora, busca sistemática na literatura, extração de dados, avaliação crítica dos estudos incluídos, interpretação dos achados e síntese do conhecimento [9]. Para assegurar reprodutibilidade analítica e transparência no percurso investigativo, o fluxo de identificação, triagem e elegibilidade estruturou-se de acordo com as recomendações do PRISMA 2020.</w:t>
      </w:r>
    </w:p>
    <w:p>
      <w:pPr>
        <w:pStyle w:val="Titulo2"/>
      </w:pPr>
      <w:r>
        <w:rPr>
          <w:b/>
        </w:rPr>
        <w:t xml:space="preserve">Pergunta norteadora e estratégia PICO</w:t>
      </w:r>
    </w:p>
    <w:p>
      <w:pPr>
        <w:pStyle w:val="Normal"/>
      </w:pPr>
      <w:r>
        <w:t xml:space="preserve">A formulação da questão condutora ancorou-se no acrônimo PICO:</w:t>
      </w:r>
    </w:p>
    <w:p>
      <w:pPr>
        <w:pStyle w:val="Normal"/>
      </w:pPr>
      <w:r>
        <w:t xml:space="preserve">- </w:t>
      </w:r>
      <w:r>
        <w:rPr>
          <w:b/>
        </w:rPr>
        <w:t xml:space="preserve">População (P):</w:t>
      </w:r>
      <w:r>
        <w:t xml:space="preserve"> adultos diagnosticados com hipertensão arterial sistêmica (HAS) e/ou diabetes mellitus tipo 2 (DM2) vinculados à Atenção Primária à Saúde (APS);</w:t>
      </w:r>
    </w:p>
    <w:p>
      <w:pPr>
        <w:pStyle w:val="Normal"/>
      </w:pPr>
      <w:r>
        <w:t xml:space="preserve">- </w:t>
      </w:r>
      <w:r>
        <w:rPr>
          <w:b/>
        </w:rPr>
        <w:t xml:space="preserve">Intervenção (I):</w:t>
      </w:r>
      <w:r>
        <w:t xml:space="preserve"> telemonitoramento domiciliar de parâmetros clínicos, pressóricos ou glicêmicos;</w:t>
      </w:r>
    </w:p>
    <w:p>
      <w:pPr>
        <w:pStyle w:val="Normal"/>
      </w:pPr>
      <w:r>
        <w:t xml:space="preserve">- </w:t>
      </w:r>
      <w:r>
        <w:rPr>
          <w:b/>
        </w:rPr>
        <w:t xml:space="preserve">Comparação (C):</w:t>
      </w:r>
      <w:r>
        <w:t xml:space="preserve"> acompanhamento presencial habitual ou ausência de monitoramento remoto continuado;</w:t>
      </w:r>
    </w:p>
    <w:p>
      <w:pPr>
        <w:pStyle w:val="Normal"/>
      </w:pPr>
      <w:r>
        <w:t xml:space="preserve">- *</w:t>
      </w:r>
      <w:r>
        <w:rPr>
          <w:i/>
        </w:rPr>
        <w:t xml:space="preserve">Desfechos (</w:t>
      </w:r>
      <w:r>
        <w:t xml:space="preserve">Outcomes</w:t>
      </w:r>
      <w:r>
        <w:rPr>
          <w:i/>
        </w:rPr>
        <w:t xml:space="preserve">, O):</w:t>
      </w:r>
      <w:r>
        <w:t xml:space="preserve">* controle pressórico e glicêmico, adesão terapêutica medicamentosa e comportamental, custo-efetividade, além de barreiras e fatores de aceitabilidade no contexto da APS.</w:t>
      </w:r>
    </w:p>
    <w:p>
      <w:pPr>
        <w:pStyle w:val="Normal"/>
      </w:pPr>
      <w:r>
        <w:t xml:space="preserve">A partir dessa base, consolidou-se a pergunta norteadora: </w:t>
      </w:r>
      <w:r>
        <w:rPr>
          <w:i/>
        </w:rPr>
        <w:t xml:space="preserve">Quais as principais evidências analisadas em telemonitoramento de hipertensão arterial sistêmica e diabetes mellitus na Atenção Primária à Saúde e suas implicações para o Sistema Único de Saúde?</w:t>
      </w:r>
    </w:p>
    <w:p>
      <w:pPr>
        <w:pStyle w:val="Titulo2"/>
      </w:pPr>
      <w:r>
        <w:rPr>
          <w:b/>
        </w:rPr>
        <w:t xml:space="preserve">Busca na literatura</w:t>
      </w:r>
    </w:p>
    <w:p>
      <w:pPr>
        <w:pStyle w:val="Normal"/>
      </w:pPr>
      <w:r>
        <w:t xml:space="preserve">Os levantamentos bibliográficos ocorreram em setembro de 2026 nas bases PubMed/MEDLINE e SciELO, complementados pelo Portal Regional da Biblioteca Virtual em Saúde (BVS) — contemplando LILACS, BDENF, IBECS, WHO IRIS e ColecionaSUS. Combinaram-se vocabulários controlados e termos livres nos idiomas português, inglês e espanhol: “telemonitoring”, “telemedicine”, “remote patient monitoring”, “hypertension”, “diabetes mellitus” e “primary health care”, associados pelos operadores booleanos </w:t>
      </w:r>
      <w:r>
        <w:rPr>
          <w:i/>
        </w:rPr>
        <w:t xml:space="preserve">AND</w:t>
      </w:r>
      <w:r>
        <w:t xml:space="preserve"> e </w:t>
      </w:r>
      <w:r>
        <w:rPr>
          <w:i/>
        </w:rPr>
        <w:t xml:space="preserve">OR</w:t>
      </w:r>
      <w:r>
        <w:t xml:space="preserve">, sem filtro prévio de desenho metodológico. Na base PubMed/MEDLINE, adotou-se recorte temporal a partir de 2015 exclusivamente na equação de busca ampla voltada à hipertensão; as demais buscas mantiveram escopo cronológico irrestrito, totalizando 206 registros triados. No Portal da BVS, recuperaram-se 770 produções. Após expurgo das sobreposições com o MEDLINE, 132 registros exclusivos de indexação regional e temática foram retidos para análise. A SciELO atuou na verificação adicional de estudos da América Latina.</w:t>
      </w:r>
    </w:p>
    <w:p>
      <w:pPr>
        <w:pStyle w:val="Titulo2"/>
      </w:pPr>
      <w:r>
        <w:rPr>
          <w:b/>
        </w:rPr>
        <w:t xml:space="preserve">Critérios de elegibilidade</w:t>
      </w:r>
    </w:p>
    <w:p>
      <w:pPr>
        <w:pStyle w:val="Normal"/>
      </w:pPr>
      <w:r>
        <w:t xml:space="preserve">Definiram-se como critérios de inclusão: investigações empíricas originais (ensaios clínicos randomizados, delineamentos quase-experimentais, coortes, estudos de caso-controle, inquéritos transversais e abordagens qualitativas) e revisões sistemáticas com metanálise, redigidas em português, inglês ou espanhol. O escopo centrou-se em intervenções de telemonitoramento domiciliar voltadas a adultos com HAS ou DM2 assistidos na atenção primária ou em serviços ambulatoriais com garantia de cuidado continuado. Foram excluídos estudos restritos à teleconsultoria exclusiva entre equipes de saúde sem interação de automonitoramento pelo paciente, publicações direcionadas à população pediátrica, protocolos sem desfechos consolidados (quando redundantes com ensaios finais já selecionados) e experiências pontuais de telerrastreamento sem acompanhamento longitudinal.</w:t>
      </w:r>
    </w:p>
    <w:p>
      <w:pPr>
        <w:pStyle w:val="Titulo2"/>
      </w:pPr>
      <w:r>
        <w:rPr>
          <w:b/>
        </w:rPr>
        <w:t xml:space="preserve">Seleção dos estudos e extração de dados</w:t>
      </w:r>
    </w:p>
    <w:p>
      <w:pPr>
        <w:pStyle w:val="Normal"/>
      </w:pPr>
      <w:r>
        <w:t xml:space="preserve">A seleção transcorreu em duas fases independentes, executadas por dois revisores com resolução consensual de divergências. Inicialmente, avaliaram-se 329 registros únicos por leitura detalhada de títulos e resumos. Desses, 37 artigos foram lidos na íntegra para checagem dos critérios preestabelecidos, compondo uma amostra final de 24 estudos elegíveis. A extração sistematizou informações sobre autoria, ano de publicação, país de origem, desenho de pesquisa, características populacionais, componentes da tecnologia de telemonitoramento, desfechos clínicos e funcionais observados, além de facilitadores e entraves para implantação no serviço.</w:t>
      </w:r>
    </w:p>
    <w:p>
      <w:pPr>
        <w:pStyle w:val="Titulo2"/>
      </w:pPr>
      <w:r>
        <w:rPr>
          <w:b/>
        </w:rPr>
        <w:t xml:space="preserve">Avaliação da qualidade metodológica</w:t>
      </w:r>
    </w:p>
    <w:p>
      <w:pPr>
        <w:pStyle w:val="Normal"/>
      </w:pPr>
      <w:r>
        <w:t xml:space="preserve">Em consonância com o item 11 do PRISMA 2020, avaliou-se criticamente a qualidade metodológica dos 24 artigos incorporados mediante aplicação dos instrumentos do </w:t>
      </w:r>
      <w:r>
        <w:rPr>
          <w:i/>
        </w:rPr>
        <w:t xml:space="preserve">Joanna Briggs Institute</w:t>
      </w:r>
      <w:r>
        <w:t xml:space="preserve"> (JBI). Selecionou-se a ferramenta analítica específica para a tipologia metodológica de cada artigo incluído (</w:t>
      </w:r>
      <w:r>
        <w:rPr>
          <w:i/>
        </w:rPr>
        <w:t xml:space="preserve">JBI Critical Appraisal Checklists</w:t>
      </w:r>
      <w:r>
        <w:t xml:space="preserve"> para ensaios clínicos randomizados, ensaios quase-experimentais, estudos transversais analíticos, pesquisas qualitativas e revisões sistemáticas). Dois pesquisadores pontuaram de forma independente os domínios de cada </w:t>
      </w:r>
      <w:r>
        <w:rPr>
          <w:i/>
        </w:rPr>
        <w:t xml:space="preserve">checklist</w:t>
      </w:r>
      <w:r>
        <w:t xml:space="preserve">, categorizando cada item como “sim”, “não”, “pouco claro” ou “não se aplica”. Discrepâncias analíticas foram dirimidas por consenso técnico entre os autores, subsidiando a avaliação do risco de viés e sustentando a integridade das inferências sintetizadas.</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 [5]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 [6]</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 [10]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 [11]</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 [12]</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 [13]</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 [14]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 [7]</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 [18]</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 [8]</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 [19]</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 [20]</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 [21]</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 [22]</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 [23]</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 [24]</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 [25]</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 [26]</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 [27]</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 [28]</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 [29]</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 [30]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 [31]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metodológica moderada a alta na maior parte dos ensaios analisados. As fragilidades mais recorrentes concentraram-se na ausência de mascaramento dos desfechos — limitação prática inerente à natureza das intervenções digitais — e no reporte deficiente das perdas de seguimento. Delineamentos desprovidos de grupo controle concorrente acumularam maior vulnerabilidade a vieses.</w:t>
      </w:r>
    </w:p>
    <w:p>
      <w:pPr>
        <w:pStyle w:val="Titulo2"/>
      </w:pPr>
      <w:r>
        <w:rPr>
          <w:b/>
        </w:rPr>
        <w:t xml:space="preserve">Efetividade clínica na hipertensão arterial</w:t>
      </w:r>
    </w:p>
    <w:p>
      <w:pPr>
        <w:pStyle w:val="Normal"/>
      </w:pPr>
      <w:r>
        <w:t xml:space="preserve">Entre as intervenções avaliadas em larga escala, a experiência britânica de implementação primária (n=3.200; subgrupo n=905) evidenciou queda média de 6,55 mmHg na pressão arterial sistólica (PAS), acompanhada de retração de 19% nos atendimentos presenciais quando confrontada com o ano prévio [5]. No mesmo sentido operou o ensaio HOME BP (n=622): a combinação digital de automonitoramento e suporte à autogestão acarretou redução adicional de 3,4 mmHg na PAS aos 12 meses frente ao manejo convencional [6].</w:t>
      </w:r>
    </w:p>
    <w:p>
      <w:pPr>
        <w:pStyle w:val="Normal"/>
      </w:pPr>
      <w:r>
        <w:t xml:space="preserve">Esse padrão manteve-se consistente nos centros asiáticos. Em Singapura, ensaio quase-experimental com 240 participantes demonstrou razão de chances de 2,69 para alcance do controle pressórico quando o monitoramento remoto integrou a teleconsulta, sob custo incremental de S$23.935 por QALY ganho [11]. Na China, estudo conduzido por Meng et al. (n=172) ratificou reduções pressóricas ambulatoriais mais acentuadas e taxas superiores de controle na coorte assistida por telemonitoramento com suporte técnico-clínico [10]. Ao sintetizar 25 ensaios clínicos (n=7.138), a metanálise com dados individuais de Tucker et al. delimitou o mecanismo dessa resposta: o automonitoramento estrito e isolado é inócuo (-1,0 mmHg), ao passo que a associação com suporte profissional intensivo produz queda de 6,1 mmHg [13]. A intervenção digital não age por si; depende da conduta terapêutica que mobiliza. Tal premissa elucida por que, na gestação, o automonitoramento com transmissão de dados não superou a rotina obstétrica para hipertensão crônica ou gestacional (n=850), evidenciando que a resposta clínica não é automática nem uniforme entre subgrupos de risco [14]. Sob a ótica do custo-efetividade, a modelagem TASMINH4 calculou que vincular automonitoramento a telemonitoramento posiciona-se como a conduta mais eficiente para titulação medicamentosa na APS britânica (£17.424/QALY), a despeito de variações paramétricas frente ao controle isolado [15].</w:t>
      </w:r>
    </w:p>
    <w:p>
      <w:pPr>
        <w:pStyle w:val="Normal"/>
      </w:pPr>
      <w:r>
        <w:t xml:space="preserve">O contraponto analítico mais contundente decorre do ensaio pragmático Hyperlink 3 (n=3.071): inserido em um modelo presencial já altamente qualificado e centrado em equipe, o telemonitoramento coordenado por farmacêuticos não suplantou o cuidado ambulatorial (-0,8 mmHg, sem significância estatística), embora tenha elevado os índices de satisfação dos usuários [12]. Longe de refutar a tecnologia, esse achado estabelece que sua magnitude clínica é modulada pelo padrão assistencial de referência. Conforme demonstraram análises complementares da mesma coorte, o gatilho terapêutico reside na intensificação farmacológica orientada por protocolos [16], gerando, em horizonte de cinco anos, redução tangível de eventos cardiovasculares (4,4% versus 8,6%) e economia líquida de US$1.900 por indivíduo assistido [17].</w:t>
      </w:r>
    </w:p>
    <w:p>
      <w:pPr>
        <w:pStyle w:val="Titulo2"/>
      </w:pPr>
      <w:r>
        <w:rPr>
          <w:b/>
        </w:rPr>
        <w:t xml:space="preserve">Efetividade clínica no diabetes mellitus e em multimorbidade</w:t>
      </w:r>
    </w:p>
    <w:p>
      <w:pPr>
        <w:pStyle w:val="Normal"/>
      </w:pPr>
      <w:r>
        <w:t xml:space="preserve">No diabetes mellitus tipo 2, as evidências revelam-se menos uniformes. Ensaio clínico randomizado conduzido nos Estados Unidos não identificou impacto mensurável sobre a hemoglobina glicada (HbA1c) ou a PAS após doze semanas de telemonitoramento domiciliar [7]. Respostas nulas análogas foram documentadas tanto no ensaio por conglomerados desenvolvido na Malásia (n=240) [18] quanto no ensaio clínico finlandês apoiado em telecoaching e medidas biométricas remotas [8].</w:t>
      </w:r>
    </w:p>
    <w:p>
      <w:pPr>
        <w:pStyle w:val="Normal"/>
      </w:pPr>
      <w:r>
        <w:t xml:space="preserve">Contrastando com essa tendência de neutralidade, um estudo observacional pré e pós-intervenção em Utah registrou expressiva inflexão glicêmica (HbA1c de 9,73% para 7,81%) e tensional (PAS de 130,7 para 122,9 mmHg) [19]. A ausência de grupo controle nessa experiência, contudo, sugere que o efeito decorreu primordialmente da intensidade do acompanhamento multiprofissional, e não do aparato digital isolado. Já no segmento de idosos com multimorbidade, o telemonitoramento demonstrou valor preventivo objetivo: o ensaio francês multicêntrico eCOBAHLT (n=534) apontou retração de 28% no risco de reinternações hospitalares não planejadas ao longo de um ano (RR 0,72; IC95% 0,51–0,94) [20].</w:t>
      </w:r>
    </w:p>
    <w:p>
      <w:pPr>
        <w:pStyle w:val="Titulo2"/>
      </w:pPr>
      <w:r>
        <w:rPr>
          <w:b/>
        </w:rPr>
        <w:t xml:space="preserve">Evidência brasileira e latino-americana</w:t>
      </w:r>
    </w:p>
    <w:p>
      <w:pPr>
        <w:pStyle w:val="Normal"/>
      </w:pPr>
      <w:r>
        <w:t xml:space="preserve">A produção científica brasileira identificada compõe-se de seis publicações, com destaque empírico para o estado do Paraná. Investigação qualitativa com enfermeiras atuantes em oito municípios paranaenses apontou que o acompanhamento remoto otimiza o autocuidado, solidifica o vínculo longitudinal com a equipe e racionaliza o fluxo assistencial; em contrapartida, as profissionais destacaram limitações estruturais severas, tais como escassez de infraestrutura digital, alta rotatividade funcional, sobrecarga e adesão oscilante dos pacientes [21].</w:t>
      </w:r>
    </w:p>
    <w:p>
      <w:pPr>
        <w:pStyle w:val="Normal"/>
      </w:pPr>
      <w:r>
        <w:t xml:space="preserve">Na mesma linha de atuação da APS paranaense, intervenção educativa remota centrada no letramento em saúde de hipertensos resultou em ganho de conhecimento sobre o curso clínico e maior adesão terapêutica [22]. Em paralelo, inquérito com 65 enfermeiras da 15ª Regional de Saúde do Paraná demonstrou que a prontidão institucional para empregar ferramentas remotas cresce com o treinamento prévio, enquanto o déficit de capacitação e a carência de dispositivos persistem como barreiras operacionais estruturantes [23]. No plano epidemiológico, o estudo TeleMRPA consolidou a maior amostragem nacional (n=6.731), atestando a utilidade da medição residencial remota na detecção de hipertensão mascarada e efeito do avental branco não identificados na rotina de consultório [24]. Complementam o quadro nacional um estudo de viabilidade em 134 usuários da atenção básica baiana, que reiterou discrepâncias expressivas entre as aferições clínicas e domiciliares [25], e um ensaio piloto em Belo Horizonte (n=28), no qual o telemonitoramento glicêmico promoveu redução substancial da HbA1c restrita ao braço experimental [26].</w:t>
      </w:r>
    </w:p>
    <w:p>
      <w:pPr>
        <w:pStyle w:val="Normal"/>
      </w:pPr>
      <w:r>
        <w:t xml:space="preserve">No cenário latino-americano, revisão colombiana posicionou a telessaúde como conduta custo-efetiva e resolutiva para a gestão do diabetes mellitus tipo 2 no primeiro nível de atenção [27], ao passo que a iniciativa chilena COSMOS comprovou a exequibilidade operacional de conectar mensagens de texto e respostas de voz automatizadas à rotina dos centros de saúde da família [28].</w:t>
      </w:r>
    </w:p>
    <w:p>
      <w:pPr>
        <w:pStyle w:val="Titulo2"/>
      </w:pPr>
      <w:r>
        <w:rPr>
          <w:b/>
        </w:rPr>
        <w:t xml:space="preserve">Aceitabilidade, custos e implementação</w:t>
      </w:r>
    </w:p>
    <w:p>
      <w:pPr>
        <w:pStyle w:val="Normal"/>
      </w:pPr>
      <w:r>
        <w:t xml:space="preserve">A absorção do telemonitoramento é modulada de forma contundente pelos determinantes socioterritoriais. Na Eslovênia, avaliação mista conduzida com idosos portadores de hipertensão e diabetes (n=55 quantitativo; n=29 qualitativo) aferiu escore global de aceitabilidade de 4,4 em 5, mas documentou descompasso relevante no estrato rural, cujos participantes enfrentaram curvas de aprendizado mais íngremes [29]. Situação semelhante emergiu em estudo qualitativo escocês durante a pandemia de covid-19: o suporte remoto facilitou o itinerário de quem já dominava recursos tecnológicos, mas aprofundou o isolamento daqueles que careciam de letramento digital prévio [30].</w:t>
      </w:r>
    </w:p>
    <w:p>
      <w:pPr>
        <w:pStyle w:val="Normal"/>
      </w:pPr>
      <w:r>
        <w:t xml:space="preserve">As experiências eslovena e escocesa convergem para o mesmo alerta: sem intervenções de nivelamento, o monitoramento remoto pode concentrar benefícios nos grupos menos vulneráveis. Em sentido oposto, ensaio piloto conduzido nos Estados Unidos com sobreviventes de acidente vascular cerebral em sua maioria negros e hispânicos (n=50) demonstrou que suporte de enfermagem estruturado, materiais visuais adaptados e videoconsultas propiciaram decréscimo de 16 mmHg na PAS domiciliar, contra aumento de 3 mmHg no controle usual [31]. O delineamento inclusivo revelou-se determinante. Quanto à dimensão econômica, o protocolo esloveno delineado para APS [32] fundamentou posterior análise de custos 'bottom-up': custos médios anuais por usuário de €489 em infraestrutura e €97 operacionais associaram-se a uma expressiva queda nos desembolsos de bolso dos pacientes, que despencaram de €545 para €132 anuais [33]. Por fim, médicos da atenção primária americana destacaram que transferir atribuições de monitoramento a farmacêuticos integrados à equipe preserva o tempo médico e ancora a sustentabilidade do modelo [34].</w:t>
      </w:r>
    </w:p>
    <w:p>
      <w:pPr>
        <w:pStyle w:val="Titulo1"/>
      </w:pPr>
      <w:r>
        <w:rPr>
          <w:b/>
        </w:rPr>
        <w:t xml:space="preserve">4 Discussão</w:t>
      </w:r>
    </w:p>
    <w:p>
      <w:pPr>
        <w:pStyle w:val="Titulo2"/>
      </w:pPr>
      <w:r>
        <w:rPr>
          <w:b/>
        </w:rPr>
        <w:t xml:space="preserve">Resumo dos principais achados</w:t>
      </w:r>
    </w:p>
    <w:p>
      <w:pPr>
        <w:pStyle w:val="Normal"/>
      </w:pPr>
      <w:r>
        <w:t xml:space="preserve">O telemonitoramento não funciona isoladamente. Os dados revelam que o benefício clínico depende de um arranjo assistencial bem estruturado: titulação medicamentosa protocolada, acompanhamento longitudinal por enfermagem ou farmácia clínica e suporte comportamental sistemático [5,6,10,13]. Sem esses componentes — ou quando inserido em serviços presenciais que já operam com elevado padrão de coordenação —, o impacto da tecnologia torna-se nulo [12]. Margolis et al. [16] demonstraram formalmente esse mecanismo: a redução dos níveis tensionais decorre da intensificação terapêutica e do hábito de automonitoramento pressórico, e não da transmissão telemétrica dos dados em si.</w:t>
      </w:r>
    </w:p>
    <w:p>
      <w:pPr>
        <w:pStyle w:val="Normal"/>
      </w:pPr>
      <w:r>
        <w:t xml:space="preserve">A divergência observada entre o controle da hipertensão arterial e o do diabetes mellitus decorre do desenho dos ensaios, e não de particularidades biológicas. Ensaios em hipertensão avaliaram intervenções multifacetadas com ajuste medicamentoso pró-ativo [5,6,10,13]. No diabetes, predominaram estudos com acompanhamento remoto desprovido de suporte clínico contínuo [7,8,18]. Essa fragilidade operacional soma-se a entraves sociotécnicos: o modelo falha entre pacientes idosos, populações rurais e grupos com baixo letramento digital [29,30], ao mesmo tempo em que sobrecarrega as equipes de saúde da família e esbarra na falta de interoperabilidade dos sistemas de informação [21,34]. Na realidade da Atenção Primária do Sistema Único de Saúde (SUS), o cenário ganha gravidade com a escassez de esfigmomanômetros digitais calibrados, a alta rotatividade de profissionais e a descontinuidade do vínculo comunitário [21,23,25,26].</w:t>
      </w:r>
    </w:p>
    <w:p>
      <w:pPr>
        <w:pStyle w:val="Titulo2"/>
      </w:pPr>
      <w:r>
        <w:rPr>
          <w:b/>
        </w:rPr>
        <w:t xml:space="preserve">Forças e limitações</w:t>
      </w:r>
    </w:p>
    <w:p>
      <w:pPr>
        <w:pStyle w:val="Normal"/>
      </w:pPr>
      <w:r>
        <w:t xml:space="preserve">Esta revisão sintetiza evidências de sistemas de saúde distintos sob a ótica operacional da APS, diferenciando a maturidade metodológica dos estudos em hipertensão das lacunas persistentes no diabetes. A triagem independente por pares assegurou rigor na extração e minimizou vieses de seleção [9]. Contudo, a marcante heterogeneidade clínica — frequências desiguais de transmissão de dados, diferentes durações de seguimento e variações na aferição laboratorial — impediu o agrupamento metanalítico.</w:t>
      </w:r>
    </w:p>
    <w:p>
      <w:pPr>
        <w:pStyle w:val="Normal"/>
      </w:pPr>
      <w:r>
        <w:t xml:space="preserve">Identificaram-se inconsistências técnicas relevantes na literatura analisada. Destaca-se a ausência de padronização nas unidades de medida de biomarcadores inflamatórios entre os estudos que avaliaram risco cardiometabólico global, como a alternância não corrigida de proteína C-reativa entre mg/L e mg/dL, o que distorce comparações diretas de magnitude de efeito. Outra limitação substancial consiste na quase exclusiva dependência de desfechos substitutos ou intermediários — redução de milímetros de mercúrio (mmHg) na pressão arterial ou pontos percentuais de hemoglobina glicada (HbA1c). Ensaios com poder estatístico adequado para mensurar desfechos duros, a exemplo de mortalidade cardiovascular, infarto agudo do miocárdio, acidente vascular cerebral e internações por condições sensíveis à atenção primária, permanecem escassos na atenção primária [1,20]. Por fim, a restrição da busca a bases públicas de livre acesso (PubMed/MEDLINE, SciELO e BVS/LILACS), excluindo bases comerciais indexadas, reflete o foco no contexto do SUS, mas reitera a necessidade de ensaios clínicos pragmáticos conduzidos no território nacional.</w:t>
      </w:r>
    </w:p>
    <w:p>
      <w:pPr>
        <w:pStyle w:val="Titulo2"/>
      </w:pPr>
      <w:r>
        <w:rPr>
          <w:b/>
        </w:rPr>
        <w:t xml:space="preserve">Comparação com a literatura</w:t>
      </w:r>
    </w:p>
    <w:p>
      <w:pPr>
        <w:pStyle w:val="Normal"/>
      </w:pPr>
      <w:r>
        <w:t xml:space="preserve">Os resultados alinham-se à metanálise de Mihevc et al. [35], que avaliou 54 ensaios clínicos na atenção primária e registrou redução ponderada de -5,63 mmHg na pressão arterial sistólica aos seis meses, vinculando o efeito à tríade telemonitoramento, teleconsultas e educação em saúde. O presente trabalho confirma essa lógica: a ferramenta digital só traz ganhos quando altera a dinâmica assistencial. No Brasil, essa integração ocorre de maneira irregular. A assimetria observada reflete os diagnósticos de Sarti e Almeida [4] e Schmitz e Harzheim [3] para o Programa Telessaúde Brasil Redes: descompasso entre a oferta tecnológica, a pactuação interfederativa e a capacitação das equipes locais, convertendo limitações clínicas e desigualdades orçamentárias em barreiras crônicas de acesso.</w:t>
      </w:r>
    </w:p>
    <w:p>
      <w:pPr>
        <w:pStyle w:val="Titulo2"/>
      </w:pPr>
      <w:r>
        <w:rPr>
          <w:b/>
        </w:rPr>
        <w:t xml:space="preserve">Implicações para a prática e para a pesquisa</w:t>
      </w:r>
    </w:p>
    <w:p>
      <w:pPr>
        <w:pStyle w:val="Normal"/>
      </w:pPr>
      <w:r>
        <w:t xml:space="preserve">A fragilidade metodológica dos ensaios disponíveis e as limitações de infraestrutura do SUS impõem parcimônia na incorporação de tecnologias remotas. No curto prazo, projetos de telemonitoramento de hipertensão arterial na APS devem priorizar protocolos clínicos conduzidos por enfermeiros e farmacêuticos [12,21,23], aproveitando a infraestrutura instalada dos Núcleos de Telessaúde [3,4]. A equidade no acesso precisa ser planejada desde a concepção do programa: ferramentas de baixa complexidade técnica, como mensagens de texto assíncronas (SMS), integradas ao trabalho de campo dos agentes comunitários de saúde, ampliam o alcance entre usuários de baixa escolaridade [22,28,31].</w:t>
      </w:r>
    </w:p>
    <w:p>
      <w:pPr>
        <w:pStyle w:val="Normal"/>
      </w:pPr>
      <w:r>
        <w:t xml:space="preserve">No manejo do diabetes mellitus, a incerteza dos dados contraindica a aquisição de plataformas proprietárias em larga escala sem validação em estudos-piloto locais [7,8,18,26]. Observa-se também carência de estudos de avaliação econômica contextualizados. Parâmetros internacionais de custo-efetividade, como o teto britânico de £20.000 por ano de vida ajustado pela qualidade (QALY) [15], não se aplicam à restrição orçamentária do SUS sem calibração específica [11,17,33]. Somente ensaios clínicos pragmáticos e multicêntricos, desenvolvidos na rotina das Unidades Básicas de Saúde brasileiras e focados em desfechos clínicos duros, fornecerão subsídios para formular diretrizes públicas eficientes e sustentáveis.</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 – Revisão Integrativa</dc:title>
  <dc:creator>Autor</dc:creator>
  <cp:lastModifiedBy>Autor</cp:lastModifiedBy>
  <cp:revision>1</cp:revision>
  <dcterms:created xsi:type="dcterms:W3CDTF">2026-10-07T01:11:53Z</dcterms:created>
  <dcterms:modified xsi:type="dcterms:W3CDTF">2026-10-07T01:11:53Z</dcterms:modified>
</cp:coreProperties>
</file>