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Lipoproteína(a) sérica como preditora independente de eventos cardiovasculares adversos em adultos: revisão integrativa da literatura</w:t>
      </w:r>
    </w:p>
    <w:p>
      <w:pPr>
        <w:pStyle w:val="Titulo"/>
      </w:pPr>
      <w:r>
        <w:t xml:space="preserve">Serum lipoprotein(a) as an independent predictor of adverse cardiovascular events in adults: an integrative literature review</w:t>
      </w:r>
    </w:p>
    <w:p>
      <w:pPr>
        <w:pStyle w:val="Titulo"/>
      </w:pPr>
      <w: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184</TotalTime>
  <Pages>12</Pages>
  <Words>4500</Words>
  <Characters>26000</Characters>
  <Application>Microsoft Macintosh Word</Application>
  <DocSecurity>0</DocSecurity>
  <Lines>210</Lines>
  <Paragraphs>85</Paragraphs>
  <ScaleCrop>false</ScaleCrop>
  <Company>Universidade</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Sistemática</dc:title>
  <dc:creator>Pesquisador Responsável</dc:creator>
  <cp:lastModifiedBy>Pesquisador Responsável</cp:lastModifiedBy>
  <cp:revision>3</cp:revision>
  <dcterms:created xsi:type="dcterms:W3CDTF">2026-09-24T21:16:57Z</dcterms:created>
  <dcterms:modified xsi:type="dcterms:W3CDTF">2026-10-01T21:16:57Z</dcterms:modified>
</cp:coreProperties>
</file>