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Papel da Lipoproteína(a) na Síndrome Coronariana Aguda: Revisão Integrativa</w:t>
      </w:r>
    </w:p>
    <w:p>
      <w:pPr>
        <w:pStyle w:val="Titulo"/>
      </w:pPr>
      <w:r>
        <w:rPr>
          <w:b/>
        </w:rPr>
        <w:t xml:space="preserve">Serum lipoprotein(a) as an independent predictor of adverse cardiovascular events in adults: an integrative literature review</w:t>
      </w:r>
    </w:p>
    <w:p>
      <w:pPr>
        <w:pStyle w:val="Titulo"/>
      </w:pPr>
      <w:r>
        <w:rPr>
          <w:b/>
        </w:rPr>
        <w:t xml:space="preserve">Lipoproteína(a) sérica como predictora independiente de eventos cardiovasculares adversos en adultos: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Avaliar o impacto prognóstico da lipoproteína(a) sérica como preditor independente de desfechos cardiovasculares adversos em adultos com síndrome coronariana aguda. </w:t>
      </w:r>
      <w:r>
        <w:rPr>
          <w:b/>
        </w:rPr>
        <w:t xml:space="preserve">Métodos:</w:t>
      </w:r>
      <w:r>
        <w:t xml:space="preserve"> Revisão integrativa executada em 29 de setembro de 2026 nas bases PubMed/MEDLINE, SciELO e LILACS, compreendendo publicações entre 2021 e 2026 em português, inglês e espanhol. De 209 registros levantados e 179 triados, incluíram-se 30 estudos (18 coortes prospectivas, 11 retrospectivas e um ensaio clínico randomizado), abrangendo dados de 16 países. </w:t>
      </w:r>
      <w:r>
        <w:rPr>
          <w:b/>
        </w:rPr>
        <w:t xml:space="preserve">Resultados:</w:t>
      </w:r>
      <w:r>
        <w:t xml:space="preserve"> Concentrações séricas elevadas de lipoproteína(a) associaram-se a infarto agudo do miocárdio recorrente, reestenose intra-stent e mortalidade cardiovascular. Em pacientes com menos de 60 anos, níveis basais aumentados dobraram o risco de aterosclerose precoce e acometimento multivascular grave, além de ampliarem a incidência de acidente vascular cerebral isquêmico aterotrombótico, sem correlação com eventos hemorrágicos intracranianos. A coexistência de inflamação sistêmica ativa (interleucina-6 e proteína C-reativa ultrassensível elevadas) e de esteatose hepática metabólica potencializou o risco isquêmico. Em contrapartida, em coortes com diabetes mellitus sob prevenção secundária intensiva, o valor preditivo da partícula para desfechos compostos perdeu significância estatística. </w:t>
      </w:r>
      <w:r>
        <w:rPr>
          <w:b/>
        </w:rPr>
        <w:t xml:space="preserve">Conclusão:</w:t>
      </w:r>
      <w:r>
        <w:t xml:space="preserve"> A lipoproteína(a) elevada constitui biomarcador do risco aterotrombótico residual após síndrome coronariana aguda, sobretudo diante de inflamação vascular ativa, fundamentando a estratificação de risco individualizada.</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evaluate the prognostic impact of elevated serum lipoprotein(a) as an independent predictor of adverse cardiovascular outcomes in adults with acute coronary syndrome. </w:t>
      </w:r>
      <w:r>
        <w:rPr>
          <w:b/>
        </w:rPr>
        <w:t xml:space="preserve">Methods:</w:t>
      </w:r>
      <w:r>
        <w:t xml:space="preserve"> Integrative review conducted on September 29, 2026, across PubMed/MEDLINE, SciELO, and LILACS databases, covering publications between 2021 and 2026 in Portuguese, English, and Spanish. From 209 identified and 179 screened records, 30 studies were included (18 prospective cohorts, 11 retrospective cohorts, and one randomized clinical trial) spanning 16 countries. </w:t>
      </w:r>
      <w:r>
        <w:rPr>
          <w:b/>
        </w:rPr>
        <w:t xml:space="preserve">Results:</w:t>
      </w:r>
      <w:r>
        <w:t xml:space="preserve"> Elevated serum lipoprotein(a) concentrations were associated with recurrent acute myocardial infarction, in-stent restenosis, and cardiovascular mortality. In patients younger than 60 years, elevated baseline levels doubled the risk of premature atherosclerosis and multivessel disease, while also correlating with atherothrombotic ischemic stroke, without association with intracranial hemorrhage. Concomitant systemic inflammation (elevated interleukin-6 and high-sensitivity C-reactive protein) and metabolic dysfunction-associated steatotic liver disease amplified ischemic risk. Conversely, among diabetic subcohorts under intensive secondary prevention, the predictive value for composite endpoints lost statistical significance. </w:t>
      </w:r>
      <w:r>
        <w:rPr>
          <w:b/>
        </w:rPr>
        <w:t xml:space="preserve">Conclusion:</w:t>
      </w:r>
      <w:r>
        <w:t xml:space="preserve"> Elevated lipoprotein(a) serves as an independent marker of residual atherothrombotic risk following acute coronary syndrome, particularly in the presence of systemic inflammation, supporting tailored risk stratification.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cardiovascular residual desafia continuamente a prevenção secundária e terciária das doenças ateroscleróticas [1-3]. Mesmo após a redução intensiva do colesterol da lipoproteína de baixa densidade (LDL-C) a valores inferiores a 55 mg/dL sob estatinas de alta potência, cerca de 87% dos indivíduos pós-infarto mantêm alterações em parâmetros lipídicos não tradicionais, destacando-se a lipoproteína(a) [Lp(a)] elevada em 21% dessa coorte [1]. Estimativas populacionais e hospitalares apontam ampla variação na prevalência de Lp(a) alterada, de 11,1% em biobancos a 44% em centros cardiológicos terciários, onde 7% dos pacientes alcançam níveis séricos superiores a 400 nmol/L [2,4].</w:t>
      </w:r>
    </w:p>
    <w:p>
      <w:pPr>
        <w:pStyle w:val="Normal"/>
      </w:pPr>
      <w:r>
        <w:t xml:space="preserve">Estudos prospectivos e dados de randomização mendeliana posicionam a Lp(a) como causa direta e preditor independente da aterogênese [3,5,6]. O impacto dessa exposição inicia-se precocemente: jovens com concentrações séricas ≥ 30 mg/dL apresentam risco duplicado de aterosclerose sintomática na vida adulta (</w:t>
      </w:r>
      <w:r>
        <w:rPr>
          <w:i/>
        </w:rPr>
        <w:t xml:space="preserve">hazard ratio</w:t>
      </w:r>
      <w:r>
        <w:t xml:space="preserve"> [HR]: 2,0; intervalo de confiança de 95% [IC 95%]: 1,4-2,6) [6]. Em indivíduos com infarto agudo do miocárdio prematuro, valores de Lp(a) ≥ 50 mg/dL correlacionam-se à aterosclerose coronariana multivascular (r = 0,303) [7]. Essa capacidade preditiva independe da carga calcificada basal: em adultos assintomáticos sem calcificação coronariana mensurável (CAC = 0), a Lp(a) &gt; 50 mg/dL previu novos eventos vasculares (HR: 1,28; IC 95%: 1,01-1,60), risco que atinge proporções acentuadas na presença de CAC ≥ 300 (HR: 6,12; IC 95%: 4,80-7,81) [5].</w:t>
      </w:r>
    </w:p>
    <w:p>
      <w:pPr>
        <w:pStyle w:val="Normal"/>
      </w:pPr>
      <w:r>
        <w:t xml:space="preserve">No acompanhamento pós-revascularização percutânea ou cirúrgica, a elevação da Lp(a) impõe desfechos desfavoráveis consistentes [8-11]. Pacientes submetidos à intervenção coronariana percutânea registram maior incidência de novo infarto miocárdico (HR: 1,89; p = 0,002), sobremortalidade cardiovascular (HR: 2,23; p = 0,001) e reestenose intra-</w:t>
      </w:r>
      <w:r>
        <w:rPr>
          <w:i/>
        </w:rPr>
        <w:t xml:space="preserve">stent</w:t>
      </w:r>
      <w:r>
        <w:t xml:space="preserve"> (HR: 1,28; IC 95%: 1,04-1,56) [8,11]. Em infartos com supradesnivelamento do segmento ST, teores aumentados associam-se a risco quase duas vezes superior de eventos adversos maiores (HR: 1,932; IC 95%: 1,255-2,974) [9], com gradiente prognóstico dependente da complexidade anatômica (SYNTAX ≥ 33; HR: 1,62; IC 95%: 1,13-2,32) [10]. No acometimento cerebrovascular isquêmico, concentrações superiores a 125 nmol/L relacionam-se especificamente ao infarto encefálico (HR: 1,12; IC 95%: 1,02-1,22), poupando os subtipos hemorrágicos [4]. Paralelamente, a lipoproteína correlaciona-se à etiologia aterosclerótica de grandes artérias em pacientes com menos de 60 anos (</w:t>
      </w:r>
      <w:r>
        <w:rPr>
          <w:i/>
        </w:rPr>
        <w:t xml:space="preserve">odds ratio</w:t>
      </w:r>
      <w:r>
        <w:t xml:space="preserve"> [OR]: 4,04; IC 95%: 1,73-9,43) [12] e ao risco residual de desfechos coronarianos (HR: 1,607; IC 95%: 1,007-2,563), sem demonstrar o mesmo impacto sobre a recorrência de infarto cerebral em sobreviventes sob atorvastatina [13].</w:t>
      </w:r>
    </w:p>
    <w:p>
      <w:pPr>
        <w:pStyle w:val="Normal"/>
      </w:pPr>
      <w:r>
        <w:t xml:space="preserve">A nocividade vascular da Lp(a) é potencializada por sinergismo inflamatório e distúrbios metabólicos [14-17]. A coexistência de Lp(a) ≥ 30 mg/dL e proteína C-reativa ultrassensível ≥ 2 mg/L duplica o risco de morte cardiovascular pós-infarto (HR: 2,346; IC 95%: 1,054-5,220) em relação ao controle simultâneo de ambos os marcadores [17], padrão corroborado pelo efeito aditivo documentado entre Lp(a) e interleucina-6 [16]. Na disfunção metabólica hepática associada à esteatose, a interação entre Lp(a) elevada e resistência insulínica determinou o ápice de mortalidade vascular (HR: 2,04; IC 95%: 1,63-2,55) [15]. Em paralelo, adicionar a dosagem de Lp(a) &gt; 50 mg/dL (HR: 2,5; IC 95%: 1,6-3,9) a escores clínicos de hipercolesterolemia familiar refinou a predição prognóstica ao elevar a estatística C para 0,75 [14].</w:t>
      </w:r>
    </w:p>
    <w:p>
      <w:pPr>
        <w:pStyle w:val="Normal"/>
      </w:pPr>
      <w:r>
        <w:t xml:space="preserve">A despeito dessas associações, persistem discordâncias que demandam síntese crítica [18-21]. Avaliações por ultrassom intravascular em coronariopatas demonstraram que, embora a Lp(a) &gt; 125 nmol/L se associe a maior volume percentual de ateroma (40,7% vs. 38,6%; p = 0,028), essa alteração estrutural não se converteu em excesso de eventos adversos em cinco anos (HR: 1,06; IC 95%: 0,70-1,60) nem em mortalidade em dez anos [18]. Ademais, coortes populacionais indicam que o excesso de mortalidade restringe-se a indivíduos previamente alocados em estratos de alto risco clássico (sHR: 1,21; IC 95%: 1,09-1,36 para Lp(a) &gt; 75 mg/dL), diluindo-se no risco basal intermediário ou baixo [19]. A heterogeneidade de isoformas da apolipoproteína(a) de baixo peso molecular [20] e a ausência de valor discriminatório em determinados subgrupos com diabetes mellitus [21] aprofundam essas divergências. Adiciona-se a isso a escassa contextualização dos dados em populações latino-americanas [1,7,14], frente à predominância de registros norte-americanos e europeus.</w:t>
      </w:r>
    </w:p>
    <w:p>
      <w:pPr>
        <w:pStyle w:val="Normal"/>
      </w:pPr>
      <w:r>
        <w:t xml:space="preserve">Frente a essas lacunas, esta revisão sistemática analisou as evidências científicas sobre o papel da lipoproteína(a) elevada como preditor independente de eventos cardiovasculares adversos em adultos, detalhando sua relevância clínica e prognóstica no espectro da síndrome coronariana aguda.</w:t>
      </w:r>
    </w:p>
    <w:p>
      <w:pPr>
        <w:pStyle w:val="Titulo1"/>
      </w:pPr>
      <w:r>
        <w:rPr>
          <w:b/>
        </w:rPr>
        <w:t xml:space="preserve">2 Métodos</w:t>
      </w:r>
    </w:p>
    <w:p>
      <w:pPr>
        <w:pStyle w:val="Titulo2"/>
      </w:pPr>
      <w:r>
        <w:rPr>
          <w:b/>
        </w:rPr>
        <w:t xml:space="preserve">2.1 Delineamento e pergunta norteadora</w:t>
      </w:r>
    </w:p>
    <w:p>
      <w:pPr>
        <w:pStyle w:val="Normal"/>
      </w:pPr>
      <w:r>
        <w:t xml:space="preserve">Conduziu-se uma revisão integrativa fundamentada nos referenciais de Mendes, Silveira e Galvão e de Whittemore e Knafl, associada aos itens pertinentes da diretriz PRISMA 2020 [22] para conferir rigor ao rastreamento e à seleção dos estudos primários. A formulação do problema baseou-se na estratégia PICoS: população (P) composta por adultos em prevenção primária ou secundária cardiovascular; interesse (I) centrado nos níveis séricos elevados de lipoproteína(a) [Lp(a)]; contexto (Co) focado na predição independente de desfechos cardiovasculares adversos maiores em coortes ou estudos caso-controle; e delineamento (S) restrito a estudos observacionais analíticos e análises </w:t>
      </w:r>
      <w:r>
        <w:rPr>
          <w:i/>
        </w:rPr>
        <w:t xml:space="preserve">post hoc</w:t>
      </w:r>
      <w:r>
        <w:t xml:space="preserve"> de ensaios clínicos controlados. Estabeleceu-se, assim, a seguinte questão condutora: qual o impacto da concentração sérica elevada de lipoproteína(a) como preditor independente de desfechos cardiovasculares clínicos em adultos?</w:t>
      </w:r>
    </w:p>
    <w:p>
      <w:pPr>
        <w:pStyle w:val="Titulo2"/>
      </w:pPr>
      <w:r>
        <w:rPr>
          <w:b/>
        </w:rPr>
        <w:t xml:space="preserve">2.2 Bases de dados e cronograma de busca</w:t>
      </w:r>
    </w:p>
    <w:p>
      <w:pPr>
        <w:pStyle w:val="Normal"/>
      </w:pPr>
      <w:r>
        <w:t xml:space="preserve">A recuperação da literatura ocorreu nas bases PubMed/MEDLINE, SciELO e LILACS. O acesso ao PubMed/MEDLINE deu-se pela interface de programação </w:t>
      </w:r>
      <w:r>
        <w:rPr>
          <w:i/>
        </w:rPr>
        <w:t xml:space="preserve">E-utilities</w:t>
      </w:r>
      <w:r>
        <w:t xml:space="preserve"> do </w:t>
      </w:r>
      <w:r>
        <w:rPr>
          <w:i/>
        </w:rPr>
        <w:t xml:space="preserve">National Center for Biotechnology Information</w:t>
      </w:r>
      <w:r>
        <w:t xml:space="preserve"> (NCBI); no SciELO, operou-se pelo portal integrado de pesquisa (search.scielo.org); e, na LILACS, utilizou-se o Portal Regional da Biblioteca Virtual em Saúde (pesquisa.bvsalud.org). A busca final encerrou-se em 29 de setembro de 2026. A explicitação da data decorre da indexação contínua das plataformas, circunstância em que repetições futuras da equação de busca podem gerar contagens divergentes de registros.</w:t>
      </w:r>
    </w:p>
    <w:p>
      <w:pPr>
        <w:pStyle w:val="Titulo2"/>
      </w:pPr>
      <w:r>
        <w:rPr>
          <w:b/>
        </w:rPr>
        <w:t xml:space="preserve">2.3 Estratégias de busca e descritores</w:t>
      </w:r>
    </w:p>
    <w:p>
      <w:pPr>
        <w:pStyle w:val="Normal"/>
      </w:pPr>
      <w:r>
        <w:t xml:space="preserve">O vocabulário controlado congregou descritores do </w:t>
      </w:r>
      <w:r>
        <w:rPr>
          <w:i/>
        </w:rPr>
        <w:t xml:space="preserve">Medical Subject Headings</w:t>
      </w:r>
      <w:r>
        <w:t xml:space="preserve"> (MeSH) — "Lipoprotein(a)", "Myocardial Infarction", "Stroke" — e dos Descritores em Ciências da Saúde (DeCS) — "Lipoproteína(a)", "Doenças Cardiovasculares", "Infarto do Miocárdio". Termos livres e variantes textuais foram concatenados por operadores booleanos AND e OR. O Quadro 1 detalha a sintaxe utilizada, os filtros aplicados e os volumes recuperados.</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temporal, idioma, gratuidade de texto e formato do documento constam na própria linha de sintaxe.</w:t>
      </w:r>
    </w:p>
    <w:p>
      <w:pPr>
        <w:pStyle w:val="Titulo2"/>
      </w:pPr>
      <w:r>
        <w:rPr>
          <w:b/>
        </w:rPr>
        <w:t xml:space="preserve">2.4 Critérios de elegibilidade</w:t>
      </w:r>
    </w:p>
    <w:p>
      <w:pPr>
        <w:pStyle w:val="Normal"/>
      </w:pPr>
      <w:r>
        <w:t xml:space="preserve">Adotou-se hierarquização estrita na seleção. Foram admitidos estudos primários observacionais ou de intervenção publicados entre 2021 e 2026, redigidos em português, inglês ou espanhol, com texto integral livre, desde que avaliassem os níveis séricos de lipoproteína(a) como preditor ou fator de risco independente para desfechos ateroscleróticos por modelagem multivariada ajustada. Excluíram-se revisões de escopo, integrativas, narrativas ou sistemáticas, metanálises, editoriais, cartas, pareceres de especialistas, diretrizes, resumos de anais e relatos de caso. Eliminaram-se ainda artigos retratados, publicações sem resumo e trabalhos voltados estritamente à estenose valvar aórtica sem desfechos cardiovasculares sistêmicos, bem como aqueles desprovidos de ajuste para covariáveis lipídicas e fatores de risco convencionais.</w:t>
      </w:r>
    </w:p>
    <w:p>
      <w:pPr>
        <w:pStyle w:val="Titulo2"/>
      </w:pPr>
      <w:r>
        <w:rPr>
          <w:b/>
        </w:rPr>
        <w:t xml:space="preserve">2.5 Seleção dos estudos e extração dos dados</w:t>
      </w:r>
    </w:p>
    <w:p>
      <w:pPr>
        <w:pStyle w:val="Normal"/>
      </w:pPr>
      <w:r>
        <w:t xml:space="preserve">Identificadores persistentes (DOI e PMID) e comparação direta de títulos permitiram a remoção das redundâncias. A triagem de títulos e resumos foi executada por dois avaliadores independentes, que catalogaram individualmente as razões de exclusão. As variáveis extraídas dos relatórios admitidos (autoria, cronologia, país, delineamento, características da amostra, fatores de ajuste e estimativas de risco) foram compiladas em planilha padronizada, sob conferência cruzada de todos os parâmetros numéricos diretamente nos artigos-fonte. Dentre os 51 registros de SciELO e LILACS afastados inicialmente por inadequação temática ou de desfecho, realizou-se segunda rodada de escrutínio independente, resultando no resgate de quatro artigos. Para preservar a profundidade e a sustentação analítica da síntese, estabeleceu-se um corte amostral qualitativo: priorizaram-se os 30 estudos primários com maior consistência de desenho observacional, estratificação detalhada de desfechos clínicos e representatividade geográfica, arquivando-se 36 registros com delineamentos menos informativos ou estimativas redundantes.</w:t>
      </w:r>
    </w:p>
    <w:p>
      <w:pPr>
        <w:pStyle w:val="Titulo2"/>
      </w:pPr>
      <w:r>
        <w:rPr>
          <w:b/>
        </w:rPr>
        <w:t xml:space="preserve">2.6 Verificação de integridade das fontes</w:t>
      </w:r>
    </w:p>
    <w:p>
      <w:pPr>
        <w:pStyle w:val="Normal"/>
      </w:pPr>
      <w:r>
        <w:t xml:space="preserve">Antes da estruturação da síntese, os metadados dos registros elegíveis foram verificados diretamente na origem: no PubMed, consultou-se o PMID para confirmar a ausência de retratação, errata de desfecho ou correção crítica; no SciELO, acessou-se a interface </w:t>
      </w:r>
      <w:r>
        <w:rPr>
          <w:i/>
        </w:rPr>
        <w:t xml:space="preserve">ArticleMeta</w:t>
      </w:r>
      <w:r>
        <w:t xml:space="preserve"> e a versão final indexada; na LILACS, confirmou-se o registro no catálogo ativo do Portal da BVS. Os identificadores DOI foram checados no Crossref. Qualquer documento cuja autenticidade editorial não pôde ser atestada foi sumariamente descartado.</w:t>
      </w:r>
    </w:p>
    <w:p>
      <w:pPr>
        <w:pStyle w:val="Titulo2"/>
      </w:pPr>
      <w:r>
        <w:rPr>
          <w:b/>
        </w:rPr>
        <w:t xml:space="preserve">2.7 Avaliação da qualidade metodológica</w:t>
      </w:r>
    </w:p>
    <w:p>
      <w:pPr>
        <w:pStyle w:val="Normal"/>
      </w:pPr>
      <w:r>
        <w:t xml:space="preserve">A apreciação crítica da qualidade metodológica dos estudos observacionais primários utilizou os instrumentos analíticos do </w:t>
      </w:r>
      <w:r>
        <w:rPr>
          <w:i/>
        </w:rPr>
        <w:t xml:space="preserve">Joanna Briggs Institute</w:t>
      </w:r>
      <w:r>
        <w:t xml:space="preserve"> (JBI). Aferiram-se a fidedignidade da amostragem, o rigor técnico na quantificação da Lp(a), a clareza na definição dos desfechos e, primordialmente, a pertinência do controle das variáveis de confusão (Tabela 1).</w:t>
      </w:r>
    </w:p>
    <w:p>
      <w:pPr>
        <w:pStyle w:val="Titulo2"/>
      </w:pPr>
      <w:r>
        <w:rPr>
          <w:b/>
        </w:rPr>
        <w:t xml:space="preserve">2.8 Síntese dos dados</w:t>
      </w:r>
    </w:p>
    <w:p>
      <w:pPr>
        <w:pStyle w:val="Normal"/>
      </w:pPr>
      <w:r>
        <w:t xml:space="preserve">Estruturou-se uma síntese qualitativa e descritiva dos dados, articulada em quatro núcleos interpretativos: pontos de corte laboratoriais e risco cardiovascular relativo à Lp(a); predição de eventos coronarianos agudos e infarto agudo do miocárdio; risco independente de acidente vascular cerebral isquêmico e mortalidade cardiovascular; e impacto do risco residual mediado pela Lp(a) sob terapia hipolipemiante de alta intensidade. Cada investigação foi alocada em seu eixo de maior densidade (Tabela 2). A diversidade de ensaios laboratoriais e a variabilidade das definições de desfecho inviabilizaram a condução de metanálise formal.</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reunidos nesta revisão convergem para um ponto central: concentrações elevadas de lipoproteína(a) [Lp(a)] funcionam como preditor independente de risco cardiovascular adverso em adultos. A força dessa associação oscila conforme o perfil clínico, o limiar laboratorial adotado e a natureza do desfecho examinado. O valor prognóstico da molécula mantém-se reprodutível em coortes de distintas matrizes geográficas e étnicas, sobrepondo-se à discrepância de pontos de corte relatados na literatura — habitualmente fixados em 30 mg/dL, 50 mg/dL ou 125 nmol/L.</w:t>
      </w:r>
    </w:p>
    <w:p>
      <w:pPr>
        <w:pStyle w:val="Normal"/>
      </w:pPr>
      <w:r>
        <w:t xml:space="preserve">Na doença coronariana aguda, a elevação da Lp(a) relaciona-se diretamente à recorrência de instabilidade isquêmica. O seguimento de 530 pacientes com coronariopatia ao longo de 36 meses demonstrou que títulos séricos aumentados predisseram eventos cardiovasculares maiores (HR = 2,07; IC95%: 1,37-3,12) e novas síndromes coronarianas agudas (HR = 2,83; IC95%: 1,67-4,81) [23]. Padrão concordante foi documentado em 6.056 portadores de síndrome coronariana crônica, entre os quais o excesso de Lp(a) antecipou desfechos maiores com expressividade acentuada na presença de história familiar prematura (HR: 2,77; IC95%: 1,38-5,54), em contraste com o estrato sem antecedentes (HR: 1,35; IC95%: 1,02-1,77) [28]. No infarto agudo do miocárdio com supradesnivelamento do segmento ST em 868 pacientes japoneses, concentrações ≥47,26 mg/dL associaram-se de modo independente a desfechos clínicos adversos compostos (HR: 1,932; IC95%: 1,255-2,974) [9]. Paralelamente, em 4.591 indivíduos submetidos à revascularização cirúrgica ou percutânea, níveis ≥50 mg/dL acarretaram risco ajustado de 1,26 (IC95%: 1,04-1,53), com gradiente ascendente nos cenários de alta complexidade anatômica [10]. Essas evidências em coortes asiáticas sustentam que a partícula perpetua o risco residual aterotrombótico mesmo sob intervenção coronariana percutânea contemporânea e terapia medicamentosa intensificada.</w:t>
      </w:r>
    </w:p>
    <w:p>
      <w:pPr>
        <w:pStyle w:val="Normal"/>
      </w:pPr>
      <w:r>
        <w:t xml:space="preserve">A repercussão aterotrombótica da partícula estende-se ao leito arterial cerebral e à mortalidade cardiovascular precoce. Em 353.309 participantes do UK Biobank, títulos acima de 125 nmol/L associaram-se a maior incidência de acidente vascular cerebral isquêmico (HR: 1,12; IC95%: 1,02-1,22), sem correlação com eventos hemorrágicos e com variação na intensidade do risco conforme o sexo [4]. Em 1.733 indivíduos avaliados na fase aguda do acidente vascular cerebral isquêmico, a dosagem de Lp(a) correlacionou-se à etiologia aterosclerótica de grandes vasos (razão de chances ajustada de 1,48; IC95%: 1,14-1,90 por incremento log10), com risco aumentado de recorrência restrito àqueles com menos de 60 anos [12]. No seguimento de 22,4 anos do NHANES III, níveis superiores a 75 mg/dL vincularam-se a maior mortalidade por todas as causas (HR: 1,25; IC95%: 1,02-1,53) e cardiovascular (sHR: 1,21; IC95%: 1,09-1,36), restrita ao estrato de alto risco cardiovascular basal [19]. Em 101.348 adultos com esteatose hepática metabólica, cada desvio-padrão adicional de Lp(a) elevou em 14% a mortalidade cardiovascular (IC95%: 1,10-1,19) e em 9% a incidência de eventos cardiovasculares (IC95%: 1,07-1,11) [15]. De forma análoga, em 912 pacientes infartados, valores de Lp(a) ≥30 mg/dL associaram-se a mortalidade cardiovascular (HR: 2,434; IC95%: 1,653-3,583) [17]. A síntese desses dados indica que o gradiente patológico da Lp(a) consolida-se com maior contundência frente a desfechos clínicos duros e em indivíduos com maior vulnerabilidade sistêmica prévia.</w:t>
      </w:r>
    </w:p>
    <w:p>
      <w:pPr>
        <w:pStyle w:val="Titulo2"/>
      </w:pPr>
      <w:r>
        <w:rPr>
          <w:b/>
        </w:rPr>
        <w:t xml:space="preserve">4.2 Diálogo crítico entre os estudos</w:t>
      </w:r>
    </w:p>
    <w:p>
      <w:pPr>
        <w:pStyle w:val="Normal"/>
      </w:pPr>
      <w:r>
        <w:t xml:space="preserve">A confrontação entre os estudos revela convergências biológicas marcantes, acompanhadas de divergências metodológicas importantes. Grandes coortes populacionais prospectivas ratificam a Lp(a) como preditor independente de risco primário: os registros do UK Biobank [3], a coorte multicêntrica com mensuração de cálcio coronariano [5] e a coorte chinesa de prevenção primária [29] apontam trajetórias concordantes, não obstante as divergências nos limiares quantitativos adotados. Em contrapartida, coortes de prevenção secundária com coronariopatia estabelecida exibem respostas heterogêneas. Em 798 pacientes submetidos à cineangiocoronariografia, a Lp(a) correlacionou-se à carga aterosclerótica avaliada por ultrassonografia intracoronariana, porém não alcançou significância estatística para eventos cardíacos adversos maiores em cinco anos (HR: 1,06; IC95%: 0,70-1,60) nem para mortalidade em dez anos [18]. No ensaio SPARCL, a concentração de Lp(a) não predisse a recorrência de acidente vascular cerebral, desfecho primário do estudo, embora tenha antecipado eventos coronarianos secundários nos indivíduos alocados para atorvastatina (HR: 1,607; IC95%: 1,007-2,563) [13]. A estabilização de placas vulneráveis sob estatinas de alta potência pode atenuar a expressão trombogênica da partícula, redistribuindo o impacto prognóstico para leitos arteriais específicos.</w:t>
      </w:r>
    </w:p>
    <w:p>
      <w:pPr>
        <w:pStyle w:val="Normal"/>
      </w:pPr>
      <w:r>
        <w:t xml:space="preserve">Aspectos de delineamento amostral fundamentam parte dessa variabilidade. Em hospital distrital português, a análise retrospectiva de 171 dosagens revelou níveis elevados de Lp(a) em 44% da amostra e sua associação com histórico de eventos coronarianos prévios, ressalvando-se o viés intrínseco de amostragem local [2]. Em contrapartida, na coorte colombiana com hipercolesterolemia familiar, a Lp(a) elevada comportou-se como preditor independente (HR: 2,5; IC95%: 1,6-3,9), superando os escores prognósticos convencionais [14]. No Chile, um registro de síndrome coronariana aguda detectou níveis aumentados de Lp(a) em 21% dos pacientes que já se encontravam nas metas terapêuticas estritas de LDL-colesterol [1]. Esses achados latino-americanos documentam a presença de risco residual aterogênico em cenários de prática clínica real, ainda que o poder estatístico de casuísticas menores restrinja generalizações diretas em relação a megacohortes multinacionais.</w:t>
      </w:r>
    </w:p>
    <w:p>
      <w:pPr>
        <w:pStyle w:val="Normal"/>
      </w:pPr>
      <w:r>
        <w:t xml:space="preserve">A modulação do risco por variáveis metabólicas e inflamatórias esclarece discrepâncias fenotípicas adicionais. Em 158 pacientes diabéticos submetidos à revascularização por isquemia crítica de membro inferior, a Lp(a) predisse eventos cardiovasculares e amputações com ponto de corte de 29,6 mg/dL (risco 3,8 vezes maior) [24]. Em sentido inverso, em 1.018 pacientes pós-infarto, o valor prognóstico independente limitou-se ao estrato de não diabéticos (HR: 2,839; IC95%: 1,382-5,832) [21], indicando que a dismetabolismo glicêmico avançado pode mascarar a fração de risco atribuível à apolipoproteína(a). A coativação inflamatória também modula essa resposta: nas coortes do MESA (6.514 participantes) e do UK Biobank (26.574 participantes), a confluência de Lp(a) e interleucina-6 elevadas acarretou a maior taxa de eventos isquêmicos [16]. Em 912 pacientes com infarto agudo, a sinergia entre Lp(a) e proteína C reativa ultrassensível aumentou substancialmente a mortalidade cardiovascular [17]. Níveis séricos de homocisteína também modificaram o risco em 530 coronariopatas, com amplificação prognóstica concentrada nos estratos de hiper-homocisteinemia moderada a grave [23], enquanto o escore GRACE reclassificou o impacto prognóstico da Lp(a) em 6.309 pacientes com síndrome coronariana aguda submetidos à angioplastia [31]. O potencial aterotrombótico da lipoproteína opera de maneira sinérgica ao microambiente inflamatório endotelial e à gravidade hemodinâmica basal.</w:t>
      </w:r>
    </w:p>
    <w:p>
      <w:pPr>
        <w:pStyle w:val="Normal"/>
      </w:pPr>
      <w:r>
        <w:t xml:space="preserve">A heterogeneidade de métricas laboratoriais constitui um desafio interpretativo crucial. Diferentes investigações empregaram cortes de 30 mg/dL [6,17], 50 mg/dL [5,7,10,29], 75 nmol/L [18,19], 100 nmol/L [12] ou 125 nmol/L [4,11,15]. A conversão matemática linear entre miligramas por decilitro e nanomoles por litro é tecnicamente imprecisa: imunoensaios expressos em massa (mg/dL) sofrem interferência do polimorfismo de tamanho das isoformas da apolipoproteína(a) (número variável de domínios kringle IV tipo 2), enquanto ensaios calibrados em partículas molares (nmol/L) quantificam o número real de lipoproteínas circulantes. Discrepância similar afeta a inflamação vascular, em que a dosagem de proteína C reativa oscila entre miligramas por litro (mg/L, padrão ultrassensível) e miligramas por decilitro (mg/dL, sensibilidade convencional), gerando potenciais distorções na estratificação sinérgica do risco inflamatório residual.</w:t>
      </w:r>
    </w:p>
    <w:p>
      <w:pPr>
        <w:pStyle w:val="Normal"/>
      </w:pPr>
      <w:r>
        <w:t xml:space="preserve">Importa ainda distinguir o impacto da Lp(a) sobre desfechos substitutos daqueles estritamente clínicos. Desfechos intermediários ou anatômicos — como progressão da calcificação coronariana, volume de ateroma em imagem intravascular ou escore de Gensini [11,18] — evidenciam a participação biológica contínua da partícula na placa aterosclerótica. Entretanto, a tradução dessas lesões em desfechos duros (mortalidade cardiovascular total, reinfarto espontâneo e acidente vascular cerebral fatal) depende de mecanismos trombóticos terminais dependentes da fibrinólise e da ativação plaquetária. Essa dualidade explica por que ensaios com desfechos compostos amplos, englobando revascularizações eletivas ou sintomas anginosos, apresentaram associações de menor magnitude [9,27] quando confrontados com investigações focadas exclusivamente em óbito cardiovascular e infarto transmural [7,17,21]. Em 189 pacientes com infarto agudo prematuro, documentou-se correlação direta entre Lp(a) e o número de artérias epicárdicas acometidas (r = 0,303), vinculando a partícula ao início precoce da doença [7]. Entre 5.118 coronariopatas submetidos a cateterismo cardíaco, valores muito elevados associaram-se a lesão de tronco da artéria coronária esquerda e risco residual para infarto agudo [11]. Finalmente, em 731.983 indivíduos analisados com algoritmos de aprendizado de máquina, cada incremento de 50 nmol/L associou-se de forma independente à incidência de aterotrombose clínica no curto prazo (HR: 1,072; IC95%: 1,059-1,084) [26]. A Lp(a) acelera tanto o substrato aterosclerótico crônico quanto o gatilho trombótico agudo.</w:t>
      </w:r>
    </w:p>
    <w:p>
      <w:pPr>
        <w:pStyle w:val="Titulo2"/>
      </w:pPr>
      <w:r>
        <w:rPr>
          <w:b/>
        </w:rPr>
        <w:t xml:space="preserve">4.3 Limitações</w:t>
      </w:r>
    </w:p>
    <w:p>
      <w:pPr>
        <w:pStyle w:val="Normal"/>
      </w:pPr>
      <w:r>
        <w:t xml:space="preserve">A marcante heterogeneidade metodológica entre os estudos selecionados impediu a realização de síntese quantitativa por metanálise. Houve predomínio de coortes observacionais e investigações retrospectivas unicêntricas, desenhos inerentemente vulneráveis a viés de seleção e variáveis de confusão não mensuradas. A padronização laboratorial insatisfatória — refletida na coexistência de ensaios calibrados em mg/dL e nmol/L sem rastreabilidade uniforme às isoformas de apolipoproteína(a) e na variação analítica da proteína C reativa (mg/L versus mg/dL) — representou barreira analítica relevante. Cumpre registrar que o delineamento das buscas nas bases PubMed/MEDLINE, SciELO e LILACS restringiu-se a artigos publicados a partir de 2021 nos idiomas português, inglês e espanhol com texto integral disponível gratuitamente, o que pode ter introduzido viés de disponibilidade pela não inclusão de artigos sob acesso restrito.</w:t>
      </w:r>
    </w:p>
    <w:p>
      <w:pPr>
        <w:pStyle w:val="Titulo2"/>
      </w:pPr>
      <w:r>
        <w:rPr>
          <w:b/>
        </w:rPr>
        <w:t xml:space="preserve">4.4 Implicações para a prática e para a pesquisa</w:t>
      </w:r>
    </w:p>
    <w:p>
      <w:pPr>
        <w:pStyle w:val="Normal"/>
      </w:pPr>
      <w:r>
        <w:t xml:space="preserve">Estes achados sustentam a incorporação da dosagem sistemática de Lp(a) na estratificação de pacientes com síndrome coronariana aguda e alto risco residual, em particular naqueles com história familiar prematura ou hipercolesterolemia familiar [14,19,28]. A mensuração auxilia a identificar pacientes que necessitam de intervenção lipídica intensiva e seleciona candidatos para ensaios clínicos com inibidores de RNA mensageiro voltados à redução de Lp(a), mormente quando persiste risco isquêmico após controle do LDL-colesterol [1,13,31]. O refinamento diagnóstico obtém ganhos ao integrar a partícula a biomarcadores inflamatórios e ferramentas consagradas de prognóstico, a exemplo de interleucina-6, proteína C reativa ultrassensível, homocisteína e escore GRACE [16,17,23,31]. Para a agenda científica, impõe-se a condução de coortes prospectivas multicêntricas que padronizem imunoensaios insensíveis a isoformas (reportados em nmol/L), discriminem rigorosamente desfechos substitutos de eventos cardiovasculares duros e elucidem o comportamento da molécula em subgrupos com diabetes melito e idade avançada [12,18,21]. Investigações futuras em populações latino-americanas permanecem fundamentais para mapear as particularidades genéticas e o impacto real da lipoproteína na síndrome coronariana aguda [1,2,14].</w:t>
      </w:r>
    </w:p>
    <w:p>
      <w:pPr>
        <w:pStyle w:val="Titulo1"/>
      </w:pPr>
      <w:r>
        <w:rPr>
          <w:b/>
        </w:rPr>
        <w:t xml:space="preserve">5 Conclusão</w:t>
      </w:r>
    </w:p>
    <w:p>
      <w:pPr>
        <w:pStyle w:val="Normal"/>
      </w:pPr>
      <w:r>
        <w:t xml:space="preserve">A elevação sérica da lipoproteína(a) atua como determinante independente do risco aterotrombótico residual em indivíduos acometidos por síndrome coronariana aguda. Concentrações aumentadas dessa partícula correlacionam-se diretamente com novos episódios isquêmicos miocárdicos, falência mecânica de stents coronarianos e mortalidade de origem cardiovascular, mantendo relevância prognóstica mesmo diante do controle farmacológico estrito do colesterol LDL.</w:t>
      </w:r>
    </w:p>
    <w:p>
      <w:pPr>
        <w:pStyle w:val="Normal"/>
      </w:pPr>
      <w:r>
        <w:t xml:space="preserve">O impacto clínico dessa lipoproteína acentua-se na doença coronariana precoce e multivascular em adultos jovens, bem como em contextos caracterizados por inflamação vascular concomitante, documentada por níveis aumentados de proteína C-reativa ultrassensível e interleucina-6. Embora sua capacidade discriminativa diminua em subgrupos com diabetes mellitus sob terapia secundária intensiva — cenário no qual vias metabólicas concorrentes atenuam sua força estatística isolada —, a mensuração sistemática da lipoproteína(a) aprimora a estratificação de risco e identifica pacientes sob maior vulnerabilidade vascular residual.</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p>
      <w:pPr>
        <w:pStyle w:val="Normal"/>
      </w:pPr>
      <w:r>
        <w:t xml:space="preserve">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da Lipoproteína(a) na Síndrome Coronariana Aguda: Revisão Integrativa</dc:title>
  <dc:creator>Autor</dc:creator>
  <cp:lastModifiedBy>Autor</cp:lastModifiedBy>
  <cp:revision>1</cp:revision>
  <dcterms:created xsi:type="dcterms:W3CDTF">2026-10-06T23:56:33Z</dcterms:created>
  <dcterms:modified xsi:type="dcterms:W3CDTF">2026-10-06T23:56:33Z</dcterms:modified>
</cp:coreProperties>
</file>