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Titulo"/>
      </w:pPr>
      <w:r>
        <w:t xml:space="preserve">Lipoproteína(a) sérica como preditora independente de eventos cardiovasculares adversos em adultos: revisão integrativa da literatura</w:t>
      </w:r>
    </w:p>
    <w:p>
      <w:pPr>
        <w:pStyle w:val="Titulo"/>
      </w:pPr>
      <w:r>
        <w:t xml:space="preserve">Serum lipoprotein(a) as an independent predictor of adverse cardiovascular events in adults: an integrative literature review</w:t>
      </w:r>
    </w:p>
    <w:p>
      <w:pPr>
        <w:pStyle w:val="Titulo"/>
      </w:pPr>
      <w:r>
        <w:t xml:space="preserve">Lipoproteína(a) sérica como predictora independiente de eventos cardiovasculares adversos en adultos: revisión integrativa de la literatura</w:t>
      </w:r>
    </w:p>
    <w:p>
      <w:pPr>
        <w:pStyle w:val="Frontal"/>
      </w:pPr>
      <w:r>
        <w:rPr>
          <w:b/>
        </w:rPr>
        <w:t xml:space="preserve">Autores:</w:t>
      </w:r>
      <w:r>
        <w:t xml:space="preserve"> [Nome do Aluno]¹, [Nome do Orientador]²</w:t>
      </w:r>
    </w:p>
    <w:p>
      <w:pPr>
        <w:pStyle w:val="Afiliacao"/>
      </w:pPr>
      <w:r>
        <w:rPr>
          <w:i/>
        </w:rPr>
        <w:t xml:space="preserve">¹Discente do Curso de Medicina. ²Docente Orientador.</w:t>
      </w:r>
    </w:p>
    <w:p>
      <w:pPr>
        <w:pStyle w:val="Resumo"/>
      </w:pPr>
      <w:r>
        <w:rPr>
          <w:b/>
        </w:rPr>
        <w:t xml:space="preserve">RESUMO:</w:t>
      </w:r>
      <w:r>
        <w:t xml:space="preserve"> </w:t>
      </w:r>
      <w:r>
        <w:rPr>
          <w:b/>
        </w:rPr>
        <w:t xml:space="preserve">Objetivo:</w:t>
      </w:r>
      <w:r>
        <w:t xml:space="preserve"> Avaliar o impacto prognóstico da lipoproteína(a) sérica elevada como preditor independente de desfechos cardiovasculares adversos em adultos. </w:t>
      </w:r>
      <w:r>
        <w:rPr>
          <w:b/>
        </w:rPr>
        <w:t xml:space="preserve">Métodos:</w:t>
      </w:r>
      <w:r>
        <w:t xml:space="preserve"> Revisão integrativa conduzida em 29 de setembro de 2026 nas bases PubMed/MEDLINE, SciELO e LILACS, cobrindo o período de 2021 a 2026 nos idiomas português, inglês e espanhol. De 209 registros identificados e 179 triados, 30 estudos foram incluídos (18 coortes prospectivas, 11 retrospectivas e um ensaio clínico randomizado), abrangendo dados de 16 países. </w:t>
      </w:r>
      <w:r>
        <w:rPr>
          <w:b/>
        </w:rPr>
        <w:t xml:space="preserve">Resultados:</w:t>
      </w:r>
      <w:r>
        <w:t xml:space="preserve"> Níveis séricos aumentados de lipoproteína(a) correlacionaram-se à recidiva de infarto agudo do miocárdio, reestenose intra-stent e mortalidade cardiovascular. Indivíduos jovens com concentrações basais elevadas apresentaram o dobro do risco de aterosclerose sintomática precoce e acometimento multivascular grave. No território cerebrovascular, a molécula associou-se ao acidente vascular cerebral isquêmico aterotrombótico em menores de 60 anos, sem relação com hemorragias intracranianas. Notou-se amplificação do risco na presença de marcadores inflamatórios (interleucina-6 e proteína C-reativa ultrassensível) e esteatose hepática metabólica. Em contrapartida, em subgrupos com diabetes mellitus sob prevenção secundária intensiva, o poder discriminativo para desfechos compostos perdeu significância estatística. </w:t>
      </w:r>
      <w:r>
        <w:rPr>
          <w:b/>
        </w:rPr>
        <w:t xml:space="preserve">Conclusão:</w:t>
      </w:r>
      <w:r>
        <w:t xml:space="preserve"> A lipoproteína(a) elevada configura componente central do risco aterotrombótico residual na síndrome coronariana aguda, especialmente sob inflamação vascular ativa, orientando a estratificação prognóstica individualizada.</w:t>
      </w:r>
    </w:p>
    <w:p>
      <w:pPr>
        <w:pStyle w:val="PalavrasChave"/>
      </w:pPr>
      <w:r>
        <w:rPr>
          <w:b/>
        </w:rPr>
        <w:t xml:space="preserve">Palavras-chave:</w:t>
      </w:r>
      <w:r>
        <w:t xml:space="preserve"> Lipoproteína(a); Doenças Cardiovasculares; Infarto do Miocárdio; Fatores de Risco; Prognóstico.</w:t>
      </w:r>
    </w:p>
    <w:p>
      <w:pPr>
        <w:pStyle w:val="Resumo"/>
      </w:pPr>
      <w:r>
        <w:rPr>
          <w:b/>
        </w:rPr>
        <w:t xml:space="preserve">ABSTRACT:</w:t>
      </w:r>
      <w:r>
        <w:t xml:space="preserve"> </w:t>
      </w:r>
      <w:r>
        <w:rPr>
          <w:b/>
        </w:rPr>
        <w:t xml:space="preserve">Objective:</w:t>
      </w:r>
      <w:r>
        <w:t xml:space="preserve"> To assess the prognostic impact of elevated serum lipoprotein(a) as an independent predictor of adverse cardiovascular outcomes in adults. </w:t>
      </w:r>
      <w:r>
        <w:rPr>
          <w:b/>
        </w:rPr>
        <w:t xml:space="preserve">Methods:</w:t>
      </w:r>
      <w:r>
        <w:t xml:space="preserve"> Integrative review conducted on September 29, 2026, across PubMed/MEDLINE, SciELO, and LILACS databases, covering 2021–2026 in Portuguese, English, and Spanish. From 209 retrieved records and 179 screened, 30 studies were included (18 prospective cohorts, 11 retrospective cohorts, and one randomized clinical trial) across 16 countries. </w:t>
      </w:r>
      <w:r>
        <w:rPr>
          <w:b/>
        </w:rPr>
        <w:t xml:space="preserve">Results:</w:t>
      </w:r>
      <w:r>
        <w:t xml:space="preserve"> Elevated lipoprotein(a) levels correlated with recurrent acute myocardial infarction, in-stent restenosis, and cardiovascular death. Young adults with high baseline concentrations exhibited twice the risk of early symptomatic atherosclerosis and multivessel involvement. In the cerebrovascular territory, lipoprotein(a) was linked to ischemic atherothrombotic stroke in patients under 60, without correlation with hemorrhagic events. Adverse risk was amplified by concurrent inflammatory activity (elevated interleukin-6 and high-sensitivity C-reactive protein) and metabolic dysfunction-associated steatotic liver disease. Conversely, its predictive value for broad composite outcomes weakened in diabetic subsets under intensive secondary prevention. </w:t>
      </w:r>
      <w:r>
        <w:rPr>
          <w:b/>
        </w:rPr>
        <w:t xml:space="preserve">Conclusion:</w:t>
      </w:r>
      <w:r>
        <w:t xml:space="preserve"> Elevated lipoprotein(a) serves as a key driver of residual atherothrombotic risk following acute coronary syndromes, particularly during active vascular inflammation, refining individualized risk stratification.</w:t>
      </w:r>
    </w:p>
    <w:p>
      <w:pPr>
        <w:pStyle w:val="PalavrasChave"/>
      </w:pPr>
      <w:r>
        <w:rPr>
          <w:b/>
        </w:rPr>
        <w:t xml:space="preserve">Keywords:</w:t>
      </w:r>
      <w:r>
        <w:t xml:space="preserve"> Lipoprotein(a); Cardiovascular Diseases; Myocardial Infarction; Risk Factors; Prognosis.</w:t>
      </w:r>
    </w:p>
    <w:p>
      <w:pPr>
        <w:pStyle w:val="Resumo"/>
      </w:pPr>
      <w:r>
        <w:rPr>
          <w:b/>
        </w:rPr>
        <w:t xml:space="preserve">RESUMEN:</w:t>
      </w:r>
      <w:r>
        <w:t xml:space="preserve"> </w:t>
      </w:r>
      <w:r>
        <w:rPr>
          <w:b/>
        </w:rPr>
        <w:t xml:space="preserve">Objetivo:</w:t>
      </w:r>
      <w:r>
        <w:t xml:space="preserve"> Analizar la evidencia científica sobre el papel de la lipoproteína(a) sérica elevada como predictor independiente de eventos cardiovasculares adversos en adultos. </w:t>
      </w:r>
      <w:r>
        <w:rPr>
          <w:b/>
        </w:rPr>
        <w:t xml:space="preserve">Métodos:</w:t>
      </w:r>
      <w:r>
        <w:t xml:space="preserve"> Revisión integrativa de la literatura realizada el 29 de septiembre de 2026 en las bases de datos PubMed/MEDLINE, SciELO y LILACS, que abarcó artículos de 2021 a 2026 en portugués, inglés y español. De 209 registros identificados y 179 tamizados, se incluyeron 30 estudios (18 cohortes prospectivas, 11 retrospectivas y un ensayo clínico aleatorizado) distribuidos en 16 países. </w:t>
      </w:r>
      <w:r>
        <w:rPr>
          <w:b/>
        </w:rPr>
        <w:t xml:space="preserve">Resultados:</w:t>
      </w:r>
      <w:r>
        <w:t xml:space="preserve"> La lipoproteína(a) elevada se asoció de forma independiente con infarto agudo de miocardio recurrente, reestenosis intra-stent y mortalidad cardiovascular en pacientes coronarios. Se constató el doble de riesgo de aterosclerosis sintomática en adultos expuestos durante la juventud y mayor afección multivaso precoz. En el ámbito cerebrovascular, se relacionó con ictus isquémico y aterosclerosis de grandes arterias en menores de 60 años, sin vinculación con episodios hemorrágicos. Se evidenció sinergia pronóstica con interleucina-6, proteína C reactiva ultrasensible y esteatosis hepática metabólica. En contraste, ciertos escenarios de prevención secundaria crónica y subgrupos diabéticos no reflejaron predicción independiente para eventos compuestos. </w:t>
      </w:r>
      <w:r>
        <w:rPr>
          <w:b/>
        </w:rPr>
        <w:t xml:space="preserve">Conclusión:</w:t>
      </w:r>
      <w:r>
        <w:t xml:space="preserve"> La lipoproteína(a) sérica elevada actúa como un predictor independiente de eventos aterotrombóticos coronarios y cerebrovasculares, conformando el riesgo cardiovascular residual con mayor repercusión en estratos basales de alto riesgo y estados inflamatorios coexistentes.</w:t>
      </w:r>
    </w:p>
    <w:p>
      <w:pPr>
        <w:pStyle w:val="PalavrasChave"/>
      </w:pPr>
      <w:r>
        <w:rPr>
          <w:b/>
        </w:rPr>
        <w:t xml:space="preserve">Palabras clave:</w:t>
      </w:r>
      <w:r>
        <w:t xml:space="preserve"> Lipoproteína(a); Enfermedades Cardiovasculares; Aterosclerosis; Pronóstico; Biomarcadores.</w:t>
      </w:r>
    </w:p>
    <w:p>
      <w:pPr>
        <w:pStyle w:val="Titulo1"/>
      </w:pPr>
      <w:r>
        <w:t xml:space="preserve">1 Introdução</w:t>
      </w:r>
    </w:p>
    <w:p>
      <w:pPr>
        <w:pStyle w:val="Normal"/>
      </w:pPr>
      <w:r>
        <w:t xml:space="preserve">A persistência do risco residual nas doenças cardiovasculares ateroscleróticas desafia de modo contínuo as estratégias de prevenção secundária e terciária em escala global [1-3]. Embora a terapêutica hipolipemiante intensiva reduza as concentrações de colesterol da lipoproteína de baixa densidade (LDL-C), evidências de coorte apontam que, mesmo entre indivíduos infartados que atingem metas de LDL-C inferiores a 55 mg/dL sob estatinas de alta potência, cerca de 87% mantêm alterações em parâmetros lipídicos não tradicionais, com elevação de lipoproteína(a) [Lp(a)] em 21% dos casos [1]. Em levantamentos populacionais e hospitalares, a prevalência de Lp(a) alterada oscila entre 11,1% em grandes biobancos e 44% em amostras clínicas especializadas, nas quais 7% dos pacientes chegam a apresentar concentrações superiores a 400 nmol/L [2,4].</w:t>
      </w:r>
    </w:p>
    <w:p>
      <w:pPr>
        <w:pStyle w:val="Normal"/>
      </w:pPr>
      <w:r>
        <w:t xml:space="preserve">Investigações prospectivas e de base genética sustentam o papel da Lp(a) como preditor independente de aterogênese [3,5,6]. Essa suscetibilidade desponta ainda nos primeiros decênios de vida: jovens expostos a concentrações de Lp(a) ≥ 30 mg/dL apresentaram risco duas vezes superior de desenvolver aterosclerose sintomática na idade adulta (</w:t>
      </w:r>
      <w:r>
        <w:rPr>
          <w:i/>
        </w:rPr>
        <w:t xml:space="preserve">hazard ratio</w:t>
      </w:r>
      <w:r>
        <w:t xml:space="preserve"> [HR]: 2,0; intervalo de confiança de 95% [IC 95%]: 1,4-2,6) [6]. Em pacientes com infarto agudo do miocárdio de início precoce, teores séricos ≥ 50 mg/dL associaram-se a acometimento coronariano multivascular (r = 0,303) [7]. A capacidade preditiva estende-se a coortes populacionais assintomáticas, nas quais a Lp(a) &gt; 50 mg/dL associou-se independentemente à incidência de eventos vasculares mesmo sem calcificação coronariana mensurável (CAC = 0; HR: 1,28; IC95%: 1,01-1,60), alcançando magnitude expressiva quando combinada a escores de CAC ≥ 300 (HR: 6,12; IC95%: 4,80-7,81) [5].</w:t>
      </w:r>
    </w:p>
    <w:p>
      <w:pPr>
        <w:pStyle w:val="Normal"/>
      </w:pPr>
      <w:r>
        <w:t xml:space="preserve">No âmbito da prevenção secundária e das intervenções percutâneas ou cirúrgicas, os achados indicam repercussões clínicas relevantes decorrentes da elevação da Lp(a) [8-11]. Em coortes submetidas à intervenção coronariana percutânea, indivíduos com Lp(a) elevada apresentaram maior incidência de infarto agudo do miocárdio (HR: 1,89; p = 0,002), mortalidade cardiovascular (HR: 2,23; p = 0,001) e reestenose intra-stent (HR: 1,28; IC95%: 1,04-1,56) ao longo do seguimento [8,11]. De maneira análoga, pacientes pós-infarto com elevação de segmento ST registraram risco elevado para o desfecho composto (HR: 1,932; IC95%: 1,255-2,974) [9], com acentuação prognóstica perceptível em anatomias de alta complexidade pelo escore SYNTAX ≥ 33 (HR: 1,62; IC95%: 1,13-2,32) [10]. No espectro cerebrovascular, contudo, observam-se especificidades etiológicas: valores superiores a 125 nmol/L correlacionaram-se a acidentes vasculares isquêmicos (HR: 1,12; IC95%: 1,02-1,22), sem associação com eventos hemorrágicos [4], enquanto outros estudos vinculam a lipoproteína à etiologia aterosclerótica de grandes artérias em adultos abaixo de 60 anos (</w:t>
      </w:r>
      <w:r>
        <w:rPr>
          <w:i/>
        </w:rPr>
        <w:t xml:space="preserve">odds ratio</w:t>
      </w:r>
      <w:r>
        <w:t xml:space="preserve"> [OR]: 4,04; IC95%: 1,73-9,43) [12], e ao risco residual de eventos coronarianos (HR: 1,607; IC95%: 1,007-2,563), mas não de acidente vascular cerebral recorrente, em sobreviventes de isquemia cerebral tratados com atorvastatina [13].</w:t>
      </w:r>
    </w:p>
    <w:p>
      <w:pPr>
        <w:pStyle w:val="Normal"/>
      </w:pPr>
      <w:r>
        <w:t xml:space="preserve">A repercussão cardiovascular da Lp(a) sofre modulação direta por sinergismos com processos inflamatórios vasculares e desarranjos metabólicos [14-17]. Dados longitudinais revelaram que a concomitância de Lp(a) ≥ 30 mg/dL e proteína C-reativa ultrassensível ≥ 2 mg/L amplia substancialmente o risco de morte cardiovascular pós-infarto (HR: 2,346; IC95%: 1,054-5,220) em comparação a perfis controlados em ambos os eixos [17], em consonância com o efeito aditivo documentado entre Lp(a) e interleucina-6 na predição de doença coronariana [16]. Essa cooperação fisiopatológica estende-se à esteatose hepática metabólica, na qual a coexistência de Lp(a) elevada e resistência insulínica determinou o maior risco de mortalidade cardiovascular (HR: 2,04; IC95%: 1,63-2,55) [15]. Paralelamente, incorporar a Lp(a) &gt; 50 mg/dL (HR: 2,5; IC95%: 1,6-3,9) em escores de predição para hipercolesterolemia familiar aprimorou a capacidade discriminativa a longo prazo, elevando o índice C para 0,75 [14].</w:t>
      </w:r>
    </w:p>
    <w:p>
      <w:pPr>
        <w:pStyle w:val="Normal"/>
      </w:pPr>
      <w:r>
        <w:t xml:space="preserve">A despeito dessas correlações, divergências substanciais na literatura justificam uma consolidação analítica criteriosa [18-21]. Em contraste com as pesquisas que documentam prognóstico desfavorável, investigações por ultrassom intravascular em coronariopatas crônicos indicaram que, embora a Lp(a) &gt; 125 nmol/L se associe a maior carga aterosclerótica (40,7% vs. 38,6%; p = 0,028), essa alteração não se traduziu em aumento de eventos adversos maiores em 5 anos (HR: 1,06; IC95%: 0,70-1,60) nem de mortalidade em 10 anos [18]. Similarmente, coortes de base populacional demonstraram que o excesso de mortalidade cardiovascular restringe-se a indivíduos estratificados em alto risco tradicional prévio (sHR: 1,21; IC95%: 1,09-1,36 para Lp(a) &gt; 75 mg/dL), sem significância nos estratos basais [19]. Notam-se ainda variações decorrentes do fenótipo de baixo peso molecular da apolipoproteína(a) [20] e a ausência de capacidade preditiva em subgrupos com diabetes mellitus [21]. Por fim, ante a hegemonia de dados provenientes de coortes norte-americanas e europeias, torna-se necessário examinar a produção dispersa em contextos latino-americanos como Chile, Colômbia e México [1,7,14], a fim de esclarecer os descompassos entre marcadores anatômicos e desfechos clínicos.</w:t>
      </w:r>
    </w:p>
    <w:p>
      <w:pPr>
        <w:pStyle w:val="Normal"/>
      </w:pPr>
      <w:r>
        <w:t xml:space="preserve">Diante do exposto, o objetivo deste estudo foi analisar as evidências científicas sobre o papel da lipoproteína(a) sérica elevada como preditor independente para a ocorrência de eventos cardiovasculares adversos em adultos.</w:t>
      </w:r>
    </w:p>
    <w:p>
      <w:pPr>
        <w:pStyle w:val="Titulo1"/>
      </w:pPr>
      <w:r>
        <w:t xml:space="preserve">2 Métodos</w:t>
      </w:r>
    </w:p>
    <w:p>
      <w:pPr>
        <w:pStyle w:val="Titulo2"/>
      </w:pPr>
      <w:r>
        <w:t xml:space="preserve">2.1 Tipo de estudo e pergunta norteadora</w:t>
      </w:r>
    </w:p>
    <w:p>
      <w:pPr>
        <w:pStyle w:val="Normal"/>
      </w:pPr>
      <w:r>
        <w:t xml:space="preserve">Trata-se de uma revisão integrativa da literatura, conduzida conforme o referencial metodológico de Mendes, Silveira e Galvão e de Whittemore e Knafl, adotando-se complementarmente os itens aplicáveis da declaração PRISMA 2020 [22] para conferir transparência e replicabilidade ao fluxo de triagem e seleção. A pergunta norteadora foi estruturada pelo acrônimo PICoS, considerando como população (P) Adultos na prevenção primária ou secundária de doenças cardiovasculares; como fenômeno de interesse (I) Níveis séricos elevados de lipoproteína(a); como contexto (Co) Predição independente de desfechos cardiovasculares clínicos em acompanhamento prospectivo ou retrospectivo; e como tipos de estudo (S) Estudos primários observacionais (coortes, caso-controle) e análises post hoc de ensaios clínicos. Assim, formulou-se a seguinte questão: Qual é o papel da lipoproteína(a) sérica elevada como preditor independente para a ocorrência de eventos cardiovasculares adversos em adultos?</w:t>
      </w:r>
    </w:p>
    <w:p>
      <w:pPr>
        <w:pStyle w:val="Titulo2"/>
      </w:pPr>
      <w:r>
        <w:t xml:space="preserve">2.2 Bases de dados e data da busca</w:t>
      </w:r>
    </w:p>
    <w:p>
      <w:pPr>
        <w:pStyle w:val="Normal"/>
      </w:pPr>
      <w:r>
        <w:t xml:space="preserve">A busca foi realizada nas bases PubMed/MEDLINE, SciELO e LILACS. O PubMed/MEDLINE foi consultado por meio da interface de programação oficial E-utilities do National Center for Biotechnology Information (NCBI); o SciELO, por meio do portal de busca integrado da rede (search.scielo.org); e o LILACS, por meio do Portal Regional da Biblioteca Virtual em Saúde (pesquisa.bvsalud.org). A busca final foi executada em 29 de setembro de 2026. A data é informada porque as bases são atualizadas continuamente, de modo que buscas posteriores com as mesmas estratégias podem retornar números ligeiramente diferentes.</w:t>
      </w:r>
    </w:p>
    <w:p>
      <w:pPr>
        <w:pStyle w:val="Titulo2"/>
      </w:pPr>
      <w:r>
        <w:t xml:space="preserve">2.3 Descritores e estratégias de busca</w:t>
      </w:r>
    </w:p>
    <w:p>
      <w:pPr>
        <w:pStyle w:val="Normal"/>
      </w:pPr>
      <w:r>
        <w:t xml:space="preserve">Foram utilizados descritores controlados do Medical Subject Headings (MeSH) — "Lipoprotein(a)", "Myocardial Infarction", "Stroke" — e dos Descritores em Ciências da Saúde (DeCS) — "Lipoproteína(a)", "Doenças Cardiovasculares", "Infarto do Miocárdio" —, combinados a sinônimos e palavras-chave por meio dos operadores booleanos AND e OR. As estratégias exatas, os filtros aplicados e o número de registros recuperados em cada base estão apresentados no Quadro 1.</w:t>
      </w:r>
    </w:p>
    <w:p>
      <w:pPr>
        <w:pStyle w:val="Legenda"/>
      </w:pPr>
      <w:r>
        <w:rPr>
          <w:b/>
        </w:rPr>
        <w:t xml:space="preserve">Quadro 1 –</w:t>
      </w:r>
      <w:r>
        <w:t xml:space="preserve"> Estratégias de busca, filtros aplicados e registros identificados por base de dados</w:t>
      </w:r>
    </w:p>
    <w:tbl>
      <w:tblPr>
        <w:tblW w:w="9071" w:type="dxa"/>
        <w:jc w:val="center"/>
        <w:tblLayout w:type="fixed"/>
        <w:tblBorders>
          <w:top w:val="single" w:sz="6" w:space="0" w:color="4A5568"/>
          <w:left w:val="single" w:sz="6" w:space="0" w:color="4A5568"/>
          <w:bottom w:val="single" w:sz="6" w:space="0" w:color="4A5568"/>
          <w:right w:val="single" w:sz="6" w:space="0" w:color="4A5568"/>
          <w:insideH w:val="single" w:sz="4" w:space="0" w:color="CBD5E0"/>
          <w:insideV w:val="single" w:sz="4" w:space="0" w:color="CBD5E0"/>
        </w:tblBorders>
        <w:tblCellMar>
          <w:top w:w="120" w:type="dxa"/>
          <w:bottom w:w="120" w:type="dxa"/>
          <w:left w:w="150" w:type="dxa"/>
          <w:right w:w="150" w:type="dxa"/>
        </w:tblCellMar>
      </w:tblPr>
      <w:tblGrid>
        <w:gridCol w:w="1451"/>
        <w:gridCol w:w="4173"/>
        <w:gridCol w:w="2540"/>
        <w:gridCol w:w="907"/>
      </w:tblGrid>
      <w:tr>
        <w:trPr>
          <w:cantSplit/>
          <w:tblHeader/>
        </w:trPr>
        <w:tc>
          <w:tcPr>
            <w:tcW w:w="1451" w:type="dxa"/>
            <w:shd w:val="clear" w:color="auto" w:fill="EDF2F7"/>
            <w:vAlign w:val="center"/>
          </w:tcPr>
          <w:p>
            <w:pPr>
              <w:pStyle w:val="TabelaCabecalho"/>
              <w:jc w:val="left"/>
            </w:pPr>
            <w:r>
              <w:t xml:space="preserve">Base</w:t>
            </w:r>
          </w:p>
        </w:tc>
        <w:tc>
          <w:tcPr>
            <w:tcW w:w="4173" w:type="dxa"/>
            <w:shd w:val="clear" w:color="auto" w:fill="EDF2F7"/>
            <w:vAlign w:val="center"/>
          </w:tcPr>
          <w:p>
            <w:pPr>
              <w:pStyle w:val="TabelaCabecalho"/>
              <w:jc w:val="left"/>
            </w:pPr>
            <w:r>
              <w:t xml:space="preserve">Estratégia de busca</w:t>
            </w:r>
          </w:p>
        </w:tc>
        <w:tc>
          <w:tcPr>
            <w:tcW w:w="2540" w:type="dxa"/>
            <w:shd w:val="clear" w:color="auto" w:fill="EDF2F7"/>
            <w:vAlign w:val="center"/>
          </w:tcPr>
          <w:p>
            <w:pPr>
              <w:pStyle w:val="TabelaCabecalho"/>
              <w:jc w:val="left"/>
            </w:pPr>
            <w:r>
              <w:t xml:space="preserve">Filtros aplicados</w:t>
            </w:r>
          </w:p>
        </w:tc>
        <w:tc>
          <w:tcPr>
            <w:tcW w:w="907" w:type="dxa"/>
            <w:shd w:val="clear" w:color="auto" w:fill="EDF2F7"/>
            <w:vAlign w:val="center"/>
          </w:tcPr>
          <w:p>
            <w:pPr>
              <w:pStyle w:val="TabelaCabecalhoCentro"/>
              <w:jc w:val="center"/>
            </w:pPr>
            <w:r>
              <w:t xml:space="preserve">Registros (n)</w:t>
            </w:r>
          </w:p>
        </w:tc>
      </w:tr>
      <w:tr>
        <w:trPr>
          <w:cantSplit/>
        </w:trPr>
        <w:tc>
          <w:tcPr>
            <w:tcW w:w="1451" w:type="dxa"/>
            <w:vAlign w:val="top"/>
          </w:tcPr>
          <w:p>
            <w:pPr>
              <w:pStyle w:val="TabelaTexto"/>
              <w:jc w:val="left"/>
            </w:pPr>
            <w:r>
              <w:t xml:space="preserve">PubMed/MEDLINE</w:t>
            </w:r>
          </w:p>
        </w:tc>
        <w:tc>
          <w:tcPr>
            <w:tcW w:w="4173" w:type="dxa"/>
            <w:vAlign w:val="top"/>
          </w:tcPr>
          <w:p>
            <w:pPr>
              <w:pStyle w:val="TabelaTexto"/>
              <w:jc w:val="left"/>
            </w:pPr>
            <w:r>
              <w:t xml:space="preserve">(("Lipoprotein(a)"[MeSH Terms] OR "lipoprotein(a)"[tiab] OR "lipoprotein a"[tiab] OR "Lp(a)"[tiab]) AND ("major adverse cardiovascular events"[tiab] OR "MACE"[tiab] OR "cardiovascular events"[tiab] OR "cardiovascular outcomes"[tiab] OR "cardiovascular mortality"[tiab] OR "myocardial infarction"[tiab] OR "stroke"[tiab]) AND ("independent predictor"[tiab] OR "independent risk factor"[tiab] OR "independent association"[tiab] OR "independently associated"[tiab])) AND ("2021/01/01"[dp]: "3000"[dp]) AND (portuguese[la] OR english[la] OR spanish[la]) AND "free full text"[Filter] NOT (review[pt] OR "systematic review"[pt] OR "meta-analysis"[pt] OR editorial[pt] OR letter[pt] OR comment[pt] OR "practice guideline"[pt] OR "case reports"[pt])</w:t>
            </w:r>
          </w:p>
        </w:tc>
        <w:tc>
          <w:tcPr>
            <w:tcW w:w="2540" w:type="dxa"/>
            <w:vAlign w:val="top"/>
          </w:tcPr>
          <w:p>
            <w:pPr>
              <w:pStyle w:val="TabelaTexto"/>
              <w:jc w:val="left"/>
            </w:pPr>
            <w:r>
              <w:t xml:space="preserve">• </w:t>
            </w:r>
            <w:r>
              <w:rPr>
                <w:b/>
              </w:rPr>
              <w:t xml:space="preserve">Período:</w:t>
            </w:r>
            <w:r>
              <w:t xml:space="preserve"> 2021 a 2026 • </w:t>
            </w:r>
            <w:r>
              <w:rPr>
                <w:b/>
              </w:rPr>
              <w:t xml:space="preserve">Idiomas:</w:t>
            </w:r>
            <w:r>
              <w:t xml:space="preserve"> pt, en, es • </w:t>
            </w:r>
            <w:r>
              <w:rPr>
                <w:b/>
              </w:rPr>
              <w:t xml:space="preserve">Texto:</w:t>
            </w:r>
            <w:r>
              <w:t xml:space="preserve"> completo gratuito • </w:t>
            </w:r>
            <w:r>
              <w:rPr>
                <w:b/>
              </w:rPr>
              <w:t xml:space="preserve">Exclusão:</w:t>
            </w:r>
            <w:r>
              <w:t xml:space="preserve"> revisões e relatos de caso (na sintaxe)</w:t>
            </w:r>
          </w:p>
        </w:tc>
        <w:tc>
          <w:tcPr>
            <w:tcW w:w="907" w:type="dxa"/>
            <w:vAlign w:val="top"/>
          </w:tcPr>
          <w:p>
            <w:pPr>
              <w:pStyle w:val="TabelaTextoCentro"/>
              <w:jc w:val="center"/>
            </w:pPr>
            <w:r>
              <w:t xml:space="preserve">112</w:t>
            </w:r>
          </w:p>
        </w:tc>
      </w:tr>
      <w:tr>
        <w:trPr>
          <w:cantSplit/>
        </w:trPr>
        <w:tc>
          <w:tcPr>
            <w:tcW w:w="1451" w:type="dxa"/>
            <w:vAlign w:val="top"/>
          </w:tcPr>
          <w:p>
            <w:pPr>
              <w:pStyle w:val="TabelaTexto"/>
              <w:jc w:val="left"/>
            </w:pPr>
            <w:r>
              <w:t xml:space="preserve">SciELO</w:t>
            </w:r>
          </w:p>
        </w:tc>
        <w:tc>
          <w:tcPr>
            <w:tcW w:w="4173" w:type="dxa"/>
            <w:vAlign w:val="top"/>
          </w:tcPr>
          <w:p>
            <w:pPr>
              <w:pStyle w:val="TabelaTexto"/>
              <w:jc w:val="left"/>
            </w:pPr>
            <w:r>
              <w:t xml:space="preserve">("Lipoproteína(a)" OR "Lipoproteina(a)" OR "Lipoprotein(a)" OR "Lp(a)" OR "lipoproteína a" OR "lipoprotein a") AND ("eventos cardiovasculares" OR "cardiovascular events" OR "eventos cardiovasculares" OR "doenças cardiovasculares" OR "cardiovascular diseases" OR "enfermedades cardiovasculares" OR "MACE" OR "infarto")</w:t>
            </w:r>
          </w:p>
        </w:tc>
        <w:tc>
          <w:tcPr>
            <w:tcW w:w="2540" w:type="dxa"/>
            <w:vAlign w:val="top"/>
          </w:tcPr>
          <w:p>
            <w:pPr>
              <w:pStyle w:val="TabelaTexto"/>
              <w:jc w:val="left"/>
            </w:pPr>
            <w:r>
              <w:t xml:space="preserve">• </w:t>
            </w:r>
            <w:r>
              <w:rPr>
                <w:b/>
              </w:rPr>
              <w:t xml:space="preserve">Período:</w:t>
            </w:r>
            <w:r>
              <w:t xml:space="preserve"> 2021 a 2026 • </w:t>
            </w:r>
            <w:r>
              <w:rPr>
                <w:b/>
              </w:rPr>
              <w:t xml:space="preserve">Idiomas:</w:t>
            </w:r>
            <w:r>
              <w:t xml:space="preserve"> pt, en, es • </w:t>
            </w:r>
            <w:r>
              <w:rPr>
                <w:b/>
              </w:rPr>
              <w:t xml:space="preserve">Texto:</w:t>
            </w:r>
            <w:r>
              <w:t xml:space="preserve"> acesso aberto • </w:t>
            </w:r>
            <w:r>
              <w:rPr>
                <w:b/>
              </w:rPr>
              <w:t xml:space="preserve">Exclusão:</w:t>
            </w:r>
            <w:r>
              <w:t xml:space="preserve"> revisões e relatos de caso (na triagem)</w:t>
            </w:r>
          </w:p>
        </w:tc>
        <w:tc>
          <w:tcPr>
            <w:tcW w:w="907" w:type="dxa"/>
            <w:vAlign w:val="top"/>
          </w:tcPr>
          <w:p>
            <w:pPr>
              <w:pStyle w:val="TabelaTextoCentro"/>
              <w:jc w:val="center"/>
            </w:pPr>
            <w:r>
              <w:t xml:space="preserve">26</w:t>
            </w:r>
          </w:p>
        </w:tc>
      </w:tr>
      <w:tr>
        <w:trPr>
          <w:cantSplit/>
        </w:trPr>
        <w:tc>
          <w:tcPr>
            <w:tcW w:w="1451" w:type="dxa"/>
            <w:vAlign w:val="top"/>
          </w:tcPr>
          <w:p>
            <w:pPr>
              <w:pStyle w:val="TabelaTexto"/>
              <w:jc w:val="left"/>
            </w:pPr>
            <w:r>
              <w:t xml:space="preserve">LILACS</w:t>
            </w:r>
          </w:p>
        </w:tc>
        <w:tc>
          <w:tcPr>
            <w:tcW w:w="4173" w:type="dxa"/>
            <w:vAlign w:val="top"/>
          </w:tcPr>
          <w:p>
            <w:pPr>
              <w:pStyle w:val="TabelaTexto"/>
              <w:jc w:val="left"/>
            </w:pPr>
            <w:r>
              <w:t xml:space="preserve">("Lipoproteína(a)" OR "Lipoproteina(a)" OR "Lipoprotein(a)" OR "Lp(a)") AND ("Doenças Cardiovasculares" OR "Cardiovascular Diseases" OR "Enfermedades Cardiovasculares" OR "Eventos Cardiovasculares" OR "Cardiovascular Events" OR "Infarto do Miocárdio" OR "Myocardial Infarction" OR "MACE")</w:t>
            </w:r>
          </w:p>
        </w:tc>
        <w:tc>
          <w:tcPr>
            <w:tcW w:w="2540" w:type="dxa"/>
            <w:vAlign w:val="top"/>
          </w:tcPr>
          <w:p>
            <w:pPr>
              <w:pStyle w:val="TabelaTexto"/>
              <w:jc w:val="left"/>
            </w:pPr>
            <w:r>
              <w:t xml:space="preserve">• </w:t>
            </w:r>
            <w:r>
              <w:rPr>
                <w:b/>
              </w:rPr>
              <w:t xml:space="preserve">Período:</w:t>
            </w:r>
            <w:r>
              <w:t xml:space="preserve"> 2021 a 2026 • </w:t>
            </w:r>
            <w:r>
              <w:rPr>
                <w:b/>
              </w:rPr>
              <w:t xml:space="preserve">Idiomas:</w:t>
            </w:r>
            <w:r>
              <w:t xml:space="preserve"> pt, en, es • </w:t>
            </w:r>
            <w:r>
              <w:rPr>
                <w:b/>
              </w:rPr>
              <w:t xml:space="preserve">Texto:</w:t>
            </w:r>
            <w:r>
              <w:t xml:space="preserve"> completo disponível • </w:t>
            </w:r>
            <w:r>
              <w:rPr>
                <w:b/>
              </w:rPr>
              <w:t xml:space="preserve">Exclusão:</w:t>
            </w:r>
            <w:r>
              <w:t xml:space="preserve"> revisões e relatos de caso (na triagem)</w:t>
            </w:r>
          </w:p>
        </w:tc>
        <w:tc>
          <w:tcPr>
            <w:tcW w:w="907" w:type="dxa"/>
            <w:vAlign w:val="top"/>
          </w:tcPr>
          <w:p>
            <w:pPr>
              <w:pStyle w:val="TabelaTextoCentro"/>
              <w:jc w:val="center"/>
            </w:pPr>
            <w:r>
              <w:t xml:space="preserve">71</w:t>
            </w:r>
          </w:p>
        </w:tc>
      </w:tr>
    </w:tbl>
    <w:p>
      <w:pPr>
        <w:pStyle w:val="Fonte"/>
      </w:pPr>
      <w:r>
        <w:t xml:space="preserve">Fonte: Elaborado pelos autores (2026).</w:t>
      </w:r>
    </w:p>
    <w:p>
      <w:pPr>
        <w:pStyle w:val="Fonte"/>
        <w:spacing w:after="240"/>
      </w:pPr>
      <w:r>
        <w:t xml:space="preserve">Nota: busca realizada em 29 de setembro de 2026. No PubMed, os filtros de período, idioma, texto completo gratuito e tipo de publicação estão escritos na própria estratégia.</w:t>
      </w:r>
    </w:p>
    <w:p>
      <w:pPr>
        <w:pStyle w:val="Titulo2"/>
      </w:pPr>
      <w:r>
        <w:t xml:space="preserve">2.4 Critérios de elegibilidade</w:t>
      </w:r>
    </w:p>
    <w:p>
      <w:pPr>
        <w:pStyle w:val="Normal"/>
      </w:pPr>
      <w:r>
        <w:t xml:space="preserve">Foram incluídos estudos primários, observacionais ou de intervenção, publicados entre 2021 e 2026, nos idiomas português, inglês e espanhol, com texto completo disponível gratuitamente, que abordassem diretamente a pergunta norteadora (Estudos primários que avaliaram a lipoproteína(a) sérica como preditor ou fator de risco independente para desfechos cardiovasculares clínicos ateroscleróticos por meio de análise multivariada). Foram excluídos revisões de literatura (narrativas, integrativas, sistemáticas e metanálises), editoriais, cartas, comentários, diretrizes, resumos de congresso, relatos de caso, publicações retratadas, registros sem resumo disponível e estudos sem dados de desfecho relacionados ao tema (Estudos focados exclusivamente em estenose de valva aórtica sem reporte de eventos ateroscleróticos sistêmicos ou que não realizaram ajuste para potenciais fatores de confusão lipídicos e clássicos).</w:t>
      </w:r>
    </w:p>
    <w:p>
      <w:pPr>
        <w:pStyle w:val="Titulo2"/>
      </w:pPr>
      <w:r>
        <w:t xml:space="preserve">2.5 Seleção dos estudos e extração dos dados</w:t>
      </w:r>
    </w:p>
    <w:p>
      <w:pPr>
        <w:pStyle w:val="Normal"/>
      </w:pPr>
      <w:r>
        <w:t xml:space="preserve">Os registros recuperados foram reunidos e as duplicatas foram removidas por identificador (DOI e PMID) e por similaridade de título. A seleção foi conduzida pelos pesquisadores mediante triagem criteriosa de títulos e resumos, aplicando-se os critérios de elegibilidade a cada registro e documentando-se o motivo de cada exclusão. Os dados dos estudos incluídos (autoria, ano, país, delineamento, amostra, variáveis e principais achados) foram minuciosamente extraídos pelos autores para formulário padronizado, com conferência integral de todos os valores numéricos diretamente nas fontes de origem. Os 51 registros das bases regionais (SciELO e LILACS) excluídos na primeira triagem por não abordarem o tema, a população ou o desfecho passaram por segunda avaliação independente, que resultou na reinclusão de 4 registros. Conforme protocolo de afunilamento pré-definido para viabilidade e robustez da síntese, a inclusão final priorizou estudos com delineamento observacional analítico estruturado, reporte discriminado de desfechos e cobertura de cenários regionais, delimitando-se a amostra nos 30 estudos primários de maior impacto e aderência metodológica, sendo os 36 registros elegíveis de menor prioridade analítica arquivados.</w:t>
      </w:r>
    </w:p>
    <w:p>
      <w:pPr>
        <w:pStyle w:val="Titulo2"/>
      </w:pPr>
      <w:r>
        <w:t xml:space="preserve">2.6 Verificação da autenticidade das referências</w:t>
      </w:r>
    </w:p>
    <w:p>
      <w:pPr>
        <w:pStyle w:val="Normal"/>
      </w:pPr>
      <w:r>
        <w:t xml:space="preserve">Antes da síntese, cada estudo elegível teve sua existência e seus metadados conferidos de forma independente na fonte original: no PubMed, por nova consulta ao registro pelo PMID, com verificação do status de retratação; no SciELO, por consulta à interface ArticleMeta e abertura da página do artigo; e no LILACS, por abertura da página do registro no Portal Regional da BVS. Quando disponível, o DOI foi conferido na base Crossref, incluindo avisos de retratação. Foram excluídos os registros cuja existência, título ou status não puderam ser confirmados.</w:t>
      </w:r>
    </w:p>
    <w:p>
      <w:pPr>
        <w:pStyle w:val="Titulo2"/>
      </w:pPr>
      <w:r>
        <w:t xml:space="preserve">2.7 Avaliação da qualidade metodológica</w:t>
      </w:r>
    </w:p>
    <w:p>
      <w:pPr>
        <w:pStyle w:val="Normal"/>
      </w:pPr>
      <w:r>
        <w:t xml:space="preserve">A avaliação do rigor metodológico e da qualidade dos estudos primários baseou-se nas diretrizes do Joanna Briggs Institute (JBI) para estudos observacionais analíticos, ponderando clareza amostral, mensuração padronizada de variáveis preditoras e controle de fatores de confusão, conforme sumarizado na Tabela 1.</w:t>
      </w:r>
    </w:p>
    <w:p>
      <w:pPr>
        <w:pStyle w:val="Titulo2"/>
      </w:pPr>
      <w:r>
        <w:t xml:space="preserve">2.8 Síntese dos dados</w:t>
      </w:r>
    </w:p>
    <w:p>
      <w:pPr>
        <w:pStyle w:val="Normal"/>
      </w:pPr>
      <w:r>
        <w:t xml:space="preserve">Os achados foram sintetizados de forma descritiva e temática, organizados nos seguintes eixos: Valores de corte laboratoriais e estratificação do risco cardiovascular associado à Lp(a); Lp(a) e incidência de eventos coronarianos agudos e infarto agudo do miocárdio; Lp(a) como preditor independente de acidente vascular cerebral e mortalidade cardiovascular; Risco residual mediado por Lp(a) em pacientes sob terapia hipolipemiante otimizada, com cada estudo alocado ao eixo predominante (Tabela 2). Em razão da heterogeneidade de delineamentos e desfechos, não se realizou metanálise.</w:t>
      </w:r>
    </w:p>
    <w:p>
      <w:pPr>
        <w:pStyle w:val="Titulo1"/>
      </w:pPr>
      <w:r>
        <w:t xml:space="preserve">3 Resultados</w:t>
      </w:r>
    </w:p>
    <w:p>
      <w:pPr>
        <w:pStyle w:val="Titulo2"/>
      </w:pPr>
      <w:r>
        <w:t xml:space="preserve">3.1 Seleção dos estudos</w:t>
      </w:r>
    </w:p>
    <w:p>
      <w:pPr>
        <w:pStyle w:val="Normal"/>
      </w:pPr>
      <w:r>
        <w:t xml:space="preserve">A busca nas bases de dados resultou em 209 registros (PubMed/MEDLINE: 112; SciELO: 26; LILACS: 71). Após a remoção de duplicados (25) e sem resumo disponível (5), 179 registros foram triados por título e resumo, e 113 foram excluídos: fora do tema (56), sem dados de desfecho (30), estudo não primário (19), população inadequada (4), relato de caso (3) e resumo de congresso (1). Na segunda avaliação dos 51 registros regionais excluídos, 4 foram reincluídos. Dos 66 registros elegíveis, 36 de menor relevância para a pergunta não foram incluídos, por viabilidade de síntese. Os 30 registros restantes tiveram existência e metadados verificados na fonte original, sem exclusões nessa etapa. Ao final, 30 estudos foram incluídos nesta revisão (Figura 1).</w:t>
      </w:r>
    </w:p>
    <w:p>
      <w:pPr>
        <w:pStyle w:val="Legenda"/>
      </w:pPr>
      <w:r>
        <w:rPr>
          <w:b/>
        </w:rPr>
        <w:t xml:space="preserve">Figura 1 –</w:t>
      </w:r>
      <w:r>
        <w:t xml:space="preserve"> Fluxograma de identificação, triagem e inclusão dos estudos, segundo a declaração PRISMA 2020</w:t>
      </w:r>
    </w:p>
    <w:p>
      <w:pPr>
        <w:pStyle w:val="Fonte"/>
        <w:spacing w:after="240"/>
      </w:pPr>
      <w:r>
        <w:t xml:space="preserve">Fonte: Adaptado de Page et al. [22].</w:t>
      </w:r>
    </w:p>
    <w:p>
      <w:pPr>
        <w:pStyle w:val="Titulo2"/>
      </w:pPr>
      <w:r>
        <w:t xml:space="preserve">3.2 Caracterização dos estudos incluídos</w:t>
      </w:r>
    </w:p>
    <w:p>
      <w:pPr>
        <w:sectPr>
          <w:headerReference w:type="default" r:id="rIdCabecalho"/>
          <w:pgSz w:w="11906" w:h="16838"/>
          <w:pgMar w:top="1701" w:right="1134" w:bottom="1134" w:left="1701" w:header="709" w:footer="709" w:gutter="0"/>
          <w:titlePg/>
        </w:sectPr>
      </w:pPr>
    </w:p>
    <w:p>
      <w:pPr>
        <w:pStyle w:val="Legenda"/>
      </w:pPr>
      <w:r>
        <w:rPr>
          <w:b/>
        </w:rPr>
        <w:t xml:space="preserve">Tabela 1 –</w:t>
      </w:r>
      <w:r>
        <w:t xml:space="preserve"> Caracterização dos 30 estudos incluídos, segundo autoria, país, delineamento, variáveis e principais achados</w:t>
      </w:r>
    </w:p>
    <w:tbl>
      <w:tblPr>
        <w:tblW w:w="14003"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2100"/>
        <w:gridCol w:w="1260"/>
        <w:gridCol w:w="2801"/>
        <w:gridCol w:w="2521"/>
        <w:gridCol w:w="2100"/>
        <w:gridCol w:w="3221"/>
      </w:tblGrid>
      <w:tr>
        <w:trPr>
          <w:cantSplit/>
          <w:tblHeader/>
        </w:trPr>
        <w:tc>
          <w:tcPr>
            <w:tcW w:w="2100" w:type="dxa"/>
            <w:tcBorders>
              <w:bottom w:val="single" w:sz="8" w:space="0" w:color="000000"/>
            </w:tcBorders>
            <w:shd w:val="clear" w:color="auto" w:fill="F8F9FA"/>
            <w:vAlign w:val="center"/>
          </w:tcPr>
          <w:p>
            <w:pPr>
              <w:pStyle w:val="TabelaCabecalho"/>
              <w:jc w:val="left"/>
            </w:pPr>
            <w:r>
              <w:t xml:space="preserve">Autor/Ano</w:t>
            </w:r>
          </w:p>
        </w:tc>
        <w:tc>
          <w:tcPr>
            <w:tcW w:w="1260" w:type="dxa"/>
            <w:tcBorders>
              <w:bottom w:val="single" w:sz="8" w:space="0" w:color="000000"/>
            </w:tcBorders>
            <w:shd w:val="clear" w:color="auto" w:fill="F8F9FA"/>
            <w:vAlign w:val="center"/>
          </w:tcPr>
          <w:p>
            <w:pPr>
              <w:pStyle w:val="TabelaCabecalhoCentro"/>
              <w:jc w:val="center"/>
            </w:pPr>
            <w:r>
              <w:t xml:space="preserve">País</w:t>
            </w:r>
          </w:p>
        </w:tc>
        <w:tc>
          <w:tcPr>
            <w:tcW w:w="2801" w:type="dxa"/>
            <w:tcBorders>
              <w:bottom w:val="single" w:sz="8" w:space="0" w:color="000000"/>
            </w:tcBorders>
            <w:shd w:val="clear" w:color="auto" w:fill="F8F9FA"/>
            <w:vAlign w:val="center"/>
          </w:tcPr>
          <w:p>
            <w:pPr>
              <w:pStyle w:val="TabelaCabecalho"/>
              <w:jc w:val="left"/>
            </w:pPr>
            <w:r>
              <w:t xml:space="preserve">Delineamento/Amostra</w:t>
            </w:r>
          </w:p>
        </w:tc>
        <w:tc>
          <w:tcPr>
            <w:tcW w:w="2521" w:type="dxa"/>
            <w:tcBorders>
              <w:bottom w:val="single" w:sz="8" w:space="0" w:color="000000"/>
            </w:tcBorders>
            <w:shd w:val="clear" w:color="auto" w:fill="F8F9FA"/>
            <w:vAlign w:val="center"/>
          </w:tcPr>
          <w:p>
            <w:pPr>
              <w:pStyle w:val="TabelaCabecalho"/>
              <w:jc w:val="left"/>
            </w:pPr>
            <w:r>
              <w:t xml:space="preserve">Fatores avaliados</w:t>
            </w:r>
          </w:p>
        </w:tc>
        <w:tc>
          <w:tcPr>
            <w:tcW w:w="2100" w:type="dxa"/>
            <w:tcBorders>
              <w:bottom w:val="single" w:sz="8" w:space="0" w:color="000000"/>
            </w:tcBorders>
            <w:shd w:val="clear" w:color="auto" w:fill="F8F9FA"/>
            <w:vAlign w:val="center"/>
          </w:tcPr>
          <w:p>
            <w:pPr>
              <w:pStyle w:val="TabelaCabecalho"/>
              <w:jc w:val="left"/>
            </w:pPr>
            <w:r>
              <w:t xml:space="preserve">Desfecho(s) avaliado(s)</w:t>
            </w:r>
          </w:p>
        </w:tc>
        <w:tc>
          <w:tcPr>
            <w:tcW w:w="3221" w:type="dxa"/>
            <w:tcBorders>
              <w:bottom w:val="single" w:sz="8" w:space="0" w:color="000000"/>
            </w:tcBorders>
            <w:shd w:val="clear" w:color="auto" w:fill="F8F9FA"/>
            <w:vAlign w:val="center"/>
          </w:tcPr>
          <w:p>
            <w:pPr>
              <w:pStyle w:val="TabelaCabecalho"/>
              <w:jc w:val="left"/>
            </w:pPr>
            <w:r>
              <w:t xml:space="preserve">Principais achados</w:t>
            </w:r>
          </w:p>
        </w:tc>
      </w:tr>
      <w:tr>
        <w:trPr>
          <w:cantSplit/>
        </w:trPr>
        <w:tc>
          <w:tcPr>
            <w:tcW w:w="2100" w:type="dxa"/>
            <w:vAlign w:val="top"/>
          </w:tcPr>
          <w:p>
            <w:pPr>
              <w:pStyle w:val="TabelaTexto"/>
              <w:jc w:val="left"/>
            </w:pPr>
            <w:r>
              <w:t xml:space="preserve">Al-Jarshawi et al., 2026 [19]</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coorte prospectiva; 4.707 participantes não ponderados (55.050.155 ponderados) do NHANES III</w:t>
            </w:r>
          </w:p>
        </w:tc>
        <w:tc>
          <w:tcPr>
            <w:tcW w:w="2521" w:type="dxa"/>
            <w:vAlign w:val="top"/>
          </w:tcPr>
          <w:p>
            <w:pPr>
              <w:pStyle w:val="TabelaTexto"/>
              <w:jc w:val="left"/>
            </w:pPr>
            <w:r>
              <w:t xml:space="preserve">Lp(a) &gt;75 mg/dL</w:t>
            </w:r>
          </w:p>
        </w:tc>
        <w:tc>
          <w:tcPr>
            <w:tcW w:w="2100" w:type="dxa"/>
            <w:vAlign w:val="top"/>
          </w:tcPr>
          <w:p>
            <w:pPr>
              <w:pStyle w:val="TabelaTexto"/>
              <w:jc w:val="left"/>
            </w:pPr>
            <w:r>
              <w:t xml:space="preserve">Mortalidade por todas as causas e cardiovascular</w:t>
            </w:r>
          </w:p>
        </w:tc>
        <w:tc>
          <w:tcPr>
            <w:tcW w:w="3221" w:type="dxa"/>
            <w:vAlign w:val="top"/>
          </w:tcPr>
          <w:p>
            <w:pPr>
              <w:pStyle w:val="TabelaTexto"/>
              <w:jc w:val="left"/>
            </w:pPr>
            <w:r>
              <w:t xml:space="preserve">Lp(a) &gt;75 mg/dL associou-se a maior mortalidade por todas as causas (HR 1,25) e cardiovascular (sHR 1,21) apenas no grupo de alto risco basal.</w:t>
            </w:r>
          </w:p>
        </w:tc>
      </w:tr>
      <w:tr>
        <w:trPr>
          <w:cantSplit/>
        </w:trPr>
        <w:tc>
          <w:tcPr>
            <w:tcW w:w="2100" w:type="dxa"/>
            <w:vAlign w:val="top"/>
          </w:tcPr>
          <w:p>
            <w:pPr>
              <w:pStyle w:val="TabelaTexto"/>
              <w:jc w:val="left"/>
            </w:pPr>
            <w:r>
              <w:t xml:space="preserve">Bhatia et al., 2026 [5]</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prospectiva; 11.319 participantes de 4 coortes (1.569 eventos ASCVD)</w:t>
            </w:r>
          </w:p>
        </w:tc>
        <w:tc>
          <w:tcPr>
            <w:tcW w:w="2521" w:type="dxa"/>
            <w:vAlign w:val="top"/>
          </w:tcPr>
          <w:p>
            <w:pPr>
              <w:pStyle w:val="TabelaTexto"/>
              <w:jc w:val="left"/>
            </w:pPr>
            <w:r>
              <w:t xml:space="preserve">Lp(a) &gt;50 mg/dL estratificada por escore de cálcio coronário (CAC)</w:t>
            </w:r>
          </w:p>
        </w:tc>
        <w:tc>
          <w:tcPr>
            <w:tcW w:w="2100" w:type="dxa"/>
            <w:vAlign w:val="top"/>
          </w:tcPr>
          <w:p>
            <w:pPr>
              <w:pStyle w:val="TabelaTexto"/>
              <w:jc w:val="left"/>
            </w:pPr>
            <w:r>
              <w:t xml:space="preserve">Eventos ASCVD (infarto, AVC, revascularização)</w:t>
            </w:r>
          </w:p>
        </w:tc>
        <w:tc>
          <w:tcPr>
            <w:tcW w:w="3221" w:type="dxa"/>
            <w:vAlign w:val="top"/>
          </w:tcPr>
          <w:p>
            <w:pPr>
              <w:pStyle w:val="TabelaTexto"/>
              <w:jc w:val="left"/>
            </w:pPr>
            <w:r>
              <w:t xml:space="preserve">Lp(a) &gt;50 mg/dL associou-se a maior risco relativo de ASCVD em todas as faixas de CAC, inclusive CAC zero (HR 1,28).</w:t>
            </w:r>
          </w:p>
        </w:tc>
      </w:tr>
      <w:tr>
        <w:trPr>
          <w:cantSplit/>
        </w:trPr>
        <w:tc>
          <w:tcPr>
            <w:tcW w:w="2100" w:type="dxa"/>
            <w:vAlign w:val="top"/>
          </w:tcPr>
          <w:p>
            <w:pPr>
              <w:pStyle w:val="TabelaTexto"/>
              <w:jc w:val="left"/>
            </w:pPr>
            <w:r>
              <w:t xml:space="preserve">Cerda G et al., 2026 [1]</w:t>
            </w:r>
          </w:p>
        </w:tc>
        <w:tc>
          <w:tcPr>
            <w:tcW w:w="1260" w:type="dxa"/>
            <w:vAlign w:val="top"/>
          </w:tcPr>
          <w:p>
            <w:pPr>
              <w:pStyle w:val="TabelaTextoCentro"/>
              <w:jc w:val="center"/>
            </w:pPr>
            <w:r>
              <w:t xml:space="preserve">Chile*</w:t>
            </w:r>
          </w:p>
        </w:tc>
        <w:tc>
          <w:tcPr>
            <w:tcW w:w="2801" w:type="dxa"/>
            <w:vAlign w:val="top"/>
          </w:tcPr>
          <w:p>
            <w:pPr>
              <w:pStyle w:val="TabelaTexto"/>
              <w:jc w:val="left"/>
            </w:pPr>
            <w:r>
              <w:t xml:space="preserve">coorte prospectiva; 67 pacientes com síndrome coronariana aguda</w:t>
            </w:r>
          </w:p>
        </w:tc>
        <w:tc>
          <w:tcPr>
            <w:tcW w:w="2521" w:type="dxa"/>
            <w:vAlign w:val="top"/>
          </w:tcPr>
          <w:p>
            <w:pPr>
              <w:pStyle w:val="TabelaTexto"/>
              <w:jc w:val="left"/>
            </w:pPr>
            <w:r>
              <w:t xml:space="preserve">Lp(a) elevada e outros parâmetros lipídicos não tradicionais</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Apenas 45% atingiram LDL-C &lt;55 mg/dL; entre estes, 21% tinham Lp(a) elevada, evidenciando risco residual lipídico não tradicional.</w:t>
            </w:r>
          </w:p>
        </w:tc>
      </w:tr>
      <w:tr>
        <w:trPr>
          <w:cantSplit/>
        </w:trPr>
        <w:tc>
          <w:tcPr>
            <w:tcW w:w="2100" w:type="dxa"/>
            <w:vAlign w:val="top"/>
          </w:tcPr>
          <w:p>
            <w:pPr>
              <w:pStyle w:val="TabelaTexto"/>
              <w:jc w:val="left"/>
            </w:pPr>
            <w:r>
              <w:t xml:space="preserve">de Mira et al., 2026 [18]</w:t>
            </w:r>
          </w:p>
        </w:tc>
        <w:tc>
          <w:tcPr>
            <w:tcW w:w="1260" w:type="dxa"/>
            <w:vAlign w:val="top"/>
          </w:tcPr>
          <w:p>
            <w:pPr>
              <w:pStyle w:val="TabelaTextoCentro"/>
              <w:jc w:val="center"/>
            </w:pPr>
            <w:r>
              <w:t xml:space="preserve">Países Baixos</w:t>
            </w:r>
          </w:p>
        </w:tc>
        <w:tc>
          <w:tcPr>
            <w:tcW w:w="2801" w:type="dxa"/>
            <w:vAlign w:val="top"/>
          </w:tcPr>
          <w:p>
            <w:pPr>
              <w:pStyle w:val="TabelaTexto"/>
              <w:jc w:val="left"/>
            </w:pPr>
            <w:r>
              <w:t xml:space="preserve">coorte prospectiva; 798 pacientes com doença arterial coronariana estabelecida</w:t>
            </w:r>
          </w:p>
        </w:tc>
        <w:tc>
          <w:tcPr>
            <w:tcW w:w="2521" w:type="dxa"/>
            <w:vAlign w:val="top"/>
          </w:tcPr>
          <w:p>
            <w:pPr>
              <w:pStyle w:val="TabelaTexto"/>
              <w:jc w:val="left"/>
            </w:pPr>
            <w:r>
              <w:t xml:space="preserve">Lp(a) &gt;125 nmol/L</w:t>
            </w:r>
          </w:p>
        </w:tc>
        <w:tc>
          <w:tcPr>
            <w:tcW w:w="2100" w:type="dxa"/>
            <w:vAlign w:val="top"/>
          </w:tcPr>
          <w:p>
            <w:pPr>
              <w:pStyle w:val="TabelaTexto"/>
              <w:jc w:val="left"/>
            </w:pPr>
            <w:r>
              <w:t xml:space="preserve">Eventos cardíacos adversos maiores e mortalidade por todas as causas</w:t>
            </w:r>
          </w:p>
        </w:tc>
        <w:tc>
          <w:tcPr>
            <w:tcW w:w="3221" w:type="dxa"/>
            <w:vAlign w:val="top"/>
          </w:tcPr>
          <w:p>
            <w:pPr>
              <w:pStyle w:val="TabelaTexto"/>
              <w:jc w:val="left"/>
            </w:pPr>
            <w:r>
              <w:t xml:space="preserve">Lp(a) &gt;125 nmol/L associou-se a maior carga de placa, mas não a eventos cardíacos ou mortalidade em 5-10 anos.</w:t>
            </w:r>
          </w:p>
        </w:tc>
      </w:tr>
      <w:tr>
        <w:trPr>
          <w:cantSplit/>
        </w:trPr>
        <w:tc>
          <w:tcPr>
            <w:tcW w:w="2100" w:type="dxa"/>
            <w:vAlign w:val="top"/>
          </w:tcPr>
          <w:p>
            <w:pPr>
              <w:pStyle w:val="TabelaTexto"/>
              <w:jc w:val="left"/>
            </w:pPr>
            <w:r>
              <w:t xml:space="preserve">Dong et al., 2026 [15]</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coorte retrospectiva; 101.348 adultos com MASLD para mortalidade cardiovascular e 94.089 sem doença cardiovascular basal para análise de eventos incidentes</w:t>
            </w:r>
          </w:p>
        </w:tc>
        <w:tc>
          <w:tcPr>
            <w:tcW w:w="2521" w:type="dxa"/>
            <w:vAlign w:val="top"/>
          </w:tcPr>
          <w:p>
            <w:pPr>
              <w:pStyle w:val="TabelaTexto"/>
              <w:jc w:val="left"/>
            </w:pPr>
            <w:r>
              <w:t xml:space="preserve">Lp(a) sérica categorizada em &lt;125 vs. ≥125 nmol/L e índice TyG (resistência à insulina)</w:t>
            </w:r>
          </w:p>
        </w:tc>
        <w:tc>
          <w:tcPr>
            <w:tcW w:w="2100" w:type="dxa"/>
            <w:vAlign w:val="top"/>
          </w:tcPr>
          <w:p>
            <w:pPr>
              <w:pStyle w:val="TabelaTexto"/>
              <w:jc w:val="left"/>
            </w:pPr>
            <w:r>
              <w:t xml:space="preserve">Eventos cardiovasculares incidentes e mortalidade cardiovascular</w:t>
            </w:r>
          </w:p>
        </w:tc>
        <w:tc>
          <w:tcPr>
            <w:tcW w:w="3221" w:type="dxa"/>
            <w:vAlign w:val="top"/>
          </w:tcPr>
          <w:p>
            <w:pPr>
              <w:pStyle w:val="TabelaTexto"/>
              <w:jc w:val="left"/>
            </w:pPr>
            <w:r>
              <w:t xml:space="preserve">Lp(a) elevada associou-se independentemente a maior risco de eventos e mortalidade cardiovascular; risco máximo com Lp(a) e resistência à insulina concomitantemente elevadas.</w:t>
            </w:r>
          </w:p>
        </w:tc>
      </w:tr>
      <w:tr>
        <w:trPr>
          <w:cantSplit/>
        </w:trPr>
        <w:tc>
          <w:tcPr>
            <w:tcW w:w="2100" w:type="dxa"/>
            <w:vAlign w:val="top"/>
          </w:tcPr>
          <w:p>
            <w:pPr>
              <w:pStyle w:val="TabelaTexto"/>
              <w:jc w:val="left"/>
            </w:pPr>
            <w:r>
              <w:t xml:space="preserve">Kim et al., 2026 [10]</w:t>
            </w:r>
          </w:p>
        </w:tc>
        <w:tc>
          <w:tcPr>
            <w:tcW w:w="1260" w:type="dxa"/>
            <w:vAlign w:val="top"/>
          </w:tcPr>
          <w:p>
            <w:pPr>
              <w:pStyle w:val="TabelaTextoCentro"/>
              <w:jc w:val="center"/>
            </w:pPr>
            <w:r>
              <w:t xml:space="preserve">Coreia do Sul</w:t>
            </w:r>
          </w:p>
        </w:tc>
        <w:tc>
          <w:tcPr>
            <w:tcW w:w="2801" w:type="dxa"/>
            <w:vAlign w:val="top"/>
          </w:tcPr>
          <w:p>
            <w:pPr>
              <w:pStyle w:val="TabelaTexto"/>
              <w:jc w:val="left"/>
            </w:pPr>
            <w:r>
              <w:t xml:space="preserve">coorte retrospectiva; 4.591 pacientes submetidos a intervenção coronária percutânea ou cirurgia de revascularização miocárdica</w:t>
            </w:r>
          </w:p>
        </w:tc>
        <w:tc>
          <w:tcPr>
            <w:tcW w:w="2521" w:type="dxa"/>
            <w:vAlign w:val="top"/>
          </w:tcPr>
          <w:p>
            <w:pPr>
              <w:pStyle w:val="TabelaTexto"/>
              <w:jc w:val="left"/>
            </w:pPr>
            <w:r>
              <w:t xml:space="preserve">Lp(a) elevada / Cut-off: ≥50 mg/dL vs. &lt;50 mg/dL</w:t>
            </w:r>
          </w:p>
        </w:tc>
        <w:tc>
          <w:tcPr>
            <w:tcW w:w="2100" w:type="dxa"/>
            <w:vAlign w:val="top"/>
          </w:tcPr>
          <w:p>
            <w:pPr>
              <w:pStyle w:val="TabelaTexto"/>
              <w:jc w:val="left"/>
            </w:pPr>
            <w:r>
              <w:t xml:space="preserve">Desfecho composto: morte por todas as causas, infarto do miocárdio ou acidente vascular cerebral</w:t>
            </w:r>
          </w:p>
        </w:tc>
        <w:tc>
          <w:tcPr>
            <w:tcW w:w="3221" w:type="dxa"/>
            <w:vAlign w:val="top"/>
          </w:tcPr>
          <w:p>
            <w:pPr>
              <w:pStyle w:val="TabelaTexto"/>
              <w:jc w:val="left"/>
            </w:pPr>
            <w:r>
              <w:t xml:space="preserve">Lp(a) elevada foi preditor independente do desfecho composto (HR ajustado 1,26; IC 95% 1,04-1,53), com efeito mais pronunciado em alta complexidade coronariana (SYNTAX ≥33).</w:t>
            </w:r>
          </w:p>
        </w:tc>
      </w:tr>
      <w:tr>
        <w:trPr>
          <w:cantSplit/>
        </w:trPr>
        <w:tc>
          <w:tcPr>
            <w:tcW w:w="2100" w:type="dxa"/>
            <w:vAlign w:val="top"/>
          </w:tcPr>
          <w:p>
            <w:pPr>
              <w:pStyle w:val="TabelaTexto"/>
              <w:jc w:val="left"/>
            </w:pPr>
            <w:r>
              <w:t xml:space="preserve">Nishiyama et al., 2026 [9]</w:t>
            </w:r>
          </w:p>
        </w:tc>
        <w:tc>
          <w:tcPr>
            <w:tcW w:w="1260" w:type="dxa"/>
            <w:vAlign w:val="top"/>
          </w:tcPr>
          <w:p>
            <w:pPr>
              <w:pStyle w:val="TabelaTextoCentro"/>
              <w:jc w:val="center"/>
            </w:pPr>
            <w:r>
              <w:t xml:space="preserve">Japão</w:t>
            </w:r>
          </w:p>
        </w:tc>
        <w:tc>
          <w:tcPr>
            <w:tcW w:w="2801" w:type="dxa"/>
            <w:vAlign w:val="top"/>
          </w:tcPr>
          <w:p>
            <w:pPr>
              <w:pStyle w:val="TabelaTexto"/>
              <w:jc w:val="left"/>
            </w:pPr>
            <w:r>
              <w:t xml:space="preserve">coorte retrospectiva; 868 pacientes consecutivos com IAM com supradesnivelamento do segmento ST</w:t>
            </w:r>
          </w:p>
        </w:tc>
        <w:tc>
          <w:tcPr>
            <w:tcW w:w="2521" w:type="dxa"/>
            <w:vAlign w:val="top"/>
          </w:tcPr>
          <w:p>
            <w:pPr>
              <w:pStyle w:val="TabelaTexto"/>
              <w:jc w:val="left"/>
            </w:pPr>
            <w:r>
              <w:t xml:space="preserve">Níveis séricos de Lp(a) na admissão; cut-off de 47,26 mg/dL (alto ≥47,26 vs. baixo &lt;47,26 mg/dL)</w:t>
            </w:r>
          </w:p>
        </w:tc>
        <w:tc>
          <w:tcPr>
            <w:tcW w:w="2100" w:type="dxa"/>
            <w:vAlign w:val="top"/>
          </w:tcPr>
          <w:p>
            <w:pPr>
              <w:pStyle w:val="TabelaTexto"/>
              <w:jc w:val="left"/>
            </w:pPr>
            <w:r>
              <w:t xml:space="preserve">Desfecho composto primário: morte cardiovascular, infarto do miocárdio não fatal, acidente vascular cerebral não fatal ou qualquer revascularização</w:t>
            </w:r>
          </w:p>
        </w:tc>
        <w:tc>
          <w:tcPr>
            <w:tcW w:w="3221" w:type="dxa"/>
            <w:vAlign w:val="top"/>
          </w:tcPr>
          <w:p>
            <w:pPr>
              <w:pStyle w:val="TabelaTexto"/>
              <w:jc w:val="left"/>
            </w:pPr>
            <w:r>
              <w:t xml:space="preserve">Lp(a) elevada associou-se independentemente ao desfecho composto, sobretudo por maior taxa de revascularização, com pior prognóstico em longo prazo.</w:t>
            </w:r>
          </w:p>
        </w:tc>
      </w:tr>
      <w:tr>
        <w:trPr>
          <w:cantSplit/>
        </w:trPr>
        <w:tc>
          <w:tcPr>
            <w:tcW w:w="2100" w:type="dxa"/>
            <w:vAlign w:val="top"/>
          </w:tcPr>
          <w:p>
            <w:pPr>
              <w:pStyle w:val="TabelaTexto"/>
              <w:jc w:val="left"/>
            </w:pPr>
            <w:r>
              <w:t xml:space="preserve">Sun et al., 2026 [23]</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prospectiva; 530 pacientes com doença coronariana</w:t>
            </w:r>
          </w:p>
        </w:tc>
        <w:tc>
          <w:tcPr>
            <w:tcW w:w="2521" w:type="dxa"/>
            <w:vAlign w:val="top"/>
          </w:tcPr>
          <w:p>
            <w:pPr>
              <w:pStyle w:val="TabelaTexto"/>
              <w:jc w:val="left"/>
            </w:pPr>
            <w:r>
              <w:t xml:space="preserve">Lp(a) elevada, estratificada por concentrações de homocisteína (baixa vs. moderada-alta)</w:t>
            </w:r>
          </w:p>
        </w:tc>
        <w:tc>
          <w:tcPr>
            <w:tcW w:w="2100" w:type="dxa"/>
            <w:vAlign w:val="top"/>
          </w:tcPr>
          <w:p>
            <w:pPr>
              <w:pStyle w:val="TabelaTexto"/>
              <w:jc w:val="left"/>
            </w:pPr>
            <w:r>
              <w:t xml:space="preserve">Eventos cardiovasculares adversos maiores (MACE) e eventos coronarianos agudos (ACE)</w:t>
            </w:r>
          </w:p>
        </w:tc>
        <w:tc>
          <w:tcPr>
            <w:tcW w:w="3221" w:type="dxa"/>
            <w:vAlign w:val="top"/>
          </w:tcPr>
          <w:p>
            <w:pPr>
              <w:pStyle w:val="TabelaTexto"/>
              <w:jc w:val="left"/>
            </w:pPr>
            <w:r>
              <w:t xml:space="preserve">Lp(a) elevada foi fator de risco para MACE e ACE; risco amplificado naqueles com homocisteína moderada-alta, sem associação quando homocisteína baixa.</w:t>
            </w:r>
          </w:p>
        </w:tc>
      </w:tr>
      <w:tr>
        <w:trPr>
          <w:cantSplit/>
        </w:trPr>
        <w:tc>
          <w:tcPr>
            <w:tcW w:w="2100" w:type="dxa"/>
            <w:vAlign w:val="top"/>
          </w:tcPr>
          <w:p>
            <w:pPr>
              <w:pStyle w:val="TabelaTexto"/>
              <w:jc w:val="left"/>
            </w:pPr>
            <w:r>
              <w:t xml:space="preserve">Bhatia et al., 2025 [16]</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prospectiva; 6.514 participantes do MESA e 26.574 do UK Biobank</w:t>
            </w:r>
          </w:p>
        </w:tc>
        <w:tc>
          <w:tcPr>
            <w:tcW w:w="2521" w:type="dxa"/>
            <w:vAlign w:val="top"/>
          </w:tcPr>
          <w:p>
            <w:pPr>
              <w:pStyle w:val="TabelaTexto"/>
              <w:jc w:val="left"/>
            </w:pPr>
            <w:r>
              <w:t xml:space="preserve">Lp(a) (≤50 vs. &gt;50 mg/dL) e interleucina-6 (IL-6) (≤ mediana vs. &gt; mediana)</w:t>
            </w:r>
          </w:p>
        </w:tc>
        <w:tc>
          <w:tcPr>
            <w:tcW w:w="2100" w:type="dxa"/>
            <w:vAlign w:val="top"/>
          </w:tcPr>
          <w:p>
            <w:pPr>
              <w:pStyle w:val="TabelaTexto"/>
              <w:jc w:val="left"/>
            </w:pPr>
            <w:r>
              <w:t xml:space="preserve">Doença coronariana, doença cardiovascular aterosclerótica e doença vascular periférica</w:t>
            </w:r>
          </w:p>
        </w:tc>
        <w:tc>
          <w:tcPr>
            <w:tcW w:w="3221" w:type="dxa"/>
            <w:vAlign w:val="top"/>
          </w:tcPr>
          <w:p>
            <w:pPr>
              <w:pStyle w:val="TabelaTexto"/>
              <w:jc w:val="left"/>
            </w:pPr>
            <w:r>
              <w:t xml:space="preserve">Lp(a) e IL-6 foram preditores independentes de risco cardiovascular; a combinação de ambos elevados identificou o grupo de maior risco.</w:t>
            </w:r>
          </w:p>
        </w:tc>
      </w:tr>
      <w:tr>
        <w:trPr>
          <w:cantSplit/>
        </w:trPr>
        <w:tc>
          <w:tcPr>
            <w:tcW w:w="2100" w:type="dxa"/>
            <w:vAlign w:val="top"/>
          </w:tcPr>
          <w:p>
            <w:pPr>
              <w:pStyle w:val="TabelaTexto"/>
              <w:jc w:val="left"/>
            </w:pPr>
            <w:r>
              <w:t xml:space="preserve">Biscetti et al., 2025 [24]</w:t>
            </w:r>
          </w:p>
        </w:tc>
        <w:tc>
          <w:tcPr>
            <w:tcW w:w="1260" w:type="dxa"/>
            <w:vAlign w:val="top"/>
          </w:tcPr>
          <w:p>
            <w:pPr>
              <w:pStyle w:val="TabelaTextoCentro"/>
              <w:jc w:val="center"/>
            </w:pPr>
            <w:r>
              <w:t xml:space="preserve">Itália</w:t>
            </w:r>
          </w:p>
        </w:tc>
        <w:tc>
          <w:tcPr>
            <w:tcW w:w="2801" w:type="dxa"/>
            <w:vAlign w:val="top"/>
          </w:tcPr>
          <w:p>
            <w:pPr>
              <w:pStyle w:val="TabelaTexto"/>
              <w:jc w:val="left"/>
            </w:pPr>
            <w:r>
              <w:t xml:space="preserve">coorte prospectiva; 158 pacientes com diabetes tipo 2 e isquemia crítica de membro inferior submetidos à revascularização</w:t>
            </w:r>
          </w:p>
        </w:tc>
        <w:tc>
          <w:tcPr>
            <w:tcW w:w="2521" w:type="dxa"/>
            <w:vAlign w:val="top"/>
          </w:tcPr>
          <w:p>
            <w:pPr>
              <w:pStyle w:val="TabelaTexto"/>
              <w:jc w:val="left"/>
            </w:pPr>
            <w:r>
              <w:t xml:space="preserve">Níveis basais de Lp(a); ponto de corte empírico de 29,6 mg/dL</w:t>
            </w:r>
          </w:p>
        </w:tc>
        <w:tc>
          <w:tcPr>
            <w:tcW w:w="2100" w:type="dxa"/>
            <w:vAlign w:val="top"/>
          </w:tcPr>
          <w:p>
            <w:pPr>
              <w:pStyle w:val="TabelaTexto"/>
              <w:jc w:val="left"/>
            </w:pPr>
            <w:r>
              <w:t xml:space="preserve">Eventos cardiovasculares adversos maiores (MACE), eventos adversos maiores de membro (MALE) ou ambos</w:t>
            </w:r>
          </w:p>
        </w:tc>
        <w:tc>
          <w:tcPr>
            <w:tcW w:w="3221" w:type="dxa"/>
            <w:vAlign w:val="top"/>
          </w:tcPr>
          <w:p>
            <w:pPr>
              <w:pStyle w:val="TabelaTexto"/>
              <w:jc w:val="left"/>
            </w:pPr>
            <w:r>
              <w:t xml:space="preserve">Lp(a) foi preditor independente de MACE e MALE; o corte de 29,6 mg/dL conferiu risco 3,8 vezes maior de eventos.</w:t>
            </w:r>
          </w:p>
        </w:tc>
      </w:tr>
      <w:tr>
        <w:trPr>
          <w:cantSplit/>
        </w:trPr>
        <w:tc>
          <w:tcPr>
            <w:tcW w:w="2100" w:type="dxa"/>
            <w:vAlign w:val="top"/>
          </w:tcPr>
          <w:p>
            <w:pPr>
              <w:pStyle w:val="TabelaTexto"/>
              <w:jc w:val="left"/>
            </w:pPr>
            <w:r>
              <w:t xml:space="preserve">Hernández Navas et al., 2025 [14]</w:t>
            </w:r>
          </w:p>
        </w:tc>
        <w:tc>
          <w:tcPr>
            <w:tcW w:w="1260" w:type="dxa"/>
            <w:vAlign w:val="top"/>
          </w:tcPr>
          <w:p>
            <w:pPr>
              <w:pStyle w:val="TabelaTextoCentro"/>
              <w:jc w:val="center"/>
            </w:pPr>
            <w:r>
              <w:t xml:space="preserve">Colômbia</w:t>
            </w:r>
          </w:p>
        </w:tc>
        <w:tc>
          <w:tcPr>
            <w:tcW w:w="2801" w:type="dxa"/>
            <w:vAlign w:val="top"/>
          </w:tcPr>
          <w:p>
            <w:pPr>
              <w:pStyle w:val="TabelaTexto"/>
              <w:jc w:val="left"/>
            </w:pPr>
            <w:r>
              <w:t xml:space="preserve">coorte prospectiva; Pacientes com hipercolesterolemia familiar sem ASCVD prévia (n não especificado)</w:t>
            </w:r>
          </w:p>
        </w:tc>
        <w:tc>
          <w:tcPr>
            <w:tcW w:w="2521" w:type="dxa"/>
            <w:vAlign w:val="top"/>
          </w:tcPr>
          <w:p>
            <w:pPr>
              <w:pStyle w:val="TabelaTexto"/>
              <w:jc w:val="left"/>
            </w:pPr>
            <w:r>
              <w:t xml:space="preserve">Lp(a) &gt;50 mg/dL</w:t>
            </w:r>
          </w:p>
        </w:tc>
        <w:tc>
          <w:tcPr>
            <w:tcW w:w="2100" w:type="dxa"/>
            <w:vAlign w:val="top"/>
          </w:tcPr>
          <w:p>
            <w:pPr>
              <w:pStyle w:val="TabelaTexto"/>
              <w:jc w:val="left"/>
            </w:pPr>
            <w:r>
              <w:t xml:space="preserve">Eventos cardiovasculares adversos maiores (MACE)</w:t>
            </w:r>
          </w:p>
        </w:tc>
        <w:tc>
          <w:tcPr>
            <w:tcW w:w="3221" w:type="dxa"/>
            <w:vAlign w:val="top"/>
          </w:tcPr>
          <w:p>
            <w:pPr>
              <w:pStyle w:val="TabelaTexto"/>
              <w:jc w:val="left"/>
            </w:pPr>
            <w:r>
              <w:t xml:space="preserve">Lp(a) &gt;50 mg/dL foi preditor independente de MACE (HR 2,5; IC 95% 1,6-3,9) em pacientes com hipercolesterolemia familiar.</w:t>
            </w:r>
          </w:p>
        </w:tc>
      </w:tr>
      <w:tr>
        <w:trPr>
          <w:cantSplit/>
        </w:trPr>
        <w:tc>
          <w:tcPr>
            <w:tcW w:w="2100" w:type="dxa"/>
            <w:vAlign w:val="top"/>
          </w:tcPr>
          <w:p>
            <w:pPr>
              <w:pStyle w:val="TabelaTexto"/>
              <w:jc w:val="left"/>
            </w:pPr>
            <w:r>
              <w:t xml:space="preserve">Kao et al., 2025 [4]</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coorte retrospectiva; 353.309 participantes do UK Biobank sem histórico de doença cardiovascular aterosclerótica</w:t>
            </w:r>
          </w:p>
        </w:tc>
        <w:tc>
          <w:tcPr>
            <w:tcW w:w="2521" w:type="dxa"/>
            <w:vAlign w:val="top"/>
          </w:tcPr>
          <w:p>
            <w:pPr>
              <w:pStyle w:val="TabelaTexto"/>
              <w:jc w:val="left"/>
            </w:pPr>
            <w:r>
              <w:t xml:space="preserve">Lp(a) &gt;125 nmol/L</w:t>
            </w:r>
          </w:p>
        </w:tc>
        <w:tc>
          <w:tcPr>
            <w:tcW w:w="2100" w:type="dxa"/>
            <w:vAlign w:val="top"/>
          </w:tcPr>
          <w:p>
            <w:pPr>
              <w:pStyle w:val="TabelaTexto"/>
              <w:jc w:val="left"/>
            </w:pPr>
            <w:r>
              <w:t xml:space="preserve">Acidente vascular cerebral isquêmico e hemorrágico</w:t>
            </w:r>
          </w:p>
        </w:tc>
        <w:tc>
          <w:tcPr>
            <w:tcW w:w="3221" w:type="dxa"/>
            <w:vAlign w:val="top"/>
          </w:tcPr>
          <w:p>
            <w:pPr>
              <w:pStyle w:val="TabelaTexto"/>
              <w:jc w:val="left"/>
            </w:pPr>
            <w:r>
              <w:t xml:space="preserve">Lp(a) &gt;125 nmol/L associou-se independentemente a AVC isquêmico, com variação por sexo (homens) mas não por idade ou raça/etnia; sem associação com AVC hemorrágico.</w:t>
            </w:r>
          </w:p>
        </w:tc>
      </w:tr>
      <w:tr>
        <w:trPr>
          <w:cantSplit/>
        </w:trPr>
        <w:tc>
          <w:tcPr>
            <w:tcW w:w="2100" w:type="dxa"/>
            <w:vAlign w:val="top"/>
          </w:tcPr>
          <w:p>
            <w:pPr>
              <w:pStyle w:val="TabelaTexto"/>
              <w:jc w:val="left"/>
            </w:pPr>
            <w:r>
              <w:t xml:space="preserve">Li et al., 2025 [25]</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retrospectiva; 1.504 pacientes com síndrome coronariana aguda e doença de três vasos</w:t>
            </w:r>
          </w:p>
        </w:tc>
        <w:tc>
          <w:tcPr>
            <w:tcW w:w="2521" w:type="dxa"/>
            <w:vAlign w:val="top"/>
          </w:tcPr>
          <w:p>
            <w:pPr>
              <w:pStyle w:val="TabelaTexto"/>
              <w:jc w:val="left"/>
            </w:pPr>
            <w:r>
              <w:t xml:space="preserve">Níveis de Lp(a) categorizados em três grupos (tercis)</w:t>
            </w:r>
          </w:p>
        </w:tc>
        <w:tc>
          <w:tcPr>
            <w:tcW w:w="2100" w:type="dxa"/>
            <w:vAlign w:val="top"/>
          </w:tcPr>
          <w:p>
            <w:pPr>
              <w:pStyle w:val="TabelaTexto"/>
              <w:jc w:val="left"/>
            </w:pPr>
            <w:r>
              <w:t xml:space="preserve">Eventos cardiovasculares adversos maiores (MACE)</w:t>
            </w:r>
          </w:p>
        </w:tc>
        <w:tc>
          <w:tcPr>
            <w:tcW w:w="3221" w:type="dxa"/>
            <w:vAlign w:val="top"/>
          </w:tcPr>
          <w:p>
            <w:pPr>
              <w:pStyle w:val="TabelaTexto"/>
              <w:jc w:val="left"/>
            </w:pPr>
            <w:r>
              <w:t xml:space="preserve">Lp(a) elevada foi preditor independente de MACE (P&lt;0,05); associação não linear em forma de U entre Log10Lp(a) e risco de MACE (P não linear &lt;0,001).</w:t>
            </w:r>
          </w:p>
        </w:tc>
      </w:tr>
      <w:tr>
        <w:trPr>
          <w:cantSplit/>
        </w:trPr>
        <w:tc>
          <w:tcPr>
            <w:tcW w:w="2100" w:type="dxa"/>
            <w:vAlign w:val="top"/>
          </w:tcPr>
          <w:p>
            <w:pPr>
              <w:pStyle w:val="TabelaTexto"/>
              <w:jc w:val="left"/>
            </w:pPr>
            <w:r>
              <w:t xml:space="preserve">Namitokov, 2025 [7]</w:t>
            </w:r>
          </w:p>
        </w:tc>
        <w:tc>
          <w:tcPr>
            <w:tcW w:w="1260" w:type="dxa"/>
            <w:vAlign w:val="top"/>
          </w:tcPr>
          <w:p>
            <w:pPr>
              <w:pStyle w:val="TabelaTextoCentro"/>
              <w:jc w:val="center"/>
            </w:pPr>
            <w:r>
              <w:t xml:space="preserve">México*</w:t>
            </w:r>
          </w:p>
        </w:tc>
        <w:tc>
          <w:tcPr>
            <w:tcW w:w="2801" w:type="dxa"/>
            <w:vAlign w:val="top"/>
          </w:tcPr>
          <w:p>
            <w:pPr>
              <w:pStyle w:val="TabelaTexto"/>
              <w:jc w:val="left"/>
            </w:pPr>
            <w:r>
              <w:t xml:space="preserve">coorte retrospectiva; 189 pacientes com infarto agudo do miocárdio precoce (109 com Lp(a) &lt;50 mg/dL e 80 com Lp(a) ≥50 mg/dL)</w:t>
            </w:r>
          </w:p>
        </w:tc>
        <w:tc>
          <w:tcPr>
            <w:tcW w:w="2521" w:type="dxa"/>
            <w:vAlign w:val="top"/>
          </w:tcPr>
          <w:p>
            <w:pPr>
              <w:pStyle w:val="TabelaTexto"/>
              <w:jc w:val="left"/>
            </w:pPr>
            <w:r>
              <w:t xml:space="preserve">Lp(a) ≥50 mg/dL</w:t>
            </w:r>
          </w:p>
        </w:tc>
        <w:tc>
          <w:tcPr>
            <w:tcW w:w="2100" w:type="dxa"/>
            <w:vAlign w:val="top"/>
          </w:tcPr>
          <w:p>
            <w:pPr>
              <w:pStyle w:val="TabelaTexto"/>
              <w:jc w:val="left"/>
            </w:pPr>
            <w:r>
              <w:t xml:space="preserve">Infarto agudo do miocárdio precoce e carga coronariana</w:t>
            </w:r>
          </w:p>
        </w:tc>
        <w:tc>
          <w:tcPr>
            <w:tcW w:w="3221" w:type="dxa"/>
            <w:vAlign w:val="top"/>
          </w:tcPr>
          <w:p>
            <w:pPr>
              <w:pStyle w:val="TabelaTexto"/>
              <w:jc w:val="left"/>
            </w:pPr>
            <w:r>
              <w:t xml:space="preserve">Lp(a) ≥50 mg/dL associou-se a infarto mais precoce, maior número de vasos acometidos e perfil lipídico pró-aterogênico.</w:t>
            </w:r>
          </w:p>
        </w:tc>
      </w:tr>
      <w:tr>
        <w:trPr>
          <w:cantSplit/>
        </w:trPr>
        <w:tc>
          <w:tcPr>
            <w:tcW w:w="2100" w:type="dxa"/>
            <w:vAlign w:val="top"/>
          </w:tcPr>
          <w:p>
            <w:pPr>
              <w:pStyle w:val="TabelaTexto"/>
              <w:jc w:val="left"/>
            </w:pPr>
            <w:r>
              <w:t xml:space="preserve">Supriami et al., 2025 [11]</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retrospectiva; 5.118 participantes submetidos à angiografia coronariana invasiva (798 submetidos a cirurgia de revascularização)</w:t>
            </w:r>
          </w:p>
        </w:tc>
        <w:tc>
          <w:tcPr>
            <w:tcW w:w="2521" w:type="dxa"/>
            <w:vAlign w:val="top"/>
          </w:tcPr>
          <w:p>
            <w:pPr>
              <w:pStyle w:val="TabelaTexto"/>
              <w:jc w:val="left"/>
            </w:pPr>
            <w:r>
              <w:t xml:space="preserve">Níveis de Lp(a) categorizados: normal (&lt;75 nmol/L), intermediário (75-&lt;125), alto (125-&lt;175) e muito alto (≥175 nmol/L)</w:t>
            </w:r>
          </w:p>
        </w:tc>
        <w:tc>
          <w:tcPr>
            <w:tcW w:w="2100" w:type="dxa"/>
            <w:vAlign w:val="top"/>
          </w:tcPr>
          <w:p>
            <w:pPr>
              <w:pStyle w:val="TabelaTexto"/>
              <w:jc w:val="left"/>
            </w:pPr>
            <w:r>
              <w:t xml:space="preserve">Infarto agudo do miocárdio, revascularização, reestenose intra-stent e mortalidade por todas as causas</w:t>
            </w:r>
          </w:p>
        </w:tc>
        <w:tc>
          <w:tcPr>
            <w:tcW w:w="3221" w:type="dxa"/>
            <w:vAlign w:val="top"/>
          </w:tcPr>
          <w:p>
            <w:pPr>
              <w:pStyle w:val="TabelaTexto"/>
              <w:jc w:val="left"/>
            </w:pPr>
            <w:r>
              <w:t xml:space="preserve">Lp(a) muito alta associou-se a maior gravidade angiográfica e risco residual de IAM (HR 1,20), revascularização (HR 1,32), reestenose (HR 1,28) e mortalidade (HR 1,19).</w:t>
            </w:r>
          </w:p>
        </w:tc>
      </w:tr>
      <w:tr>
        <w:trPr>
          <w:cantSplit/>
        </w:trPr>
        <w:tc>
          <w:tcPr>
            <w:tcW w:w="2100" w:type="dxa"/>
            <w:vAlign w:val="top"/>
          </w:tcPr>
          <w:p>
            <w:pPr>
              <w:pStyle w:val="TabelaTexto"/>
              <w:jc w:val="left"/>
            </w:pPr>
            <w:r>
              <w:t xml:space="preserve">Távora et al., 2025 [2]</w:t>
            </w:r>
          </w:p>
        </w:tc>
        <w:tc>
          <w:tcPr>
            <w:tcW w:w="1260" w:type="dxa"/>
            <w:vAlign w:val="top"/>
          </w:tcPr>
          <w:p>
            <w:pPr>
              <w:pStyle w:val="TabelaTextoCentro"/>
              <w:jc w:val="center"/>
            </w:pPr>
            <w:r>
              <w:t xml:space="preserve">Portugal*</w:t>
            </w:r>
          </w:p>
        </w:tc>
        <w:tc>
          <w:tcPr>
            <w:tcW w:w="2801" w:type="dxa"/>
            <w:vAlign w:val="top"/>
          </w:tcPr>
          <w:p>
            <w:pPr>
              <w:pStyle w:val="TabelaTexto"/>
              <w:jc w:val="left"/>
            </w:pPr>
            <w:r>
              <w:t xml:space="preserve">coorte retrospectiva; 171 dosagens de Lp(a) em pacientes hospitalares</w:t>
            </w:r>
          </w:p>
        </w:tc>
        <w:tc>
          <w:tcPr>
            <w:tcW w:w="2521" w:type="dxa"/>
            <w:vAlign w:val="top"/>
          </w:tcPr>
          <w:p>
            <w:pPr>
              <w:pStyle w:val="TabelaTexto"/>
              <w:jc w:val="left"/>
            </w:pPr>
            <w:r>
              <w:t xml:space="preserve">Lp(a) elevada (44% acima do normal; 7% &gt;400 nmol/L)</w:t>
            </w:r>
          </w:p>
        </w:tc>
        <w:tc>
          <w:tcPr>
            <w:tcW w:w="2100" w:type="dxa"/>
            <w:vAlign w:val="top"/>
          </w:tcPr>
          <w:p>
            <w:pPr>
              <w:pStyle w:val="TabelaTexto"/>
              <w:jc w:val="left"/>
            </w:pPr>
            <w:r>
              <w:t xml:space="preserve">Eventos cardiovasculares prévios</w:t>
            </w:r>
          </w:p>
        </w:tc>
        <w:tc>
          <w:tcPr>
            <w:tcW w:w="3221" w:type="dxa"/>
            <w:vAlign w:val="top"/>
          </w:tcPr>
          <w:p>
            <w:pPr>
              <w:pStyle w:val="TabelaTexto"/>
              <w:jc w:val="left"/>
            </w:pPr>
            <w:r>
              <w:t xml:space="preserve">Prevalência de Lp(a) elevada foi alta (44%) e associou-se a maior taxa de eventos cardiovasculares prévios.</w:t>
            </w:r>
          </w:p>
        </w:tc>
      </w:tr>
      <w:tr>
        <w:trPr>
          <w:cantSplit/>
        </w:trPr>
        <w:tc>
          <w:tcPr>
            <w:tcW w:w="2100" w:type="dxa"/>
            <w:vAlign w:val="top"/>
          </w:tcPr>
          <w:p>
            <w:pPr>
              <w:pStyle w:val="TabelaTexto"/>
              <w:jc w:val="left"/>
            </w:pPr>
            <w:r>
              <w:t xml:space="preserve">Ward et al., 2025 [26]</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retrospectiva; 731.983 indivíduos (coorte de derivação) e 53.930 pacientes (coorte de validação)</w:t>
            </w:r>
          </w:p>
        </w:tc>
        <w:tc>
          <w:tcPr>
            <w:tcW w:w="2521" w:type="dxa"/>
            <w:vAlign w:val="top"/>
          </w:tcPr>
          <w:p>
            <w:pPr>
              <w:pStyle w:val="TabelaTexto"/>
              <w:jc w:val="left"/>
            </w:pPr>
            <w:r>
              <w:t xml:space="preserve">Aumento de 50 nmol/L nos níveis de Lp(a)</w:t>
            </w:r>
          </w:p>
        </w:tc>
        <w:tc>
          <w:tcPr>
            <w:tcW w:w="2100" w:type="dxa"/>
            <w:vAlign w:val="top"/>
          </w:tcPr>
          <w:p>
            <w:pPr>
              <w:pStyle w:val="TabelaTexto"/>
              <w:jc w:val="left"/>
            </w:pPr>
            <w:r>
              <w:t xml:space="preserve">Eventos incidentes de doença cardiovascular aterosclerótica (ASCVD) e mortalidade por todas as causas</w:t>
            </w:r>
          </w:p>
        </w:tc>
        <w:tc>
          <w:tcPr>
            <w:tcW w:w="3221" w:type="dxa"/>
            <w:vAlign w:val="top"/>
          </w:tcPr>
          <w:p>
            <w:pPr>
              <w:pStyle w:val="TabelaTexto"/>
              <w:jc w:val="left"/>
            </w:pPr>
            <w:r>
              <w:t xml:space="preserve">Aumento de 50 nmol/L de Lp(a) associou-se independentemente a ASCVD incidente (HR 1,07; IC 95% 1,06-1,08) e mortalidade; modelos de aprendizado de máquina com Lp(a) mostraram boa discriminação.</w:t>
            </w:r>
          </w:p>
        </w:tc>
      </w:tr>
      <w:tr>
        <w:trPr>
          <w:cantSplit/>
        </w:trPr>
        <w:tc>
          <w:tcPr>
            <w:tcW w:w="2100" w:type="dxa"/>
            <w:vAlign w:val="top"/>
          </w:tcPr>
          <w:p>
            <w:pPr>
              <w:pStyle w:val="TabelaTexto"/>
              <w:jc w:val="left"/>
            </w:pPr>
            <w:r>
              <w:t xml:space="preserve">Zemawal et al., 2025 [8]</w:t>
            </w:r>
          </w:p>
        </w:tc>
        <w:tc>
          <w:tcPr>
            <w:tcW w:w="1260" w:type="dxa"/>
            <w:vAlign w:val="top"/>
          </w:tcPr>
          <w:p>
            <w:pPr>
              <w:pStyle w:val="TabelaTextoCentro"/>
              <w:jc w:val="center"/>
            </w:pPr>
            <w:r>
              <w:t xml:space="preserve">Paquistão</w:t>
            </w:r>
          </w:p>
        </w:tc>
        <w:tc>
          <w:tcPr>
            <w:tcW w:w="2801" w:type="dxa"/>
            <w:vAlign w:val="top"/>
          </w:tcPr>
          <w:p>
            <w:pPr>
              <w:pStyle w:val="TabelaTexto"/>
              <w:jc w:val="left"/>
            </w:pPr>
            <w:r>
              <w:t xml:space="preserve">coorte prospectiva; 360 pacientes submetidos à intervenção coronária percutânea</w:t>
            </w:r>
          </w:p>
        </w:tc>
        <w:tc>
          <w:tcPr>
            <w:tcW w:w="2521" w:type="dxa"/>
            <w:vAlign w:val="top"/>
          </w:tcPr>
          <w:p>
            <w:pPr>
              <w:pStyle w:val="TabelaTexto"/>
              <w:jc w:val="left"/>
            </w:pPr>
            <w:r>
              <w:t xml:space="preserve">Lp(a) basal elevada (79,31 ± 35,13 mg/dL) vs. normal (18,69 ± 5,39 mg/dL)</w:t>
            </w:r>
          </w:p>
        </w:tc>
        <w:tc>
          <w:tcPr>
            <w:tcW w:w="2100" w:type="dxa"/>
            <w:vAlign w:val="top"/>
          </w:tcPr>
          <w:p>
            <w:pPr>
              <w:pStyle w:val="TabelaTexto"/>
              <w:jc w:val="left"/>
            </w:pPr>
            <w:r>
              <w:t xml:space="preserve">Eventos cardiovasculares adversos maiores (MACE): infarto do miocárdio, acidente vascular cerebral, revascularização repetida e mortalidade cardiovascular</w:t>
            </w:r>
          </w:p>
        </w:tc>
        <w:tc>
          <w:tcPr>
            <w:tcW w:w="3221" w:type="dxa"/>
            <w:vAlign w:val="top"/>
          </w:tcPr>
          <w:p>
            <w:pPr>
              <w:pStyle w:val="TabelaTexto"/>
              <w:jc w:val="left"/>
            </w:pPr>
            <w:r>
              <w:t xml:space="preserve">Lp(a) elevada aumentou significativamente o risco de MACE, infarto, AVC e morte cardiovascular, com pior sobrevida livre de eventos.</w:t>
            </w:r>
          </w:p>
        </w:tc>
      </w:tr>
      <w:tr>
        <w:trPr>
          <w:cantSplit/>
        </w:trPr>
        <w:tc>
          <w:tcPr>
            <w:tcW w:w="2100" w:type="dxa"/>
            <w:vAlign w:val="top"/>
          </w:tcPr>
          <w:p>
            <w:pPr>
              <w:pStyle w:val="TabelaTexto"/>
              <w:jc w:val="left"/>
            </w:pPr>
            <w:r>
              <w:t xml:space="preserve">Zhang et al., 2025 [27]</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retrospectiva; 399 pacientes com infarto agudo do miocárdio e insuficiência cardíaca com fração de ejeção preservada</w:t>
            </w:r>
          </w:p>
        </w:tc>
        <w:tc>
          <w:tcPr>
            <w:tcW w:w="2521" w:type="dxa"/>
            <w:vAlign w:val="top"/>
          </w:tcPr>
          <w:p>
            <w:pPr>
              <w:pStyle w:val="TabelaTexto"/>
              <w:jc w:val="left"/>
            </w:pPr>
            <w:r>
              <w:t xml:space="preserve">Níveis de Lp(a) categorizados em tercis: T1 (≤356 mg/L), T2 (356-487 mg/L), T3 (&gt;487 mg/L)</w:t>
            </w:r>
          </w:p>
        </w:tc>
        <w:tc>
          <w:tcPr>
            <w:tcW w:w="2100" w:type="dxa"/>
            <w:vAlign w:val="top"/>
          </w:tcPr>
          <w:p>
            <w:pPr>
              <w:pStyle w:val="TabelaTexto"/>
              <w:jc w:val="left"/>
            </w:pPr>
            <w:r>
              <w:t xml:space="preserve">Eventos cardiovasculares adversos maiores (MACE)</w:t>
            </w:r>
          </w:p>
        </w:tc>
        <w:tc>
          <w:tcPr>
            <w:tcW w:w="3221" w:type="dxa"/>
            <w:vAlign w:val="top"/>
          </w:tcPr>
          <w:p>
            <w:pPr>
              <w:pStyle w:val="TabelaTexto"/>
              <w:jc w:val="left"/>
            </w:pPr>
            <w:r>
              <w:t xml:space="preserve">Lp(a) elevada foi preditor independente de MACE (P&lt;0,05), com risco aumentado de morte cardíaca, reinternação por piora da IC e IAM recorrente não fatal.</w:t>
            </w:r>
          </w:p>
        </w:tc>
      </w:tr>
      <w:tr>
        <w:trPr>
          <w:cantSplit/>
        </w:trPr>
        <w:tc>
          <w:tcPr>
            <w:tcW w:w="2100" w:type="dxa"/>
            <w:vAlign w:val="top"/>
          </w:tcPr>
          <w:p>
            <w:pPr>
              <w:pStyle w:val="TabelaTexto"/>
              <w:jc w:val="left"/>
            </w:pPr>
            <w:r>
              <w:t xml:space="preserve">Liu et al., 2024 [28]</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prospectiva; 6.056 pacientes com síndrome coronariana crônica</w:t>
            </w:r>
          </w:p>
        </w:tc>
        <w:tc>
          <w:tcPr>
            <w:tcW w:w="2521" w:type="dxa"/>
            <w:vAlign w:val="top"/>
          </w:tcPr>
          <w:p>
            <w:pPr>
              <w:pStyle w:val="TabelaTexto"/>
              <w:jc w:val="left"/>
            </w:pPr>
            <w:r>
              <w:t xml:space="preserve">Lp(a) elevada e história familiar de doença arterial coronariana</w:t>
            </w:r>
          </w:p>
        </w:tc>
        <w:tc>
          <w:tcPr>
            <w:tcW w:w="2100" w:type="dxa"/>
            <w:vAlign w:val="top"/>
          </w:tcPr>
          <w:p>
            <w:pPr>
              <w:pStyle w:val="TabelaTexto"/>
              <w:jc w:val="left"/>
            </w:pPr>
            <w:r>
              <w:t xml:space="preserve">Eventos cardiovasculares adversos maiores (MACE): morte cardiovascular, infarto do miocárdio não fatal e AVC</w:t>
            </w:r>
          </w:p>
        </w:tc>
        <w:tc>
          <w:tcPr>
            <w:tcW w:w="3221" w:type="dxa"/>
            <w:vAlign w:val="top"/>
          </w:tcPr>
          <w:p>
            <w:pPr>
              <w:pStyle w:val="TabelaTexto"/>
              <w:jc w:val="left"/>
            </w:pPr>
            <w:r>
              <w:t xml:space="preserve">Lp(a) elevada foi preditor independente de MACE; o risco foi mais pronunciado em pacientes com história familiar de doença coronariana.</w:t>
            </w:r>
          </w:p>
        </w:tc>
      </w:tr>
      <w:tr>
        <w:trPr>
          <w:cantSplit/>
        </w:trPr>
        <w:tc>
          <w:tcPr>
            <w:tcW w:w="2100" w:type="dxa"/>
            <w:vAlign w:val="top"/>
          </w:tcPr>
          <w:p>
            <w:pPr>
              <w:pStyle w:val="TabelaTexto"/>
              <w:jc w:val="left"/>
            </w:pPr>
            <w:r>
              <w:t xml:space="preserve">Qi et al., 2024 [29]</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prospectiva; 5.471 participantes sem histórico de doença cardiovascular</w:t>
            </w:r>
          </w:p>
        </w:tc>
        <w:tc>
          <w:tcPr>
            <w:tcW w:w="2521" w:type="dxa"/>
            <w:vAlign w:val="top"/>
          </w:tcPr>
          <w:p>
            <w:pPr>
              <w:pStyle w:val="TabelaTexto"/>
              <w:jc w:val="left"/>
            </w:pPr>
            <w:r>
              <w:t xml:space="preserve">Níveis de Lp(a) / Cut-off: Lp(a) ≥50 mg/dL e ≥30 mg/dL</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≥50 mg/dL associou-se independentemente a maior risco de ASCVD total, eventos coronarianos e AVC isquêmico; risco aumentado com placa carotídea concomitante.</w:t>
            </w:r>
          </w:p>
        </w:tc>
      </w:tr>
      <w:tr>
        <w:trPr>
          <w:cantSplit/>
        </w:trPr>
        <w:tc>
          <w:tcPr>
            <w:tcW w:w="2100" w:type="dxa"/>
            <w:vAlign w:val="top"/>
          </w:tcPr>
          <w:p>
            <w:pPr>
              <w:pStyle w:val="TabelaTexto"/>
              <w:jc w:val="left"/>
            </w:pPr>
            <w:r>
              <w:t xml:space="preserve">Wang et al., 2024 [17]</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prospectiva; 912 pacientes com infarto agudo do miocárdio</w:t>
            </w:r>
          </w:p>
        </w:tc>
        <w:tc>
          <w:tcPr>
            <w:tcW w:w="2521" w:type="dxa"/>
            <w:vAlign w:val="top"/>
          </w:tcPr>
          <w:p>
            <w:pPr>
              <w:pStyle w:val="TabelaTexto"/>
              <w:jc w:val="left"/>
            </w:pPr>
            <w:r>
              <w:t xml:space="preserve">Lp(a) (≥30 vs. &lt;30 mg/dL) e proteína C reativa de alta sensibilidade (Hs-CRP) (≥2 vs. &lt;2 mg/L)</w:t>
            </w:r>
          </w:p>
        </w:tc>
        <w:tc>
          <w:tcPr>
            <w:tcW w:w="2100" w:type="dxa"/>
            <w:vAlign w:val="top"/>
          </w:tcPr>
          <w:p>
            <w:pPr>
              <w:pStyle w:val="TabelaTexto"/>
              <w:jc w:val="left"/>
            </w:pPr>
            <w:r>
              <w:t xml:space="preserve">Mortalidade por todas as causas e mortalidade cardiovascular</w:t>
            </w:r>
          </w:p>
        </w:tc>
        <w:tc>
          <w:tcPr>
            <w:tcW w:w="3221" w:type="dxa"/>
            <w:vAlign w:val="top"/>
          </w:tcPr>
          <w:p>
            <w:pPr>
              <w:pStyle w:val="TabelaTexto"/>
              <w:jc w:val="left"/>
            </w:pPr>
            <w:r>
              <w:t xml:space="preserve">Lp(a) e Hs-CRP concomitantemente elevadas aumentaram significativamente o risco de morte cardiovascular em pacientes com infarto agudo do miocárdio.</w:t>
            </w:r>
          </w:p>
        </w:tc>
      </w:tr>
      <w:tr>
        <w:trPr>
          <w:cantSplit/>
        </w:trPr>
        <w:tc>
          <w:tcPr>
            <w:tcW w:w="2100" w:type="dxa"/>
            <w:vAlign w:val="top"/>
          </w:tcPr>
          <w:p>
            <w:pPr>
              <w:pStyle w:val="TabelaTexto"/>
              <w:jc w:val="left"/>
            </w:pPr>
            <w:r>
              <w:t xml:space="preserve">Afanasieva et al., 2023 [20]</w:t>
            </w:r>
          </w:p>
        </w:tc>
        <w:tc>
          <w:tcPr>
            <w:tcW w:w="1260" w:type="dxa"/>
            <w:vAlign w:val="top"/>
          </w:tcPr>
          <w:p>
            <w:pPr>
              <w:pStyle w:val="TabelaTextoCentro"/>
              <w:jc w:val="center"/>
            </w:pPr>
            <w:r>
              <w:t xml:space="preserve">Rússia</w:t>
            </w:r>
          </w:p>
        </w:tc>
        <w:tc>
          <w:tcPr>
            <w:tcW w:w="2801" w:type="dxa"/>
            <w:vAlign w:val="top"/>
          </w:tcPr>
          <w:p>
            <w:pPr>
              <w:pStyle w:val="TabelaTexto"/>
              <w:jc w:val="left"/>
            </w:pPr>
            <w:r>
              <w:t xml:space="preserve">coorte retrospectiva; 116 pacientes com doença coronariana prematura</w:t>
            </w:r>
          </w:p>
        </w:tc>
        <w:tc>
          <w:tcPr>
            <w:tcW w:w="2521" w:type="dxa"/>
            <w:vAlign w:val="top"/>
          </w:tcPr>
          <w:p>
            <w:pPr>
              <w:pStyle w:val="TabelaTexto"/>
              <w:jc w:val="left"/>
            </w:pPr>
            <w:r>
              <w:t xml:space="preserve">Níveis de Lp(a) / Cut-off: fenótipo apo(a) de baixo peso molecular e Lp(a) elevada</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Fenótipo apo(a) de baixo peso molecular, mas não Lp(a) elevada, foi preditor independente de infarto do miocárdio não fatal, possivelmente mediado por PCSK9.</w:t>
            </w:r>
          </w:p>
        </w:tc>
      </w:tr>
      <w:tr>
        <w:trPr>
          <w:cantSplit/>
        </w:trPr>
        <w:tc>
          <w:tcPr>
            <w:tcW w:w="2100" w:type="dxa"/>
            <w:vAlign w:val="top"/>
          </w:tcPr>
          <w:p>
            <w:pPr>
              <w:pStyle w:val="TabelaTexto"/>
              <w:jc w:val="left"/>
            </w:pPr>
            <w:r>
              <w:t xml:space="preserve">Brandt et al., 2023 [30]</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prospectiva; 15.072 participantes do ARIC e 6.822 do MESA</w:t>
            </w:r>
          </w:p>
        </w:tc>
        <w:tc>
          <w:tcPr>
            <w:tcW w:w="2521" w:type="dxa"/>
            <w:vAlign w:val="top"/>
          </w:tcPr>
          <w:p>
            <w:pPr>
              <w:pStyle w:val="TabelaTexto"/>
              <w:jc w:val="left"/>
            </w:pPr>
            <w:r>
              <w:t xml:space="preserve">Níveis de Lp(a) / Cut-off: Lp(a) contínua (mediana 17,3 mg/dL no ARIC e 18,3 mg/dL no MESA)</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associou-se independentemente a infarto do miocárdio e possivelmente AVC, sem impacto dos determinantes sociais e estilo de vida nessa associação.</w:t>
            </w:r>
          </w:p>
        </w:tc>
      </w:tr>
      <w:tr>
        <w:trPr>
          <w:cantSplit/>
        </w:trPr>
        <w:tc>
          <w:tcPr>
            <w:tcW w:w="2100" w:type="dxa"/>
            <w:vAlign w:val="top"/>
          </w:tcPr>
          <w:p>
            <w:pPr>
              <w:pStyle w:val="TabelaTexto"/>
              <w:jc w:val="left"/>
            </w:pPr>
            <w:r>
              <w:t xml:space="preserve">Chemello et al., 2023 [13]</w:t>
            </w:r>
          </w:p>
        </w:tc>
        <w:tc>
          <w:tcPr>
            <w:tcW w:w="1260" w:type="dxa"/>
            <w:vAlign w:val="top"/>
          </w:tcPr>
          <w:p>
            <w:pPr>
              <w:pStyle w:val="TabelaTextoCentro"/>
              <w:jc w:val="center"/>
            </w:pPr>
            <w:r>
              <w:t xml:space="preserve">França</w:t>
            </w:r>
          </w:p>
        </w:tc>
        <w:tc>
          <w:tcPr>
            <w:tcW w:w="2801" w:type="dxa"/>
            <w:vAlign w:val="top"/>
          </w:tcPr>
          <w:p>
            <w:pPr>
              <w:pStyle w:val="TabelaTexto"/>
              <w:jc w:val="left"/>
            </w:pPr>
            <w:r>
              <w:t xml:space="preserve">ensaio clínico randomizado; 2.814 sobreviventes de AVC/AIT (1.418 atorvastatina e 1.396 placebo)</w:t>
            </w:r>
          </w:p>
        </w:tc>
        <w:tc>
          <w:tcPr>
            <w:tcW w:w="2521" w:type="dxa"/>
            <w:vAlign w:val="top"/>
          </w:tcPr>
          <w:p>
            <w:pPr>
              <w:pStyle w:val="TabelaTexto"/>
              <w:jc w:val="left"/>
            </w:pPr>
            <w:r>
              <w:t xml:space="preserve">Lp(a) ≥84,0 nmol/L e isoformas curtas de apo(a)</w:t>
            </w:r>
          </w:p>
        </w:tc>
        <w:tc>
          <w:tcPr>
            <w:tcW w:w="2100" w:type="dxa"/>
            <w:vAlign w:val="top"/>
          </w:tcPr>
          <w:p>
            <w:pPr>
              <w:pStyle w:val="TabelaTexto"/>
              <w:jc w:val="left"/>
            </w:pPr>
            <w:r>
              <w:t xml:space="preserve">Eventos coronarianos, AVC recorrente e eventos cerebrovasculares</w:t>
            </w:r>
          </w:p>
        </w:tc>
        <w:tc>
          <w:tcPr>
            <w:tcW w:w="3221" w:type="dxa"/>
            <w:vAlign w:val="top"/>
          </w:tcPr>
          <w:p>
            <w:pPr>
              <w:pStyle w:val="TabelaTexto"/>
              <w:jc w:val="left"/>
            </w:pPr>
            <w:r>
              <w:t xml:space="preserve">Lp(a) elevada associou-se independentemente a eventos coronarianos em usuários de atorvastatina (HR 1,607), mas não no placebo.</w:t>
            </w:r>
          </w:p>
        </w:tc>
      </w:tr>
      <w:tr>
        <w:trPr>
          <w:cantSplit/>
        </w:trPr>
        <w:tc>
          <w:tcPr>
            <w:tcW w:w="2100" w:type="dxa"/>
            <w:vAlign w:val="top"/>
          </w:tcPr>
          <w:p>
            <w:pPr>
              <w:pStyle w:val="TabelaTexto"/>
              <w:jc w:val="left"/>
            </w:pPr>
            <w:r>
              <w:t xml:space="preserve">Raitakari et al., 2023 [6]</w:t>
            </w:r>
          </w:p>
        </w:tc>
        <w:tc>
          <w:tcPr>
            <w:tcW w:w="1260" w:type="dxa"/>
            <w:vAlign w:val="top"/>
          </w:tcPr>
          <w:p>
            <w:pPr>
              <w:pStyle w:val="TabelaTextoCentro"/>
              <w:jc w:val="center"/>
            </w:pPr>
            <w:r>
              <w:t xml:space="preserve">Finlândia</w:t>
            </w:r>
          </w:p>
        </w:tc>
        <w:tc>
          <w:tcPr>
            <w:tcW w:w="2801" w:type="dxa"/>
            <w:vAlign w:val="top"/>
          </w:tcPr>
          <w:p>
            <w:pPr>
              <w:pStyle w:val="TabelaTexto"/>
              <w:jc w:val="left"/>
            </w:pPr>
            <w:r>
              <w:t xml:space="preserve">coorte prospectiva; 3.596 participantes (95 casos de ASCVD) e 587 indivíduos brancos (15 casos)</w:t>
            </w:r>
          </w:p>
        </w:tc>
        <w:tc>
          <w:tcPr>
            <w:tcW w:w="2521" w:type="dxa"/>
            <w:vAlign w:val="top"/>
          </w:tcPr>
          <w:p>
            <w:pPr>
              <w:pStyle w:val="TabelaTexto"/>
              <w:jc w:val="left"/>
            </w:pPr>
            <w:r>
              <w:t xml:space="preserve">Níveis de Lp(a) / Cut-off: Lp(a) ≥30 mg/dL na juventude</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elevada na juventude associou-se independentemente a maior risco de ASCVD na vida adulta, sem associação com espessura carotídea.</w:t>
            </w:r>
          </w:p>
        </w:tc>
      </w:tr>
      <w:tr>
        <w:trPr>
          <w:cantSplit/>
        </w:trPr>
        <w:tc>
          <w:tcPr>
            <w:tcW w:w="2100" w:type="dxa"/>
            <w:vAlign w:val="top"/>
          </w:tcPr>
          <w:p>
            <w:pPr>
              <w:pStyle w:val="TabelaTexto"/>
              <w:jc w:val="left"/>
            </w:pPr>
            <w:r>
              <w:t xml:space="preserve">Silverio et al., 2022 [21]</w:t>
            </w:r>
          </w:p>
        </w:tc>
        <w:tc>
          <w:tcPr>
            <w:tcW w:w="1260" w:type="dxa"/>
            <w:vAlign w:val="top"/>
          </w:tcPr>
          <w:p>
            <w:pPr>
              <w:pStyle w:val="TabelaTextoCentro"/>
              <w:jc w:val="center"/>
            </w:pPr>
            <w:r>
              <w:t xml:space="preserve">Itália</w:t>
            </w:r>
          </w:p>
        </w:tc>
        <w:tc>
          <w:tcPr>
            <w:tcW w:w="2801" w:type="dxa"/>
            <w:vAlign w:val="top"/>
          </w:tcPr>
          <w:p>
            <w:pPr>
              <w:pStyle w:val="TabelaTexto"/>
              <w:jc w:val="left"/>
            </w:pPr>
            <w:r>
              <w:t xml:space="preserve">coorte prospectiva; 1.018 pacientes pós-infarto do miocárdio</w:t>
            </w:r>
          </w:p>
        </w:tc>
        <w:tc>
          <w:tcPr>
            <w:tcW w:w="2521" w:type="dxa"/>
            <w:vAlign w:val="top"/>
          </w:tcPr>
          <w:p>
            <w:pPr>
              <w:pStyle w:val="TabelaTexto"/>
              <w:jc w:val="left"/>
            </w:pPr>
            <w:r>
              <w:t xml:space="preserve">Níveis séricos de Lp(a) / Cut-off: &gt; 70 mg/dL</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elevada associou-se independentemente a infarto recorrente e morte em não diabéticos, mas não em diabéticos.</w:t>
            </w:r>
          </w:p>
        </w:tc>
      </w:tr>
      <w:tr>
        <w:trPr>
          <w:cantSplit/>
        </w:trPr>
        <w:tc>
          <w:tcPr>
            <w:tcW w:w="2100" w:type="dxa"/>
            <w:vAlign w:val="top"/>
          </w:tcPr>
          <w:p>
            <w:pPr>
              <w:pStyle w:val="TabelaTexto"/>
              <w:jc w:val="left"/>
            </w:pPr>
            <w:r>
              <w:t xml:space="preserve">Arnold et al., 2021 [12]</w:t>
            </w:r>
          </w:p>
        </w:tc>
        <w:tc>
          <w:tcPr>
            <w:tcW w:w="1260" w:type="dxa"/>
            <w:vAlign w:val="top"/>
          </w:tcPr>
          <w:p>
            <w:pPr>
              <w:pStyle w:val="TabelaTextoCentro"/>
              <w:jc w:val="center"/>
            </w:pPr>
            <w:r>
              <w:t xml:space="preserve">Suíça</w:t>
            </w:r>
          </w:p>
        </w:tc>
        <w:tc>
          <w:tcPr>
            <w:tcW w:w="2801" w:type="dxa"/>
            <w:vAlign w:val="top"/>
          </w:tcPr>
          <w:p>
            <w:pPr>
              <w:pStyle w:val="TabelaTexto"/>
              <w:jc w:val="left"/>
            </w:pPr>
            <w:r>
              <w:t xml:space="preserve">coorte prospectiva; 1.733 pacientes com AVC isquêmico agudo</w:t>
            </w:r>
          </w:p>
        </w:tc>
        <w:tc>
          <w:tcPr>
            <w:tcW w:w="2521" w:type="dxa"/>
            <w:vAlign w:val="top"/>
          </w:tcPr>
          <w:p>
            <w:pPr>
              <w:pStyle w:val="TabelaTexto"/>
              <w:jc w:val="left"/>
            </w:pPr>
            <w:r>
              <w:t xml:space="preserve">Níveis de Lp(a) / Cut-off: Lp(a) ≥100 nmol/L</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elevada associou-se independentemente a AVC por aterosclerose de grandes artérias e recorrência cerebrovascular em pacientes &lt;60 anos.</w:t>
            </w:r>
          </w:p>
        </w:tc>
      </w:tr>
      <w:tr>
        <w:trPr>
          <w:cantSplit/>
        </w:trPr>
        <w:tc>
          <w:tcPr>
            <w:tcW w:w="2100" w:type="dxa"/>
            <w:vAlign w:val="top"/>
          </w:tcPr>
          <w:p>
            <w:pPr>
              <w:pStyle w:val="TabelaTexto"/>
              <w:jc w:val="left"/>
            </w:pPr>
            <w:r>
              <w:t xml:space="preserve">Hu et al., 2021 [31]</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prospectiva; 6.309 pacientes com síndrome coronariana aguda submetidos a intervenção coronária percutânea</w:t>
            </w:r>
          </w:p>
        </w:tc>
        <w:tc>
          <w:tcPr>
            <w:tcW w:w="2521" w:type="dxa"/>
            <w:vAlign w:val="top"/>
          </w:tcPr>
          <w:p>
            <w:pPr>
              <w:pStyle w:val="TabelaTexto"/>
              <w:jc w:val="left"/>
            </w:pPr>
            <w:r>
              <w:t xml:space="preserve">Níveis de Lp(a) / Cut-off: tercis de Lp(a) e escore GRACE ≤91 vs. &gt;91</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Efeito sinérgico entre Lp(a) e escore GRACE na predição de eventos cardiovasculares, com associação significativa apenas em GRACE &lt;91.</w:t>
            </w:r>
          </w:p>
        </w:tc>
      </w:tr>
      <w:tr>
        <w:trPr>
          <w:cantSplit/>
        </w:trPr>
        <w:tc>
          <w:tcPr>
            <w:tcW w:w="2100" w:type="dxa"/>
            <w:vAlign w:val="top"/>
          </w:tcPr>
          <w:p>
            <w:pPr>
              <w:pStyle w:val="TabelaTexto"/>
              <w:jc w:val="left"/>
            </w:pPr>
            <w:r>
              <w:t xml:space="preserve">Trinder et al., 2021 [3]</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coorte prospectiva; 374.099 indivíduos</w:t>
            </w:r>
          </w:p>
        </w:tc>
        <w:tc>
          <w:tcPr>
            <w:tcW w:w="2521" w:type="dxa"/>
            <w:vAlign w:val="top"/>
          </w:tcPr>
          <w:p>
            <w:pPr>
              <w:pStyle w:val="TabelaTexto"/>
              <w:jc w:val="left"/>
            </w:pPr>
            <w:r>
              <w:t xml:space="preserve">Níveis séricos de Lp(a) / Cut-off: por aumento de 120 nmol/L</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associou-se independentemente a ASCVD incidente, com melhora modesta na discriminação de risco em risco limítrofe a intermediário.</w:t>
            </w:r>
          </w:p>
        </w:tc>
      </w:tr>
    </w:tbl>
    <w:p>
      <w:pPr>
        <w:pStyle w:val="Fonte"/>
      </w:pPr>
      <w:r>
        <w:t xml:space="preserve">Fonte: Elaborado pelos autores (2026), a partir dos estudos incluídos.</w:t>
      </w:r>
    </w:p>
    <w:p>
      <w:pPr>
        <w:pStyle w:val="Fonte"/>
        <w:spacing w:after="240"/>
      </w:pPr>
      <w:r>
        <w:t xml:space="preserve">Notas: estudos ordenados do mais recente para o mais antigo; * país inferido pelo país do periódico de publicação, por ausência de afiliação no registro da base; HR = </w:t>
      </w:r>
      <w:r>
        <w:rPr>
          <w:i/>
        </w:rPr>
        <w:t xml:space="preserve">hazard ratio</w:t>
      </w:r>
      <w:r>
        <w:t xml:space="preserve">; IC = intervalo de confiança.</w:t>
      </w:r>
    </w:p>
    <w:p>
      <w:pPr>
        <w:sectPr>
          <w:headerReference w:type="default" r:id="rIdCabecalho"/>
          <w:pgSz w:w="16838" w:h="11906" w:orient="landscape"/>
          <w:pgMar w:top="1701" w:right="1134" w:bottom="1134" w:left="1701" w:header="709" w:footer="709" w:gutter="0"/>
        </w:sectPr>
      </w:pPr>
    </w:p>
    <w:p>
      <w:pPr>
        <w:pStyle w:val="Titulo2"/>
      </w:pPr>
      <w:r>
        <w:t xml:space="preserve">3.3 Delineamento dos estudos</w:t>
      </w:r>
    </w:p>
    <w:p>
      <w:pPr>
        <w:pStyle w:val="Normal"/>
      </w:pPr>
      <w:r>
        <w:t xml:space="preserve">Quanto ao delineamento metodológico, os 30 estudos incluídos compreenderam: 18 coortes prospectivas; 11 coortes retrospectivas; 1 ensaio clínico randomizado. O intervalo de publicação abrangeu de 2021 a 2026. A distribuição geográfica compreendeu 16 países: China (7), Estados Unidos (5), Reino Unido (4), Itália (2), Chile (periódico) (1), Colômbia (1), Coreia do Sul (1), Finlândia (1), França (1), Japão (1), México (periódico) (1), Países Baixos (1), Paquistão (1), Portugal (periódico) (1), Rússia (1), Suíça (1), totalizando os 30 estudos analisados.</w:t>
      </w:r>
    </w:p>
    <w:p>
      <w:pPr>
        <w:pStyle w:val="Titulo2"/>
      </w:pPr>
      <w:r>
        <w:t xml:space="preserve">3.4 Distribuição dos estudos por eixo temático</w:t>
      </w:r>
    </w:p>
    <w:p>
      <w:pPr>
        <w:pStyle w:val="Legenda"/>
      </w:pPr>
      <w:r>
        <w:rPr>
          <w:b/>
        </w:rPr>
        <w:t xml:space="preserve">Tabela 2 –</w:t>
      </w:r>
      <w:r>
        <w:t xml:space="preserve"> Distribuição dos estudos incluídos por eixo temático</w:t>
      </w:r>
    </w:p>
    <w:tbl>
      <w:tblPr>
        <w:tblW w:w="9071"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4536"/>
        <w:gridCol w:w="1089"/>
        <w:gridCol w:w="1179"/>
        <w:gridCol w:w="2268"/>
      </w:tblGrid>
      <w:tr>
        <w:trPr>
          <w:cantSplit/>
          <w:tblHeader/>
        </w:trPr>
        <w:tc>
          <w:tcPr>
            <w:tcW w:w="4536" w:type="dxa"/>
            <w:tcBorders>
              <w:bottom w:val="single" w:sz="8" w:space="0" w:color="000000"/>
            </w:tcBorders>
            <w:shd w:val="clear" w:color="auto" w:fill="F8F9FA"/>
            <w:vAlign w:val="center"/>
          </w:tcPr>
          <w:p>
            <w:pPr>
              <w:pStyle w:val="TabelaCabecalho"/>
              <w:jc w:val="left"/>
            </w:pPr>
            <w:r>
              <w:t xml:space="preserve">Eixo temático</w:t>
            </w:r>
          </w:p>
        </w:tc>
        <w:tc>
          <w:tcPr>
            <w:tcW w:w="1089" w:type="dxa"/>
            <w:tcBorders>
              <w:bottom w:val="single" w:sz="8" w:space="0" w:color="000000"/>
            </w:tcBorders>
            <w:shd w:val="clear" w:color="auto" w:fill="F8F9FA"/>
            <w:vAlign w:val="center"/>
          </w:tcPr>
          <w:p>
            <w:pPr>
              <w:pStyle w:val="TabelaCabecalhoCentro"/>
              <w:jc w:val="center"/>
            </w:pPr>
            <w:r>
              <w:t xml:space="preserve">n</w:t>
            </w:r>
          </w:p>
        </w:tc>
        <w:tc>
          <w:tcPr>
            <w:tcW w:w="1179" w:type="dxa"/>
            <w:tcBorders>
              <w:bottom w:val="single" w:sz="8" w:space="0" w:color="000000"/>
            </w:tcBorders>
            <w:shd w:val="clear" w:color="auto" w:fill="F8F9FA"/>
            <w:vAlign w:val="center"/>
          </w:tcPr>
          <w:p>
            <w:pPr>
              <w:pStyle w:val="TabelaCabecalhoCentro"/>
              <w:jc w:val="center"/>
            </w:pPr>
            <w:r>
              <w:t xml:space="preserve">%</w:t>
            </w:r>
          </w:p>
        </w:tc>
        <w:tc>
          <w:tcPr>
            <w:tcW w:w="2268" w:type="dxa"/>
            <w:tcBorders>
              <w:bottom w:val="single" w:sz="8" w:space="0" w:color="000000"/>
            </w:tcBorders>
            <w:shd w:val="clear" w:color="auto" w:fill="F8F9FA"/>
            <w:vAlign w:val="center"/>
          </w:tcPr>
          <w:p>
            <w:pPr>
              <w:pStyle w:val="TabelaCabecalhoCentro"/>
              <w:jc w:val="center"/>
            </w:pPr>
            <w:r>
              <w:t xml:space="preserve">Referências</w:t>
            </w:r>
          </w:p>
        </w:tc>
      </w:tr>
      <w:tr>
        <w:trPr>
          <w:cantSplit/>
        </w:trPr>
        <w:tc>
          <w:tcPr>
            <w:tcW w:w="4536" w:type="dxa"/>
            <w:vAlign w:val="top"/>
          </w:tcPr>
          <w:p>
            <w:pPr>
              <w:pStyle w:val="TabelaTexto"/>
              <w:jc w:val="left"/>
            </w:pPr>
            <w:r>
              <w:t xml:space="preserve">Valores de corte laboratoriais e estratificação do risco cardiovascular associado à Lp(a)</w:t>
            </w:r>
          </w:p>
        </w:tc>
        <w:tc>
          <w:tcPr>
            <w:tcW w:w="1089" w:type="dxa"/>
            <w:vAlign w:val="top"/>
          </w:tcPr>
          <w:p>
            <w:pPr>
              <w:pStyle w:val="TabelaTextoCentro"/>
              <w:jc w:val="center"/>
            </w:pPr>
            <w:r>
              <w:t xml:space="preserve">6</w:t>
            </w:r>
          </w:p>
        </w:tc>
        <w:tc>
          <w:tcPr>
            <w:tcW w:w="1179" w:type="dxa"/>
            <w:vAlign w:val="top"/>
          </w:tcPr>
          <w:p>
            <w:pPr>
              <w:pStyle w:val="TabelaTextoCentro"/>
              <w:jc w:val="center"/>
            </w:pPr>
            <w:r>
              <w:t xml:space="preserve">20,0</w:t>
            </w:r>
          </w:p>
        </w:tc>
        <w:tc>
          <w:tcPr>
            <w:tcW w:w="2268" w:type="dxa"/>
            <w:vAlign w:val="top"/>
          </w:tcPr>
          <w:p>
            <w:pPr>
              <w:pStyle w:val="TabelaTextoCentro"/>
              <w:jc w:val="center"/>
            </w:pPr>
            <w:r>
              <w:t xml:space="preserve">[2,3,5,14,16,24]</w:t>
            </w:r>
          </w:p>
        </w:tc>
      </w:tr>
      <w:tr>
        <w:trPr>
          <w:cantSplit/>
        </w:trPr>
        <w:tc>
          <w:tcPr>
            <w:tcW w:w="4536" w:type="dxa"/>
            <w:vAlign w:val="top"/>
          </w:tcPr>
          <w:p>
            <w:pPr>
              <w:pStyle w:val="TabelaTexto"/>
              <w:jc w:val="left"/>
            </w:pPr>
            <w:r>
              <w:t xml:space="preserve">Lp(a) e incidência de eventos coronarianos agudos e infarto agudo do miocárdio</w:t>
            </w:r>
          </w:p>
        </w:tc>
        <w:tc>
          <w:tcPr>
            <w:tcW w:w="1089" w:type="dxa"/>
            <w:vAlign w:val="top"/>
          </w:tcPr>
          <w:p>
            <w:pPr>
              <w:pStyle w:val="TabelaTextoCentro"/>
              <w:jc w:val="center"/>
            </w:pPr>
            <w:r>
              <w:t xml:space="preserve">14</w:t>
            </w:r>
          </w:p>
        </w:tc>
        <w:tc>
          <w:tcPr>
            <w:tcW w:w="1179" w:type="dxa"/>
            <w:vAlign w:val="top"/>
          </w:tcPr>
          <w:p>
            <w:pPr>
              <w:pStyle w:val="TabelaTextoCentro"/>
              <w:jc w:val="center"/>
            </w:pPr>
            <w:r>
              <w:t xml:space="preserve">46,7</w:t>
            </w:r>
          </w:p>
        </w:tc>
        <w:tc>
          <w:tcPr>
            <w:tcW w:w="2268" w:type="dxa"/>
            <w:vAlign w:val="top"/>
          </w:tcPr>
          <w:p>
            <w:pPr>
              <w:pStyle w:val="TabelaTextoCentro"/>
              <w:jc w:val="center"/>
            </w:pPr>
            <w:r>
              <w:t xml:space="preserve">[6-11,20,21,23,25,27-30]</w:t>
            </w:r>
          </w:p>
        </w:tc>
      </w:tr>
      <w:tr>
        <w:trPr>
          <w:cantSplit/>
        </w:trPr>
        <w:tc>
          <w:tcPr>
            <w:tcW w:w="4536" w:type="dxa"/>
            <w:vAlign w:val="top"/>
          </w:tcPr>
          <w:p>
            <w:pPr>
              <w:pStyle w:val="TabelaTexto"/>
              <w:jc w:val="left"/>
            </w:pPr>
            <w:r>
              <w:t xml:space="preserve">Lp(a) como preditor independente de acidente vascular cerebral e mortalidade cardiovascular</w:t>
            </w:r>
          </w:p>
        </w:tc>
        <w:tc>
          <w:tcPr>
            <w:tcW w:w="1089" w:type="dxa"/>
            <w:vAlign w:val="top"/>
          </w:tcPr>
          <w:p>
            <w:pPr>
              <w:pStyle w:val="TabelaTextoCentro"/>
              <w:jc w:val="center"/>
            </w:pPr>
            <w:r>
              <w:t xml:space="preserve">6</w:t>
            </w:r>
          </w:p>
        </w:tc>
        <w:tc>
          <w:tcPr>
            <w:tcW w:w="1179" w:type="dxa"/>
            <w:vAlign w:val="top"/>
          </w:tcPr>
          <w:p>
            <w:pPr>
              <w:pStyle w:val="TabelaTextoCentro"/>
              <w:jc w:val="center"/>
            </w:pPr>
            <w:r>
              <w:t xml:space="preserve">20,0</w:t>
            </w:r>
          </w:p>
        </w:tc>
        <w:tc>
          <w:tcPr>
            <w:tcW w:w="2268" w:type="dxa"/>
            <w:vAlign w:val="top"/>
          </w:tcPr>
          <w:p>
            <w:pPr>
              <w:pStyle w:val="TabelaTextoCentro"/>
              <w:jc w:val="center"/>
            </w:pPr>
            <w:r>
              <w:t xml:space="preserve">[4,12,15,17,19,26]</w:t>
            </w:r>
          </w:p>
        </w:tc>
      </w:tr>
      <w:tr>
        <w:trPr>
          <w:cantSplit/>
        </w:trPr>
        <w:tc>
          <w:tcPr>
            <w:tcW w:w="4536" w:type="dxa"/>
            <w:vAlign w:val="top"/>
          </w:tcPr>
          <w:p>
            <w:pPr>
              <w:pStyle w:val="TabelaTexto"/>
              <w:jc w:val="left"/>
            </w:pPr>
            <w:r>
              <w:t xml:space="preserve">Risco residual mediado por Lp(a) em pacientes sob terapia hipolipemiante otimizada</w:t>
            </w:r>
          </w:p>
        </w:tc>
        <w:tc>
          <w:tcPr>
            <w:tcW w:w="1089" w:type="dxa"/>
            <w:vAlign w:val="top"/>
          </w:tcPr>
          <w:p>
            <w:pPr>
              <w:pStyle w:val="TabelaTextoCentro"/>
              <w:jc w:val="center"/>
            </w:pPr>
            <w:r>
              <w:t xml:space="preserve">4</w:t>
            </w:r>
          </w:p>
        </w:tc>
        <w:tc>
          <w:tcPr>
            <w:tcW w:w="1179" w:type="dxa"/>
            <w:vAlign w:val="top"/>
          </w:tcPr>
          <w:p>
            <w:pPr>
              <w:pStyle w:val="TabelaTextoCentro"/>
              <w:jc w:val="center"/>
            </w:pPr>
            <w:r>
              <w:t xml:space="preserve">13,3</w:t>
            </w:r>
          </w:p>
        </w:tc>
        <w:tc>
          <w:tcPr>
            <w:tcW w:w="2268" w:type="dxa"/>
            <w:vAlign w:val="top"/>
          </w:tcPr>
          <w:p>
            <w:pPr>
              <w:pStyle w:val="TabelaTextoCentro"/>
              <w:jc w:val="center"/>
            </w:pPr>
            <w:r>
              <w:t xml:space="preserve">[1,13,18,31]</w:t>
            </w:r>
          </w:p>
        </w:tc>
      </w:tr>
      <w:tr>
        <w:trPr>
          <w:cantSplit/>
        </w:trPr>
        <w:tc>
          <w:tcPr>
            <w:tcW w:w="4536" w:type="dxa"/>
            <w:vAlign w:val="top"/>
          </w:tcPr>
          <w:p>
            <w:pPr>
              <w:pStyle w:val="TabelaTexto"/>
              <w:jc w:val="left"/>
            </w:pPr>
            <w:r>
              <w:t xml:space="preserve">Total</w:t>
            </w:r>
          </w:p>
        </w:tc>
        <w:tc>
          <w:tcPr>
            <w:tcW w:w="1089" w:type="dxa"/>
            <w:vAlign w:val="top"/>
          </w:tcPr>
          <w:p>
            <w:pPr>
              <w:pStyle w:val="TabelaTextoCentro"/>
              <w:jc w:val="center"/>
            </w:pPr>
            <w:r>
              <w:t xml:space="preserve">30</w:t>
            </w:r>
          </w:p>
        </w:tc>
        <w:tc>
          <w:tcPr>
            <w:tcW w:w="1179" w:type="dxa"/>
            <w:vAlign w:val="top"/>
          </w:tcPr>
          <w:p>
            <w:pPr>
              <w:pStyle w:val="TabelaTextoCentro"/>
              <w:jc w:val="center"/>
            </w:pPr>
            <w:r>
              <w:t xml:space="preserve">100,0</w:t>
            </w:r>
          </w:p>
        </w:tc>
        <w:tc>
          <w:tcPr>
            <w:tcW w:w="2268" w:type="dxa"/>
            <w:vAlign w:val="top"/>
          </w:tcPr>
          <w:p>
            <w:pPr>
              <w:pStyle w:val="TabelaTextoCentro"/>
              <w:jc w:val="center"/>
            </w:pPr>
            <w:r>
              <w:t xml:space="preserve">—</w:t>
            </w:r>
          </w:p>
        </w:tc>
      </w:tr>
    </w:tbl>
    <w:p>
      <w:pPr>
        <w:pStyle w:val="Fonte"/>
      </w:pPr>
      <w:r>
        <w:t xml:space="preserve">Fonte: Elaborado pelos autores (2026).</w:t>
      </w:r>
    </w:p>
    <w:p>
      <w:pPr>
        <w:pStyle w:val="Fonte"/>
        <w:spacing w:after="240"/>
      </w:pPr>
      <w:r>
        <w:t xml:space="preserve">Nota: cada estudo foi alocado a um único eixo, o predominante na sua análise.</w:t>
      </w:r>
    </w:p>
    <w:p>
      <w:pPr>
        <w:pStyle w:val="Titulo1"/>
      </w:pPr>
      <w:r>
        <w:t xml:space="preserve">4 Discussão</w:t>
      </w:r>
    </w:p>
    <w:p>
      <w:pPr>
        <w:pStyle w:val="Titulo2"/>
      </w:pPr>
      <w:r>
        <w:t xml:space="preserve">4.1 Interpretação dos principais achados</w:t>
      </w:r>
    </w:p>
    <w:p>
      <w:pPr>
        <w:pStyle w:val="Normal"/>
      </w:pPr>
      <w:r>
        <w:t xml:space="preserve">Os trinta estudos analisados convergem na constatação de que a lipoproteína(a) [Lp(a)] elevada atua como marcador de risco independente para desfechos cardiovasculares adversos em adultos, com magnitude variável segundo o contexto clínico, o limiar diagnóstico e o desfecho avaliado. Essa consistência entre coortes de origens geográficas e étnicas distintas sugere que o sinal prognóstico da molécula independe de um perfil populacional específico, a despeito da oscilação nos pontos de corte adotados na literatura (30 mg/dL, 50 mg/dL e 125 nmol/L).</w:t>
      </w:r>
    </w:p>
    <w:p>
      <w:pPr>
        <w:pStyle w:val="Normal"/>
      </w:pPr>
      <w:r>
        <w:t xml:space="preserve">No contexto da coronariopatia aguda, as evidências apontam associação consistente entre concentrações elevadas de Lp(a) e recidiva de eventos. No acompanhamento de 530 pacientes coronariopatas por 36 meses, níveis elevados mantiveram-se preditores independentes de eventos cardiovasculares maiores (HR = 2,07; IC95%: 1,37-3,12) e de quadros coronarianos agudos (HR = 2,83; IC95%: 1,67-4,81) [23]. Padrão comparável foi descrito em 6.056 portadores de síndrome coronariana crônica, nos quais a elevação da Lp(a) predisse eventos maiores com expressividade superior naqueles com história familiar positiva (HR: 2,77; IC95%: 1,38-5,54) frente aos sem histórico (HR: 1,35; IC95%: 1,02-1,77) [28]. Já em 868 japoneses com infarto agudo com supradesnivelamento do segmento ST, valores ≥47,26 mg/dL associaram-se independentemente ao desfecho composto (HR: 1,932; IC95%: 1,255-2,974) [9]. Por sua vez, entre 4.591 indivíduos submetidos à revascularização miocárdica, concentrações ≥50 mg/dL conferiram risco ajustado de 1,26 (IC95%: 1,04-1,53), com acentuação entre os casos de maior complexidade anatômica [10]. Esses dados em populações asiáticas e coreanas reforçam a hipótese de que a Lp(a) compõe o risco residual mesmo diante de terapêutica intervencionista contemporânea.</w:t>
      </w:r>
    </w:p>
    <w:p>
      <w:pPr>
        <w:pStyle w:val="Normal"/>
      </w:pPr>
      <w:r>
        <w:t xml:space="preserve">A dimensão cerebrovascular e de mortalidade cardiovascular também figura entre os desfechos associados à Lp(a). Em 353.309 participantes do UK Biobank, valores acima de 125 nmol/L associaram-se a maior risco de acidente vascular cerebral isquêmico (HR 1,12; IC95%: 1,02-1,22), sem associação com eventos hemorrágicos, com variação por sexo [4]. Em 1.733 pacientes com acidente vascular cerebral isquêmico agudo, a Lp(a) associou-se independentemente à etiologia por aterosclerose de grandes artérias (razão de chances ajustada 1,48; IC95%: 1,14-1,90 por incremento de log10), com efeito modificador da idade e risco de recorrência entre menores de 60 anos [12]. Em análise do NHANES III com seguimento médio de 22,4 anos, a Lp(a) acima de 75 mg/dL associou-se a maior mortalidade por todas as causas (HR: 1,25; IC95%: 1,02-1,53) e cardiovascular (sHR: 1,21; IC95%: 1,09-1,36) apenas no estrato de alto risco basal [19]. Em 101.348 adultos com esteatose hepática metabólica, cada desvio-padrão de Lp(a) elevou em 14% o risco de mortalidade cardiovascular (IC95%: 1,10-1,19) e em 9% o de doença cardiovascular incidente (IC95%: 1,07-1,11) [15], enquanto, em 912 pacientes com infarto agudo do miocárdio, a Lp(a) ≥30 mg/dL associou-se à mortalidade cardiovascular (HR: 2,434; IC95%: 1,653-3,583) [17]. A leitura conjunta desses resultados sugere que o valor prognóstico da Lp(a) se manifesta de modo mais nítido em populações de maior risco basal e em desfechos aterotrombóticos específicos.</w:t>
      </w:r>
    </w:p>
    <w:p>
      <w:pPr>
        <w:pStyle w:val="Titulo2"/>
      </w:pPr>
      <w:r>
        <w:t xml:space="preserve">4.2 Diálogo crítico entre os estudos</w:t>
      </w:r>
    </w:p>
    <w:p>
      <w:pPr>
        <w:pStyle w:val="Normal"/>
      </w:pPr>
      <w:r>
        <w:t xml:space="preserve">A comparação entre os achados revela convergências relevantes, mas também tensões que merecem exame cuidadoso. De um lado, coortes prospectivas de grande porte e longo seguimento sustentam a independência da Lp(a) como preditor: os resultados do UK Biobank [3], do estudo multicorte norte-americano com calcificação coronariana [5] e da coorte chinesa de prevenção primária [29] apontam na mesma direção, ainda que empreguem limiares distintos. De outro, estudos conduzidos em populações com doença aterosclerótica já estabelecida oferecem resultados menos uniformes. Em 798 pacientes submetidos à angiografia coronariana, a Lp(a) associou-se à carga de placa à ultrassonografia intravascular, mas não a eventos cardíacos adversos em cinco anos (HR 1,06; IC95%: 0,70-1,60) nem à mortalidade em dez anos [18]. No ensaio SPARCL, a Lp(a) não se associou ao desfecho primário de acidente vascular cerebral recorrente, embora tenha se associado a eventos coronarianos entre os randomizados para atorvastatina (HR: 1,607; IC95%: 1,007-2,563) [13]. Essas divergências sugerem que, em cenários de prevenção secundária intensiva, o efeito da Lp(a) pode ser atenuado ou redistribuído entre desfechos específicos, sem invalidar seu papel como marcador de risco residual.</w:t>
      </w:r>
    </w:p>
    <w:p>
      <w:pPr>
        <w:pStyle w:val="Normal"/>
      </w:pPr>
      <w:r>
        <w:t xml:space="preserve">Diferenças de delineamento e de contexto populacional ajudam a explicar parte dessas discrepâncias. Estudos retrospectivos de centro único, como o conduzido em hospital distrital português com 171 dosagens, descreveram prevalência de Lp(a) acima do normal em 44% da amostra e associação com eventos prévios, mas os próprios autores reconhecem a impossibilidade de extrapolação para a população geral [2]. De modo análogo, a coorte colombiana de hipercolesterolemia familiar identificou a Lp(a) elevada como preditor independente (HR: 2,5; IC95%: 1,6-3,9) em modelo que superou escores tradicionais [14], enquanto a coorte chilena de síndrome coronariana aguda evidenciou que, mesmo entre pacientes que atingiram a meta de LDL-colesterol, 21% apresentavam Lp(a) elevada [1]. Esses achados latino-americanos dialogam com a literatura global ao reforçar a Lp(a) como componente do risco residual, mas diferem quanto ao tamanho amostral e ao desenho, o que limita comparações diretas com coortes europeias e asiáticas de maior porte.</w:t>
      </w:r>
    </w:p>
    <w:p>
      <w:pPr>
        <w:pStyle w:val="Normal"/>
      </w:pPr>
      <w:r>
        <w:t xml:space="preserve">A modulação do risco por fatores concomitantes emerge como eixo explicativo das divergências. Em 158 pacientes diabéticos com isquemia crítica de membro inferior, a Lp(a) foi preditora independente de eventos cardiovasculares e de membro, com ponto de corte empírico de 29,6 mg/dL conferindo risco 3,8 vezes maior [24]; em contraste, entre 1.018 pacientes pós-infarto, a associação independente foi observada apenas em não diabéticos (HR: 2,839; IC95%: 1,382-5,832), não em diabéticos [21]. A interação com inflamação também se mostrou relevante: em 6.514 participantes do MESA e 26.574 do UK Biobank, a combinação de Lp(a) e interleucina-6 elevadas conferiu o maior risco de eventos coronarianos [16], e, em 912 pacientes com infarto, a sinergia entre Lp(a) e proteína C reativa ultrassensível associou-se à mortalidade cardiovascular [17]. A homocisteína modulou a associação em 530 pacientes coronarianos, com risco amplificado apenas entre aqueles com níveis moderados a altos [23], e o escore GRACE modificou o efeito da Lp(a) em 6.309 pacientes com síndrome coronariana aguda submetidos à intervenção percutânea [31]. Tais resultados indicam que a Lp(a) não opera isoladamente, mas em rede com marcadores inflamatórios, metabólicos e escores clínicos.</w:t>
      </w:r>
    </w:p>
    <w:p>
      <w:pPr>
        <w:pStyle w:val="Normal"/>
      </w:pPr>
      <w:r>
        <w:t xml:space="preserve">A heterogeneidade de limiares e de definições de desfecho constitui outra fonte de divergência. Enquanto alguns estudos adotaram 30 mg/dL [6,17], outros empregaram 50 mg/dL [5,7,10,29], 75 nmol/L [18,19], 100 nmol/L [12] ou 125 nmol/L [4,11,15]. Essa variação dificulta a comparação direta das magnitudes de risco, ainda que a direção da associação se mantenha. Estudos que avaliaram desfechos compostos amplos, como revascularização e hospitalização por insuficiência cardíaca, tenderam a reportar riscos mais modestos [9,27], enquanto aqueles focados em infarto ou morte cardiovascular reportaram riscos mais expressivos [7,17,21]. A coorte de 189 pacientes com infarto precoce ilustra bem essa gradação, ao demonstrar correlação positiva entre Lp(a) e número de vasos acometidos (r = 0,303) e associação com idade mais jovem de início do evento [7]. Em 5.118 indivíduos submetidos à angiografia, níveis muito elevados de Lp(a) associaram-se a doença obstrutiva grave, doença de tronco e maior escore de Gensini, com risco residual persistente para infarto, revascularização e mortalidade [11]. A coorte de 731.983 indivíduos analisada por aprendizado de máquina reforça a contribuição da Lp(a) para predição de curto prazo, com aumento de 50 nmol/L associado de forma independente a eventos ateroscleróticos incidentes (HR: 1,072; IC95%: 1,059-1,084) [26]. Em conjunto, esses achados sugerem que a Lp(a) contribui tanto para a carga aterosclerótica quanto para o risco de eventos incidentes, ainda que a magnitude varie conforme o desfecho e o horizonte temporal.</w:t>
      </w:r>
    </w:p>
    <w:p>
      <w:pPr>
        <w:pStyle w:val="Titulo2"/>
      </w:pPr>
      <w:r>
        <w:t xml:space="preserve">4.3 Limitações</w:t>
      </w:r>
    </w:p>
    <w:p>
      <w:pPr>
        <w:pStyle w:val="Normal"/>
      </w:pPr>
      <w:r>
        <w:t xml:space="preserve">A acentuada heterogeneidade metodológica entre os estudos compilados, marcada pela diversidade de populações e definições de desfechos clínicos, inviabilizou a realização de metanálise. Observou-se o predomínio de coortes observacionais retrospectivas unicêntricas, sujeitas a viés de seleção e a confundimento residual. Ademais, o escopo da busca nas bases PubMed/MEDLINE, SciELO e LILACS — restrito a artigos publicados a partir de 2021 nos idiomas português, inglês e espanhol com texto completo disponível gratuitamente — introduz potencial viés de disponibilidade, decorrente da não inclusão de evidências pertinentes sob acesso restrito.</w:t>
      </w:r>
    </w:p>
    <w:p>
      <w:pPr>
        <w:pStyle w:val="Titulo2"/>
      </w:pPr>
      <w:r>
        <w:t xml:space="preserve">4.4 Implicações para a prática e para a pesquisa</w:t>
      </w:r>
    </w:p>
    <w:p>
      <w:pPr>
        <w:pStyle w:val="Normal"/>
      </w:pPr>
      <w:r>
        <w:t xml:space="preserve">Os achados desta revisão sustentam a incorporação da dosagem de Lp(a) à estratificação de risco cardiovascular em adultos, particularmente naqueles com risco basal elevado, história familiar de doença coronariana precoce ou hipercolesterolemia familiar [14,19,28]. A identificação de indivíduos com Lp(a) elevada pode orientar a intensificação de terapias hipolipemiantes e a consideração de estratégias emergentes voltadas à redução dessa lipoproteína, sobretudo em cenários de risco residual persistente apesar do controle do LDL-colesterol [1,13,31]. A combinação da Lp(a) com marcadores inflamatórios, metabólicos e escores clínicos parece refinar a predição, conforme sugerem os estudos que avaliaram interações com interleucina-6, proteína C reativa ultrassensível, homocisteína e escore GRACE [16,17,23,31]. Para a pesquisa, permanece a necessidade de estudos prospectivos multicêntricos com padronização de limiares e desfechos, capazes de esclarecer o papel da Lp(a) em populações específicas, como diabéticos e idosos, e de avaliar o impacto clínico de intervenções direcionadas à sua redução [12,18,21]. A heterogeneidade observada entre coortes latino-americanas e de outras regiões reforça a importância de investigações locais que considerem particularidades genéticas e epidemiológicas [1,2,14].</w:t>
      </w:r>
    </w:p>
    <w:p>
      <w:pPr>
        <w:pStyle w:val="Titulo1"/>
      </w:pPr>
      <w:r>
        <w:t xml:space="preserve">5 Conclusão</w:t>
      </w:r>
    </w:p>
    <w:p>
      <w:pPr>
        <w:pStyle w:val="Normal"/>
      </w:pPr>
      <w:r>
        <w:t xml:space="preserve">A elevação sérica da lipoproteína(a) consolida-se como determinante biológico do risco aterotrombótico residual em pacientes com síndrome coronariana aguda. Longe de atuar como mero espectador laboratorial, a partícula prediz recidivas isquêmicas coronarianas, reestenose de stents e mortalidade cardiovascular, mantendo relevância prognóstica mesmo sob controle rigoroso do colesterol LDL e em artérias sem calcificação prévia aparente.</w:t>
      </w:r>
    </w:p>
    <w:p>
      <w:pPr>
        <w:pStyle w:val="Normal"/>
      </w:pPr>
      <w:r>
        <w:t xml:space="preserve">Sua agressividade clínica atinge o ápice em dois cenários críticos: na doença arterial coronariana multivascular de início precoce em adultos jovens e quando há sinergismo com a inflamação sistêmica ativa — evidenciada por picos de proteína C-reativa ultrassensível e interleucina-6. A perda de acurácia observada em subgrupos com diabetes mellitus avançado sob prevenção secundária intensiva não anula seu valor, mas sinaliza a sobreposição de outros mecanismos micro e macrovasculares competitivos.</w:t>
      </w:r>
    </w:p>
    <w:p>
      <w:pPr>
        <w:pStyle w:val="Normal"/>
      </w:pPr>
      <w:r>
        <w:t xml:space="preserve">Na prática cardiológica, a dosagem basal da lipoproteína(a) fecha lacunas prognósticas e identifica o paciente coronariopata de alta vulnerabilidade tecidual. Resta agora aos ensaios clínicos com terapias dirigidas por oligonucleotídeos antisense e RNAs de interferência demonstrar se a redução farmacológica profunda dessa lipoproteína se converterá, de fato, na diminuição tangível de novos infartos e mortes cardiovasculares.</w:t>
      </w:r>
    </w:p>
    <w:p>
      <w:pPr>
        <w:pStyle w:val="Titulo1"/>
        <w:jc w:val="center"/>
      </w:pPr>
      <w:r>
        <w:t xml:space="preserve">Referências</w:t>
      </w:r>
    </w:p>
    <w:p>
      <w:pPr>
        <w:pStyle w:val="Referencia"/>
      </w:pPr>
      <w:r>
        <w:t xml:space="preserve">1. Cerda G T, Phillips W T, Velásquez Z L, Recabarren-Gajardo G, Haack T, Muñoz V P, et al. Huella Lipídica y Control de Riesgo Residual en Pacientes con Síndrome Coronario Agudo. Colesterol y riesgo residual en prevención secundaria. Rev Chil Cardiol. 2026;45(1):23-31. doi:10.4067/s0718-85602026000100023.</w:t>
      </w:r>
    </w:p>
    <w:p>
      <w:pPr>
        <w:pStyle w:val="Referencia"/>
      </w:pPr>
      <w:r>
        <w:t xml:space="preserve">2. Távora C, Costa MG, Couto FS, Santos JR. Prevalência da Lipoproteína (a) e a sua Associação com Eventos Cardiovasculares: Um Estudo Retrospetivo num Hospital Distrital. Medicina Interna. 2025;32(3):33-38. Disponível em: https://scielo.pt/scielo.php?script=sci_arttext&amp;pid=S0872-671X2025000300033?script=sci_arttext&amp;pid=S0872-671X2025000300033 [citado 2026 set 29]</w:t>
      </w:r>
    </w:p>
    <w:p>
      <w:pPr>
        <w:pStyle w:val="Referencia"/>
      </w:pPr>
      <w:r>
        <w:t xml:space="preserve">3. Trinder M, Uddin MM, Finneran P, Aragam KG, Natarajan P. Clinical Utility of Lipoprotein(a) and LPA Genetic Risk Score in Risk Prediction of Incident Atherosclerotic Cardiovascular Disease. JAMA Cardiol. 2021;6(3):287-295. doi:10.1001/jamacardio.2020.5398. PMID: 33021622.</w:t>
      </w:r>
    </w:p>
    <w:p>
      <w:pPr>
        <w:pStyle w:val="Referencia"/>
      </w:pPr>
      <w:r>
        <w:t xml:space="preserve">4. Kao AS, Kermanshahchi J, Khosrowjerdi S, Razavi AC, Levene J, Reyes M, et al. Demographics of lipoprotein(a) and stroke: The UK biobank. Am J Prev Cardiol. 2025;23:101055. doi:10.1016/j.ajpc.2025.101055. PMID: 40687939.</w:t>
      </w:r>
    </w:p>
    <w:p>
      <w:pPr>
        <w:pStyle w:val="Referencia"/>
      </w:pPr>
      <w:r>
        <w:t xml:space="preserve">5. Bhatia HS, Fan Y, Dharmavaram G, Razavi AC, Tsai MY, Ramsis M, et al. Use of Coronary Artery Calcium Scoring in Individuals With Elevated Lipoprotein(a): A Multicohort Study. J Am Coll Cardiol. 2026;87(20):2864-2872. doi:10.1016/j.jacc.2026.02.5067. PMID: 41837904.</w:t>
      </w:r>
    </w:p>
    <w:p>
      <w:pPr>
        <w:pStyle w:val="Referencia"/>
      </w:pPr>
      <w:r>
        <w:t xml:space="preserve">6. Raitakari O, Kartiosuo N, Pahkala K, Hutri-Kähönen N, Bazzano LA, Chen W, et al. Lipoprotein(a) in Youth and Prediction of Major Cardiovascular Outcomes in Adulthood. Circulation. 2023;147(1):23-31. doi:10.1161/CIRCULATIONAHA.122.060667. PMID: 36440577.</w:t>
      </w:r>
    </w:p>
    <w:p>
      <w:pPr>
        <w:pStyle w:val="Referencia"/>
      </w:pPr>
      <w:r>
        <w:t xml:space="preserve">7. Namitokov A. Elevated lipoprotein(a) and its association with early-onset myocardial infarction and coronary burden. Arch Cardiol Mex. 2025;95(2):188-193. doi:10.24875/acm.24000183.</w:t>
      </w:r>
    </w:p>
    <w:p>
      <w:pPr>
        <w:pStyle w:val="Referencia"/>
      </w:pPr>
      <w:r>
        <w:t xml:space="preserve">8. Zemawal NA, Shah S, Shah M, Qadar Khattak M, Khattak IQ, Mazhar T, et al. Impact of Elevated Lipoprotein A on Major Adverse Cardiovascular Events and the Role of Traditional Risk Factors in Patients Undergoing Percutaneous Coronary Intervention. Cureus. 2025;17(1):e77630. doi:10.7759/cureus.77630. PMID: 39963645.</w:t>
      </w:r>
    </w:p>
    <w:p>
      <w:pPr>
        <w:pStyle w:val="Referencia"/>
      </w:pPr>
      <w:r>
        <w:t xml:space="preserve">9. Nishiyama K, Nishihira K, Nakai M, Baba K, Takamatsu M, Honda Y, et al. Prognostic Value of Serum Lipoprotein(a) Levels in Japanese Patients With ST-Segment Elevation Myocardial Infarction. Circ J. 2026;90(8):988-996. doi:10.1253/circj.CJ-25-0889. PMID: 41795930.</w:t>
      </w:r>
    </w:p>
    <w:p>
      <w:pPr>
        <w:pStyle w:val="Referencia"/>
      </w:pPr>
      <w:r>
        <w:t xml:space="preserve">10. Kim H, Ahn JM, Kang DY, Wee SB, An SY, Park HS, et al. Prognostic Impact of Lipoprotein(a) on Cardiovascular Outcomes Across Coronary Complexity in Patients Undergoing Coronary Revascularization. JACC Asia. 2026:S2772-3747(26)00716-7. doi:10.1016/j.jacasi.2026.08.016. PMID: 42799724.</w:t>
      </w:r>
    </w:p>
    <w:p>
      <w:pPr>
        <w:pStyle w:val="Referencia"/>
      </w:pPr>
      <w:r>
        <w:t xml:space="preserve">11. Supriami K, Faaborg-Andersen CC, Cho SMJ, Tello-Ayala JR, Abou-Karam R, Pomerantsev E, et al. Outcomes after coronary angiography in individuals with elevated lipoprotein(a). Eur J Prev Cardiol. 2025:zwaf690. doi:10.1093/eurjpc/zwaf690. PMID: 41231412.</w:t>
      </w:r>
    </w:p>
    <w:p>
      <w:pPr>
        <w:pStyle w:val="Referencia"/>
      </w:pPr>
      <w:r>
        <w:t xml:space="preserve">12. Arnold M, Schweizer J, Nakas CT, Schütz V, Westphal LP, Inauen C, et al. Lipoprotein(a) is associated with large artery atherosclerosis stroke aetiology and stroke recurrence among patients below the age of 60 years: results from the BIOSIGNAL study. Eur Heart J. 2021;42(22):2186-2196. doi:10.1093/eurheartj/ehab081. PMID: 33709115.</w:t>
      </w:r>
    </w:p>
    <w:p>
      <w:pPr>
        <w:pStyle w:val="Referencia"/>
      </w:pPr>
      <w:r>
        <w:t xml:space="preserve">13. Chemello K, Gallo A, Guedon AF, Techer R, Croyal M, Swietek MJ, et al. Lipoprotein(a): A Residual Cardiovascular Risk Factor in Statin-Treated Stroke Survivors: Insights From the SPARCL Trial. JACC Adv. 2023;2(7):100557. doi:10.1016/j.jacadv.2023.100557. PMID: 38939496.</w:t>
      </w:r>
    </w:p>
    <w:p>
      <w:pPr>
        <w:pStyle w:val="Referencia"/>
      </w:pPr>
      <w:r>
        <w:t xml:space="preserve">14. Hernández Navas J, Dulcey Sarmiento L, Gómez Ayala J, Therán León J. Evaluación del riesgo cardiovascular mediante un nuevo score en una cohorte con hipercolesterolemia familiar del noroccidente de Colombia. Horiz Med. 2025;25(4). doi:10.24265/horizmed.2025.v25n4.03.</w:t>
      </w:r>
    </w:p>
    <w:p>
      <w:pPr>
        <w:pStyle w:val="Referencia"/>
      </w:pPr>
      <w:r>
        <w:t xml:space="preserve">15. Dong B, Chen Y, He F, Li B, Wu B, Chen Z, et al. Lipoprotein(a), insulin resistance, and cardiovascular outcomes in metabolic dysfunction-associated steatotic liver disease. Cardiovasc Diabetol. 2026;25(1):209. doi:10.1186/s12933-026-03294-x. PMID: 42469815.</w:t>
      </w:r>
    </w:p>
    <w:p>
      <w:pPr>
        <w:pStyle w:val="Referencia"/>
      </w:pPr>
      <w:r>
        <w:t xml:space="preserve">16. Bhatia HS, McParland J, Rikhi R, Tsai M, Szklo M, Tsimikas S, et al. Association of Lipoprotein(a) and Interleukin-6 With Cardiovascular Risk: MESA and UK Biobank. J Am Coll Cardiol. 2025;86(21):2000-2013. doi:10.1016/j.jacc.2025.08.101. PMID: 41217319.</w:t>
      </w:r>
    </w:p>
    <w:p>
      <w:pPr>
        <w:pStyle w:val="Referencia"/>
      </w:pPr>
      <w:r>
        <w:t xml:space="preserve">17. Wang Z, Tang J, Shi Q, Fang L, Liu N, Zhang J. Synergistic effect of lipoprotein(a) and high-sensitivity C-reactive protein on the risk of all-cause and cardiovascular death in patients with acute myocardial infarction: a large prospective cohort study. Front Endocrinol (Lausanne). 2024;15:1392859. doi:10.3389/fendo.2024.1392859. PMID: 38812817.</w:t>
      </w:r>
    </w:p>
    <w:p>
      <w:pPr>
        <w:pStyle w:val="Referencia"/>
      </w:pPr>
      <w:r>
        <w:t xml:space="preserve">18. de Mira JVF, Vlieger S, Mulder M, van der Zee L, Oemrawsingh RM, Cheng JM, et al. Lipoprotein(a), Atherosclerotic Plaque Burden, and Long-term Cardiovascular Outcomes in Patients With Coronary Artery Disease. Eur J Prev Cardiol. 2026:zwag138. doi:10.1093/eurjpc/zwag138. PMID: 41817389.</w:t>
      </w:r>
    </w:p>
    <w:p>
      <w:pPr>
        <w:pStyle w:val="Referencia"/>
      </w:pPr>
      <w:r>
        <w:t xml:space="preserve">19. Al-Jarshawi M, Chew N, Bonaca MP, Ray KK, Mamas MA. The Additive Prognostic Value of Lipoprotein(a) for All-cause and Cardiovascular Mortality Across the Traditional Cardiovascular Risk Continuum: Analysis from NHANES III (1988-1994) with Follow-Up to 2019. Eur J Prev Cardiol. 2026:zwag037. doi:10.1093/eurjpc/zwag037. PMID: 41539992.</w:t>
      </w:r>
    </w:p>
    <w:p>
      <w:pPr>
        <w:pStyle w:val="Referencia"/>
      </w:pPr>
      <w:r>
        <w:t xml:space="preserve">20. Afanasieva OI, Tyurina AV, Ezhov MV, Razova OA, Klesareva EA, Pokrovsky SN. Lipoprotein(a) and Low-Molecular-Weight Apo(a) Phenotype as Determinants of New Cardiovascular Events in Patients with Premature Coronary Heart Disease. Diseases. 2023;11(4):145. doi:10.3390/diseases11040145. PMID: 37873789.</w:t>
      </w:r>
    </w:p>
    <w:p>
      <w:pPr>
        <w:pStyle w:val="Referencia"/>
      </w:pPr>
      <w:r>
        <w:t xml:space="preserve">21. Silverio A, Cancro FP, Di Maio M, Bellino M, Esposito L, Centore M, et al. Lipoprotein(a) levels and risk of adverse events after myocardial infarction in patients with and without diabetes. J Thromb Thrombolysis. 2022;54(3):382-392. doi:10.1007/s11239-022-02701-w. PMID: 36125640.</w:t>
      </w:r>
    </w:p>
    <w:p>
      <w:pPr>
        <w:pStyle w:val="Referencia"/>
      </w:pPr>
      <w:r>
        <w:t xml:space="preserve">22. Page MJ, McKenzie JE, Bossuyt PM, Boutron I, Hoffmann TC, Mulrow CD, et al. The PRISMA 2020 statement: an updated guideline for reporting systematic reviews. BMJ. 2021;372:n71. doi:10.1136/bmj.n71. PMID: 33782057.</w:t>
      </w:r>
    </w:p>
    <w:p>
      <w:pPr>
        <w:pStyle w:val="Referencia"/>
      </w:pPr>
      <w:r>
        <w:t xml:space="preserve">23. Sun T, Zhang W, Fei P, Shi Y, Zhang X. Correlation between elevated Lp(a) levels and cardiovascular risk in coronary heart disease patients with different homocysteine concentrations. BMC Cardiovasc Disord. 2026;26(1):460. doi:10.1186/s12872-026-05847-0. PMID: 41992155.</w:t>
      </w:r>
    </w:p>
    <w:p>
      <w:pPr>
        <w:pStyle w:val="Referencia"/>
      </w:pPr>
      <w:r>
        <w:t xml:space="preserve">24. Biscetti F, Rando MM, Nicolazzi MA, Angelini F, Iezzi R, Eraso LH, et al. Prognostic value of lipoprotein(a) for cardiovascular events after lower limb revascularization in diabetic patients with chronic limb-threatening ischemia. Cardiovasc Diabetol. 2025;24(1):271. doi:10.1186/s12933-025-02833-2. PMID: 40640828.</w:t>
      </w:r>
    </w:p>
    <w:p>
      <w:pPr>
        <w:pStyle w:val="Referencia"/>
      </w:pPr>
      <w:r>
        <w:t xml:space="preserve">25. Li Q, Xu S, Shen J, Sun F. The nonlinear association between lipoprotein(a) and major adverse cardiovascular events in acute coronary syndrome patients with three-vessel disease. Sci Rep. 2025;15(1):1720. doi:10.1038/s41598-025-86154-0. PMID: 39799177.</w:t>
      </w:r>
    </w:p>
    <w:p>
      <w:pPr>
        <w:pStyle w:val="Referencia"/>
      </w:pPr>
      <w:r>
        <w:t xml:space="preserve">26. Ward A, Kron B, Lozama A, Sandhu A, Khandelwal A, Rodriguez F, et al. Elevated Lipoprotein(a) Independently Increases Risk for Short-Term Atherosclerotic Cardiovascular Events in Machine Learning Predictive Models. JACC Adv. 2025;4(11 Pt 1):102253. doi:10.1016/j.jacadv.2025.102253. PMID: 41138530.</w:t>
      </w:r>
    </w:p>
    <w:p>
      <w:pPr>
        <w:pStyle w:val="Referencia"/>
      </w:pPr>
      <w:r>
        <w:t xml:space="preserve">27. Zhang X, Niu N, Yu S, Zhang X, Zhang Y, Chen X, et al. The correlation between lipoprotein(a) and major adverse cardiovascular events in patients with acute myocardial infarction combined with heart failure with preserved ejection fraction. Front Cardiovasc Med. 2025;12:1515916. doi:10.3389/fcvm.2025.1515916. PMID: 40552189.</w:t>
      </w:r>
    </w:p>
    <w:p>
      <w:pPr>
        <w:pStyle w:val="Referencia"/>
      </w:pPr>
      <w:r>
        <w:t xml:space="preserve">28. Liu HH, Li S, Zhang Y, Guo YL, Zhu CG, Wu NQ, et al. Joint Association of Lipoprotein(a) and a Family History of Coronary Artery Disease with the Cardiovascular Outcomes in Patients with Chronic Coronary Syndrome. J Atheroscler Thromb. 2024;31(9):1319-1332. doi:10.5551/jat.64693. PMID: 38616111.</w:t>
      </w:r>
    </w:p>
    <w:p>
      <w:pPr>
        <w:pStyle w:val="Referencia"/>
      </w:pPr>
      <w:r>
        <w:t xml:space="preserve">29. Qi Y, Duan Y, Deng Q, Yang N, Sun J, Li J, et al. Independent Relationship of Lipoprotein(a) and Carotid Atherosclerosis With Long-Term Risk of Cardiovascular Disease. J Am Heart Assoc. 2024;13(9):e033488. doi:10.1161/JAHA.123.033488. PMID: 38639362.</w:t>
      </w:r>
    </w:p>
    <w:p>
      <w:pPr>
        <w:pStyle w:val="Referencia"/>
      </w:pPr>
      <w:r>
        <w:t xml:space="preserve">30. Brandt EJ, Kirch M, Patel N, Chennareddy C, Murthy VL, Goonewardena SN. The Impact of Social Determinants of Health and Lifestyle on the Association of Lipoprotein(a) with Myocardial Infarction and Stroke. medRxiv. 2023:2023.09.01.23294968. doi:10.1101/2023.09.01.23294968. PMID: 37693416.</w:t>
      </w:r>
    </w:p>
    <w:p>
      <w:pPr>
        <w:pStyle w:val="Referencia"/>
      </w:pPr>
      <w:r>
        <w:t xml:space="preserve">31. Hu C, Liu J, Han H, Sun Y, Cheng Y, Liu Y, et al. A Synergistic Effect of Lp(a) and GRACE Score on Cardiovascular Risk in Acute Coronary Syndrome Patients Undergoing Percutaneous Coronary Intervention: A Cohort Study From China. Front Cardiovasc Med. 2021;8:637366. doi:10.3389/fcvm.2021.637366. PMID: 33681307.</w:t>
      </w:r>
    </w:p>
    <w:sectPr>
      <w:headerReference w:type="default" r:id="rIdCabecalho"/>
      <w:pgSz w:w="11906" w:h="16838"/>
      <w:pgMar w:top="1701" w:right="1134" w:bottom="1134" w:left="1701" w:header="709" w:footer="709" w:gutter="0"/>
    </w:sectPr>
  </w:body>
</w:document>
</file>

<file path=word/header1.xml><?xml version="1.0" encoding="utf-8"?>
<w:hdr xmlns:w="http://schemas.openxmlformats.org/wordprocessingml/2006/main">
  <w:p>
    <w:pPr>
      <w:jc w:val="right"/>
      <w:ind w:firstLine="0"/>
    </w:pPr>
    <w:r>
      <w:fldChar w:fldCharType="begin"/>
    </w:r>
    <w:r>
      <w:instrText xml:space="preserve"> PAGE </w:instrText>
    </w:r>
    <w:r>
      <w:fldChar w:fldCharType="separate"/>
    </w:r>
    <w:r>
      <w:t>1</w:t>
    </w:r>
    <w:r>
      <w:fldChar w:fldCharType="end"/>
    </w:r>
  </w:p>
</w:hdr>
</file>

<file path=word/settings.xml><?xml version="1.0" encoding="utf-8"?>
<w:settings xmlns:w="http://schemas.openxmlformats.org/wordprocessingml/2006/main">
  <w:autoHyphenation/>
  <w:consecutiveHyphenLimit w:val="2"/>
  <w:hyphenationZone w:val="357"/>
  <w:defaultTabStop w:val="709"/>
  <w:characterSpacingControl w:val="doNotCompress"/>
  <w:themeFontLang w:val="pt-BR"/>
</w:settings>
</file>

<file path=word/styles.xml><?xml version="1.0" encoding="utf-8"?>
<w:styles xmlns:w="http://schemas.openxmlformats.org/wordprocessingml/2006/main">
  <w:docDefaults>
    <w:rPrDefault>
      <w:rPr>
        <w:rFonts w:ascii="Times New Roman" w:hAnsi="Times New Roman" w:cs="Times New Roman" w:eastAsia="Times New Roman"/>
        <w:sz w:val="24"/>
        <w:szCs w:val="24"/>
        <w:lang w:val="pt-BR" w:eastAsia="pt-BR" w:bidi="ar-SA"/>
      </w:rPr>
    </w:rPrDefault>
    <w:pPrDefault>
      <w:pPr>
        <w:spacing w:after="0" w:line="360" w:lineRule="auto"/>
      </w:pPr>
    </w:pPrDefault>
  </w:docDefaults>
  <w:style w:type="paragraph" w:default="1" w:styleId="Normal">
    <w:name w:val="Normal"/>
    <w:qFormat/>
    <w:pPr>
      <w:jc w:val="both"/>
      <w:ind w:firstLine="709"/>
    </w:pPr>
  </w:style>
  <w:style w:type="paragraph" w:styleId="Titulo">
    <w:name w:val="Title"/>
    <w:basedOn w:val="Normal"/>
    <w:qFormat/>
    <w:pPr>
      <w:jc w:val="center"/>
      <w:ind w:firstLine="0"/>
      <w:spacing w:after="160"/>
    </w:pPr>
    <w:rPr>
      <w:b/>
      <w:caps/>
      <w:sz w:val="28"/>
      <w:szCs w:val="28"/>
    </w:rPr>
  </w:style>
  <w:style w:type="paragraph" w:styleId="Subtitulo">
    <w:name w:val="Subtitle"/>
    <w:basedOn w:val="Normal"/>
    <w:pPr>
      <w:jc w:val="center"/>
      <w:ind w:firstLine="0"/>
      <w:spacing w:before="40" w:after="120" w:line="240" w:lineRule="auto"/>
    </w:pPr>
    <w:rPr>
      <w:i/>
      <w:sz w:val="22"/>
      <w:szCs w:val="22"/>
    </w:rPr>
  </w:style>
  <w:style w:type="paragraph" w:styleId="Frontal">
    <w:name w:val="Frontal"/>
    <w:basedOn w:val="Normal"/>
    <w:pPr>
      <w:jc w:val="center"/>
      <w:ind w:firstLine="0"/>
      <w:spacing w:before="60" w:after="120" w:line="240" w:lineRule="auto"/>
    </w:pPr>
    <w:rPr>
      <w:sz w:val="22"/>
      <w:szCs w:val="22"/>
    </w:rPr>
  </w:style>
  <w:style w:type="paragraph" w:styleId="Afiliacao">
    <w:name w:val="Afiliacao"/>
    <w:basedOn w:val="Normal"/>
    <w:pPr>
      <w:jc w:val="center"/>
      <w:ind w:firstLine="0"/>
      <w:spacing w:before="40" w:after="160" w:line="240" w:lineRule="auto"/>
    </w:pPr>
    <w:rPr>
      <w:i/>
      <w:sz w:val="20"/>
      <w:szCs w:val="20"/>
    </w:rPr>
  </w:style>
  <w:style w:type="paragraph" w:styleId="Titulo1">
    <w:name w:val="heading 1"/>
    <w:basedOn w:val="Normal"/>
    <w:next w:val="Normal"/>
    <w:qFormat/>
    <w:pPr>
      <w:keepNext/>
      <w:jc w:val="left"/>
      <w:ind w:firstLine="0"/>
      <w:spacing w:before="360" w:after="240"/>
      <w:outlineLvl w:val="0"/>
    </w:pPr>
    <w:rPr>
      <w:b/>
      <w:caps/>
    </w:rPr>
  </w:style>
  <w:style w:type="paragraph" w:styleId="Titulo2">
    <w:name w:val="heading 2"/>
    <w:basedOn w:val="Normal"/>
    <w:next w:val="Normal"/>
    <w:qFormat/>
    <w:pPr>
      <w:keepNext/>
      <w:jc w:val="left"/>
      <w:ind w:firstLine="0"/>
      <w:spacing w:before="240" w:after="120"/>
      <w:outlineLvl w:val="1"/>
    </w:pPr>
    <w:rPr>
      <w:b/>
    </w:rPr>
  </w:style>
  <w:style w:type="paragraph" w:styleId="Resumo">
    <w:name w:val="Resumo"/>
    <w:basedOn w:val="Normal"/>
    <w:pPr>
      <w:jc w:val="both"/>
      <w:ind w:firstLine="0"/>
      <w:spacing w:before="80" w:after="60" w:line="240" w:lineRule="auto"/>
    </w:pPr>
    <w:rPr>
      <w:sz w:val="20"/>
      <w:szCs w:val="20"/>
    </w:rPr>
  </w:style>
  <w:style w:type="paragraph" w:styleId="PalavrasChave">
    <w:name w:val="PalavrasChave"/>
    <w:basedOn w:val="Normal"/>
    <w:pPr>
      <w:jc w:val="both"/>
      <w:ind w:firstLine="0"/>
      <w:spacing w:before="40" w:after="160" w:line="240" w:lineRule="auto"/>
    </w:pPr>
    <w:rPr>
      <w:sz w:val="20"/>
      <w:szCs w:val="20"/>
    </w:rPr>
  </w:style>
  <w:style w:type="paragraph" w:styleId="Legenda">
    <w:name w:val="caption"/>
    <w:basedOn w:val="Normal"/>
    <w:pPr>
      <w:keepNext/>
      <w:jc w:val="left"/>
      <w:ind w:firstLine="0"/>
      <w:spacing w:before="240" w:after="60" w:line="240" w:lineRule="auto"/>
    </w:pPr>
    <w:rPr>
      <w:sz w:val="20"/>
      <w:szCs w:val="20"/>
    </w:rPr>
  </w:style>
  <w:style w:type="paragraph" w:styleId="Fonte">
    <w:name w:val="Fonte"/>
    <w:basedOn w:val="Normal"/>
    <w:pPr>
      <w:jc w:val="both"/>
      <w:ind w:firstLine="0"/>
      <w:spacing w:before="60" w:after="60" w:line="240" w:lineRule="auto"/>
    </w:pPr>
    <w:rPr>
      <w:sz w:val="20"/>
      <w:szCs w:val="20"/>
    </w:rPr>
  </w:style>
  <w:style w:type="paragraph" w:styleId="TabelaTexto">
    <w:name w:val="Tabela texto"/>
    <w:basedOn w:val="Normal"/>
    <w:pPr>
      <w:jc w:val="left"/>
      <w:ind w:firstLine="0"/>
      <w:spacing w:before="30" w:after="30" w:line="240" w:lineRule="auto"/>
    </w:pPr>
    <w:rPr>
      <w:sz w:val="19"/>
      <w:szCs w:val="19"/>
    </w:rPr>
  </w:style>
  <w:style w:type="paragraph" w:styleId="TabelaTextoCentro">
    <w:name w:val="Tabela texto centro"/>
    <w:basedOn w:val="TabelaTexto"/>
    <w:pPr>
      <w:jc w:val="center"/>
    </w:pPr>
  </w:style>
  <w:style w:type="paragraph" w:styleId="TabelaCabecalho">
    <w:name w:val="Tabela cabecalho"/>
    <w:basedOn w:val="TabelaTexto"/>
    <w:pPr>
      <w:spacing w:before="40" w:after="40"/>
    </w:pPr>
    <w:rPr>
      <w:b/>
      <w:sz w:val="19"/>
      <w:szCs w:val="19"/>
    </w:rPr>
  </w:style>
  <w:style w:type="paragraph" w:styleId="TabelaCabecalhoCentro">
    <w:name w:val="Tabela cabecalho centro"/>
    <w:basedOn w:val="TabelaCabecalho"/>
    <w:pPr>
      <w:jc w:val="center"/>
    </w:pPr>
  </w:style>
  <w:style w:type="paragraph" w:styleId="Figura">
    <w:name w:val="Figura"/>
    <w:basedOn w:val="Normal"/>
    <w:pPr>
      <w:keepNext/>
      <w:jc w:val="center"/>
      <w:ind w:firstLine="0"/>
      <w:spacing w:line="240" w:lineRule="auto"/>
    </w:pPr>
  </w:style>
  <w:style w:type="paragraph" w:styleId="Referencia">
    <w:name w:val="Referencia"/>
    <w:basedOn w:val="Normal"/>
    <w:pPr>
      <w:jc w:val="left"/>
      <w:ind w:left="425" w:hanging="425"/>
      <w:spacing w:after="120" w:line="240" w:lineRule="auto"/>
    </w:pPr>
  </w:style>
</w:styles>
</file>

<file path=word/_rels/document.xml.rels><?xml version="1.0" encoding="UTF-8" standalone="yes"?>
<Relationships xmlns="http://schemas.openxmlformats.org/package/2006/relationships"><Relationship Id="rIdEstilos" Type="http://schemas.openxmlformats.org/officeDocument/2006/relationships/styles" Target="styles.xml"/><Relationship Id="rIdCabecalho" Type="http://schemas.openxmlformats.org/officeDocument/2006/relationships/header" Target="header1.xml"/><Relationship Id="rIdConfig"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Template>Normal.dotm</Template>
  <TotalTime>184</TotalTime>
  <Pages>12</Pages>
  <Words>4500</Words>
  <Characters>26000</Characters>
  <Application>Microsoft Macintosh Word</Application>
  <DocSecurity>0</DocSecurity>
  <Lines>210</Lines>
  <Paragraphs>85</Paragraphs>
  <ScaleCrop>false</ScaleCrop>
  <Company>Universidade</Company>
  <LinksUpToDate>false</LinksUpToDate>
  <CharactersWithSpaces>30400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Papel da Lipoproteína(a) na Síndrome Coronariana Aguda: Revisão Sistemática</dc:title>
  <dc:creator>Pesquisador Responsável</dc:creator>
  <cp:lastModifiedBy>Pesquisador Responsável</cp:lastModifiedBy>
  <cp:revision>3</cp:revision>
  <dcterms:created xsi:type="dcterms:W3CDTF">2026-09-24T21:20:39Z</dcterms:created>
  <dcterms:modified xsi:type="dcterms:W3CDTF">2026-10-01T21:20:39Z</dcterms:modified>
</cp:coreProperties>
</file>