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esta revisão sistemática analisou as evidências científicas sobre o papel da lipoproteína(a) elevada como preditor independente de eventos cardiovasculares adversos em adultos, detalhando sua relevância clínica e prognóstica no espectro da síndrome coronariana aguda.</w:t>
      </w:r>
    </w:p>
    <w:p>
      <w:pPr>
        <w:pStyle w:val="Normal"/>
      </w:pPr>
      <w:r>
        <w:t xml:space="preserve">Portanto, o objetivo deste estudo é sintetizar e analisar criticamente as evidências disponíveis na literatura científica sobre o tema, estabelecendo subsídios metodológicos para a prática clínica e tomada de decisão informada.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 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Integrativa</dc:title>
  <dc:creator>Autor</dc:creator>
  <cp:lastModifiedBy>Autor</cp:lastModifiedBy>
  <cp:revision>1</cp:revision>
  <dcterms:created xsi:type="dcterms:W3CDTF">2026-10-08T20:52:36Z</dcterms:created>
  <dcterms:modified xsi:type="dcterms:W3CDTF">2026-10-08T20:52:36Z</dcterms:modified>
</cp:coreProperties>
</file>