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Esther v0</w:t>
      </w:r>
    </w:p>
    <w:p>
      <w:pPr>
        <w:pStyle w:val="Subtitulo"/>
      </w:pPr>
      <w:r>
        <w:rPr>
          <w:i/>
        </w:rPr>
        <w:t xml:space="preserve">Serum lipoprotein(a) as an independent predictor of adverse cardiovascular events in adults: an integrative literature review</w:t>
      </w:r>
    </w:p>
    <w:p>
      <w:pPr>
        <w:pStyle w:val="Subtitulo"/>
      </w:pPr>
      <w:r>
        <w:rPr>
          <w:i/>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655356"/>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655356"/>
                    </a:xfrm>
                    <a:prstGeom prst="rect">
                      <a:avLst/>
                    </a:prstGeom>
                  </pic:spPr>
                </pic:pic>
              </a:graphicData>
            </a:graphic>
          </wp:inline>
        </w:drawing>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v0</dc:title>
  <dc:creator>Autor</dc:creator>
  <cp:lastModifiedBy>Autor</cp:lastModifiedBy>
  <cp:revision>1</cp:revision>
  <dcterms:created xsi:type="dcterms:W3CDTF">2026-10-08T21:03:51Z</dcterms:created>
  <dcterms:modified xsi:type="dcterms:W3CDTF">2026-10-08T21:03:51Z</dcterms:modified>
</cp:coreProperties>
</file>