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ulo"/>
      </w:pPr>
      <w:r>
        <w:t xml:space="preserve">Fatores associados à conversão da colecistectomia videolaparoscópica para cirurgia aberta: revisão integrativa da literatura</w:t>
      </w:r>
    </w:p>
    <w:p>
      <w:pPr>
        <w:pStyle w:val="Subtitulo"/>
      </w:pPr>
      <w:r>
        <w:rPr>
          <w:i/>
        </w:rPr>
        <w:t xml:space="preserve">Factors associated with conversion of laparoscopic cholecystectomy to open surgery: an integrative literature review</w:t>
      </w:r>
    </w:p>
    <w:p>
      <w:pPr>
        <w:pStyle w:val="Subtitulo"/>
      </w:pPr>
      <w:r>
        <w:rPr>
          <w:i/>
        </w:rPr>
        <w:t xml:space="preserve">Factores asociados a la conversión de la colecistectomía laparoscópica a cirugía abierta: revisión integrativa de la literatura</w:t>
      </w:r>
    </w:p>
    <w:p>
      <w:pPr>
        <w:pStyle w:val="Frontal"/>
      </w:pPr>
      <w:r>
        <w:rPr>
          <w:b/>
        </w:rPr>
        <w:t xml:space="preserve">Autores:</w:t>
      </w:r>
      <w:r>
        <w:t xml:space="preserve"> [Nome do Aluno]¹, [Nome do Orientador]²</w:t>
      </w:r>
    </w:p>
    <w:p>
      <w:pPr>
        <w:pStyle w:val="Afiliacao"/>
      </w:pPr>
      <w:r>
        <w:rPr>
          <w:i/>
        </w:rPr>
        <w:t xml:space="preserve">¹Discente do Curso de Medicina. ²Docente Orientador.</w:t>
      </w:r>
    </w:p>
    <w:p>
      <w:pPr>
        <w:pStyle w:val="Resumo"/>
      </w:pPr>
      <w:r>
        <w:rPr>
          <w:b/>
        </w:rPr>
        <w:t xml:space="preserve">RESUMO:</w:t>
      </w:r>
      <w:r>
        <w:t xml:space="preserve"> </w:t>
      </w:r>
      <w:r>
        <w:rPr>
          <w:b/>
        </w:rPr>
        <w:t xml:space="preserve">Objetivo:</w:t>
      </w:r>
      <w:r>
        <w:t xml:space="preserve"> Identificar e sintetizar os fatores pré-operatórios e intraoperatórios associados à conversão da colecistectomia videolaparoscópica para cirurgia aberta em adultos. </w:t>
      </w:r>
      <w:r>
        <w:rPr>
          <w:b/>
        </w:rPr>
        <w:t xml:space="preserve">Métodos:</w:t>
      </w:r>
      <w:r>
        <w:t xml:space="preserve"> Revisão integrativa da literatura com busca realizada em 25 de setembro de 2026 nas bases PubMed/MEDLINE, SciELO e LILACS, abrangendo publicações de 2021 a 2026 nos idiomas português, inglês e espanhol. Foram identificados 309 registros, triados 301 e incluídos 28 estudos. Quanto ao delineamento metodológico, observaram-se 14 coortes prospectivas, seis estudos transversais, quatro coortes retrospectivas, duas séries de casos, um estudo de caso-controle e um outro delineamento. </w:t>
      </w:r>
      <w:r>
        <w:rPr>
          <w:b/>
        </w:rPr>
        <w:t xml:space="preserve">Resultados:</w:t>
      </w:r>
      <w:r>
        <w:t xml:space="preserve"> Idade avançada, sexo masculino e cirurgia abdominal prévia associaram-se frequentemente à conversão. No pré-operatório, destacaram-se obesidade, diabetes mellitus tipo 2, manipulação biliar prévia (CPRE e drenagem percutânea), espessamento parietal da vesícula biliar (&gt;2 a &gt;7 mm), líquido perivesicular, vesícula contraída ou escleroatrófica, leucocitose, proteína C-reativa elevada e razão neutrófilo-linfócito aumentada. No intraoperatório, aderências densas no triângulo de Calot, anatomia distorcida, falha na obtenção da visão crítica de segurança, fístula colecistoentérica e menor experiência cirúrgica correlacionaram-se à necessidade de conversão. Escores de risco pré-operatórios e nomogramas apresentaram acurácia discriminativa satisfatória (AUC de 0,75 a 0,93). </w:t>
      </w:r>
      <w:r>
        <w:rPr>
          <w:b/>
        </w:rPr>
        <w:t xml:space="preserve">Conclusão:</w:t>
      </w:r>
      <w:r>
        <w:t xml:space="preserve"> A conversão resulta da interação complexa entre processo inflamatório agudo ou crônico, adversidade anatômica local e dificuldade técnica, demandando estratificação de risco multimodal rotineira para maior segurança cirúrgica.</w:t>
      </w:r>
    </w:p>
    <w:p>
      <w:pPr>
        <w:pStyle w:val="PalavrasChave"/>
      </w:pPr>
      <w:r>
        <w:rPr>
          <w:b/>
        </w:rPr>
        <w:t xml:space="preserve">Palavras-chave:</w:t>
      </w:r>
      <w:r>
        <w:t xml:space="preserve"> Colecistectomia videolaparoscópica; Conversão; Cirurgia aberta; Fatores preditores; Fatores de risco; Adulto.</w:t>
      </w:r>
    </w:p>
    <w:p>
      <w:pPr>
        <w:pStyle w:val="Resumo"/>
      </w:pPr>
      <w:r>
        <w:rPr>
          <w:b/>
        </w:rPr>
        <w:t xml:space="preserve">ABSTRACT:</w:t>
      </w:r>
      <w:r>
        <w:t xml:space="preserve"> </w:t>
      </w:r>
      <w:r>
        <w:rPr>
          <w:b/>
        </w:rPr>
        <w:t xml:space="preserve">Objective:</w:t>
      </w:r>
      <w:r>
        <w:t xml:space="preserve"> To identify and synthesize preoperative and intraoperative factors associated with conversion of laparoscopic cholecystectomy to open surgery in adults. </w:t>
      </w:r>
      <w:r>
        <w:rPr>
          <w:b/>
        </w:rPr>
        <w:t xml:space="preserve">Methods:</w:t>
      </w:r>
      <w:r>
        <w:t xml:space="preserve"> Integrative literature review with search performed on September 25, 2026, in PubMed/MEDLINE, SciELO, and LILACS, covering publications from 2021 to 2026 in Portuguese, English, and Spanish. A total of 309 records were identified, 301 screened, and 28 studies included. Study designs comprised 14 prospective cohorts, six cross-sectional studies, four retrospective cohorts, two case series, one case-control study, and one other design. </w:t>
      </w:r>
      <w:r>
        <w:rPr>
          <w:b/>
        </w:rPr>
        <w:t xml:space="preserve">Results:</w:t>
      </w:r>
      <w:r>
        <w:t xml:space="preserve"> Advanced age, male sex, and prior abdominal surgery were frequently associated with conversion. Preoperative predictors included obesity, type 2 diabetes mellitus, prior biliary interventions (ERCP and percutaneous drainage), gallbladder wall thickening (&gt;2 to &gt;7 mm), pericholecystic fluid, contracted or scleroatrophic gallbladder, leukocytosis, elevated C-reactive protein, and increased neutrophil-to-lymphocyte ratio. Intraoperatively, dense adhesions in Calot triangle, distorted anatomy, failure to achieve the critical view of safety, cholecystoenteric fistula, and less surgical experience correlated with conversion to open surgery. Preoperative risk scores and nomograms demonstrated satisfactory predictive accuracy (AUC 0.75 to 0.93). </w:t>
      </w:r>
      <w:r>
        <w:rPr>
          <w:b/>
        </w:rPr>
        <w:t xml:space="preserve">Conclusion:</w:t>
      </w:r>
      <w:r>
        <w:t xml:space="preserve"> Conversion results from a complex interplay between acute or chronic inflammation, adverse local anatomy, and technical difficulty, underscoring the need for routine multimodal risk stratification to improve surgical safety.</w:t>
      </w:r>
    </w:p>
    <w:p>
      <w:pPr>
        <w:pStyle w:val="PalavrasChave"/>
      </w:pPr>
      <w:r>
        <w:rPr>
          <w:b/>
        </w:rPr>
        <w:t xml:space="preserve">Keywords:</w:t>
      </w:r>
      <w:r>
        <w:t xml:space="preserve"> Laparoscopic cholecystectomy; Conversion; Open surgery; Predictive factors; Risk factors; Adult.</w:t>
      </w:r>
    </w:p>
    <w:p>
      <w:pPr>
        <w:pStyle w:val="Resumo"/>
      </w:pPr>
      <w:r>
        <w:rPr>
          <w:b/>
        </w:rPr>
        <w:t xml:space="preserve">RESUMEN:</w:t>
      </w:r>
      <w:r>
        <w:t xml:space="preserve"> </w:t>
      </w:r>
      <w:r>
        <w:rPr>
          <w:b/>
        </w:rPr>
        <w:t xml:space="preserve">Objetivo:</w:t>
      </w:r>
      <w:r>
        <w:t xml:space="preserve"> Identificar y sintetizar los factores preoperatorios e intraoperatorios asociados a la conversión de la colecistectomía laparoscópica a cirugía abierta en adultos. </w:t>
      </w:r>
      <w:r>
        <w:rPr>
          <w:b/>
        </w:rPr>
        <w:t xml:space="preserve">Métodos:</w:t>
      </w:r>
      <w:r>
        <w:t xml:space="preserve"> Revisión integrativa de la literatura con búsqueda realizada el 25 de septiembre de 2026 en las bases PubMed/MEDLINE, SciELO y LILACS, que abarcó publicaciones de 2021 a 2026 en portugués, inglés y español. Se identificaron 309 registros, 301 seleccionados y 28 estudios incluidos. En cuanto al diseño metodológico, se observaron 14 cohortes prospectivas, seis estudios transversales, cuatro cohortes retrospectivas, dos series de casos, un estudio de casos y controles y otro diseño. </w:t>
      </w:r>
      <w:r>
        <w:rPr>
          <w:b/>
        </w:rPr>
        <w:t xml:space="preserve">Conclusión:</w:t>
      </w:r>
      <w:r>
        <w:t xml:space="preserve"> La conversión resulta de la compleja interacción entre inflamación aguda o crónica, anatomía adversa y dificultad técnica, lo que exige una estratificación de riesgo rutinaria para garantizar una mayor seguridad quirúrgica.</w:t>
      </w:r>
    </w:p>
    <w:p>
      <w:pPr>
        <w:pStyle w:val="PalavrasChave"/>
      </w:pPr>
      <w:r>
        <w:rPr>
          <w:b/>
        </w:rPr>
        <w:t xml:space="preserve">Palabras clave:</w:t>
      </w:r>
      <w:r>
        <w:t xml:space="preserve"> Colecistectomía laparoscópica; Conversión; Cirugía abierta; Factores predictores; Factores de riesgo; Adulto.</w:t>
      </w:r>
    </w:p>
    <w:p>
      <w:pPr>
        <w:pStyle w:val="Titulo1"/>
      </w:pPr>
      <w:r>
        <w:t xml:space="preserve">1 Introdução</w:t>
      </w:r>
    </w:p>
    <w:p>
      <w:pPr>
        <w:pStyle w:val="Normal"/>
      </w:pPr>
      <w:r>
        <w:t xml:space="preserve">A colecistectomia videolaparoscópica firmou-se como padrão-ouro no tratamento da doença litiásica vesicular, com benefícios bem estabelecidos: menor dor pós-operatória, estada hospitalar reduzida e recuperação mais rápida. A conversão para cirurgia aberta, contudo, mantém relevância clínica e prognóstica, com taxas que oscilam entre as séries publicadas: 1,96% em colecistites agudas operadas precocemente [1], 2,2% em série institucional de 317 pacientes [2], 3,3% em casuísticas eletivas e de urgência [3,4], 4,49% em coortes avaliadas pela escala de Parkland [5], 4,54% em hospital terciário mexicano [6], 6,9% em hospital de referência [7], 9,5% a 9,6% em serviços de cirurgia geral [8,9] e até 10,4% a 11,25% em pacientes com colecistite de maior complexidade técnica [10,11]. Além de prolongar a permanência hospitalar [1,3,7,12] e elevar a morbidade pós-operatória, a necessidade de conversão reflete cenários de elevada adversidade anatômica e inflamatória. Identificar precocemente os pacientes sob maior propensão a esse desfecho impõe-se, assim, como requisito para o planejamento cirúrgico adequado, alocação de recursos, escalonamento da equipe e consentimento informado transparente.</w:t>
      </w:r>
    </w:p>
    <w:p>
      <w:pPr>
        <w:pStyle w:val="Normal"/>
      </w:pPr>
      <w:r>
        <w:t xml:space="preserve">A literatura recente reúne multiplicidade de fatores preditores — demográficos, clínicos, laboratoriais, radiológicos e intraoperatórios. Estudos observacionais situam a idade avançada [3,8,13-16], frequentemente com cortes acima de 50 ou 60 anos, e o sexo masculino [3,10,13,15,16] entre os determinantes clínicos mais frequentemente associados à colecistectomia difícil e à conversão; o sexo feminino também foi identificado como fator associado em série mexicana com predomínio de colecistite complicada [8]. Comorbidades como obesidade e índice de massa corporal elevado figuram como preditores em diversas coortes [4,13,14,17,18], além de sobrepeso [8] e diabetes mellitus tipo 2 [19]. O histórico de cirurgias abdominais prévias, sobretudo após procedimentos de abdome superior, associou-se fortemente à conversão e à presença de aderências densas [10,11,15]. Intervenções prévias na via biliar, como a colangiopancreatografia retrógrada endoscópica [16] e a drenagem percutânea da vesícula biliar [20], configuram cenários de complexidade adicional. No contexto de urgência, episódios prévios recorrentes de colecistite [21,22] e o retardo na abordagem cirúrgica associam-se a taxas significativamente maiores de conversão [1,3].</w:t>
      </w:r>
    </w:p>
    <w:p>
      <w:pPr>
        <w:pStyle w:val="Normal"/>
      </w:pPr>
      <w:r>
        <w:t xml:space="preserve">Achados ultrassonográficos e laboratoriais adensam a estratificação de risco pré-operatória. O espessamento da parede vesicular associa-se de forma consistente à conversão [4,9,12,17,22-25], com pontos de corte definidos entre &gt;2 mm e &gt;7 mm entre os estudos que os investigaram [4,23-25], bem como a presença de líquido perivesicular [4,25,26], cálculo impactado no infundíbulo [4,13,22] e vesícula contraída ou escleroatrófica [9,15,18,21]. Marcadores inflamatórios sistêmicos — proteína C-reativa (PCR) elevada, leucocitose e razão neutrófilo-linfócito (RNL) — associaram-se à conversão e a maior dificuldade técnica [8,14,19,20,26,27], com a PCR exibindo valores significativamente superiores nos pacientes convertidos [8,20,26,27], enquanto índices compostos do hemograma previram maior gravidade pela escala de Parkland [19]. Alterações de enzimas canaliculares e bilirrubinas também se vincularam a desfechos adversos [5,8,11,13]. Intraoperatoriamente, aderências firmes no triângulo de Calot [2,11,26], incapacidade de obter a visão crítica de segurança [11], inflamação aguda grave estratificada por escalas visuais [5,17,19], coledocolitíase [11,15], lesão de via biliar [8] e a menor experiência do cirurgião [8,17] despontam como causas ou fatores diretamente determinantes da conversão.</w:t>
      </w:r>
    </w:p>
    <w:p>
      <w:pPr>
        <w:pStyle w:val="Normal"/>
      </w:pPr>
      <w:r>
        <w:t xml:space="preserve">Apesar do crescente volume de publicações, persistem heterogeneidades metodológicas expressivas: disparidades conceituais na caracterização de colecistectomia difícil, ampla variação nos limiares de variáveis contínuas laboratoriais e ultrassonográficas, e carência de validação cruzada externa para a maioria dos escores preditivos multivariados. A consolidação dos achados de estudos recentes e de diversas realidades geográficas é essencial para sintetizar a hierarquia de risco cirúrgico.</w:t>
      </w:r>
    </w:p>
    <w:p>
      <w:pPr>
        <w:pStyle w:val="Normal"/>
      </w:pPr>
      <w:r>
        <w:t xml:space="preserve">Diante do exposto, o objetivo deste estudo foi realizar uma revisão integrativa da literatura para identificar e sintetizar os fatores pré-operatórios e intraoperatórios associados à conversão da colecistectomia videolaparoscópica para cirurgia aberta em adultos, consolidando a melhor evidência disponível para subsidiar a tomada de decisão clínica e o planejamento cirúrgico seguro.</w:t>
      </w:r>
    </w:p>
    <w:p>
      <w:pPr>
        <w:pStyle w:val="Titulo1"/>
      </w:pPr>
      <w:r>
        <w:t xml:space="preserve">2 Métodos</w:t>
      </w:r>
    </w:p>
    <w:p>
      <w:pPr>
        <w:pStyle w:val="Titulo2"/>
      </w:pPr>
      <w:r>
        <w:t xml:space="preserve">2.1 Tipo de estudo e pergunta norteadora</w:t>
      </w:r>
    </w:p>
    <w:p>
      <w:pPr>
        <w:pStyle w:val="Normal"/>
      </w:pPr>
      <w:r>
        <w:t xml:space="preserve">Trata-se de uma revisão integrativa da literatura, relatada com base nos itens aplicáveis da declaração PRISMA 2020 [28]. A pergunta norteadora foi estruturada pelo acrônimo PICoS, considerando como população (P) Adultos submetidos à colecistectomia videolaparoscópica eletiva ou de urgência; como fenômeno de interesse (I) Fatores pré-operatórios (demográficos, clínicos, laboratoriais, imagiológicos) e intraoperatórios (encontrados cirúrgicos, dificuldades técnicas, eventos adversos); como contexto (Co) Serviços de cirurgia geral em ambiente hospitalar; e como tipos de estudo (S) Estudos primários observacionais (coorte, caso-controle, transversal) e ensaios clínicos. Assim, formulou-se a seguinte questão: Quais fatores pré-operatórios e intraoperatórios estão associados à conversão da colecistectomia videolaparoscópica para cirurgia aberta em adultos?</w:t>
      </w:r>
    </w:p>
    <w:p>
      <w:pPr>
        <w:pStyle w:val="Titulo2"/>
      </w:pPr>
      <w:r>
        <w:t xml:space="preserve">2.2 Bases de dados e data da busca</w:t>
      </w:r>
    </w:p>
    <w:p>
      <w:pPr>
        <w:pStyle w:val="Normal"/>
      </w:pPr>
      <w:r>
        <w:t xml:space="preserve">A busca foi realizada nas bases PubMed/MEDLINE, SciELO e LILACS. O PubMed/MEDLINE foi consultado por meio da interface de programação oficial E-utilities do National Center for Biotechnology Information (NCBI); o SciELO, por meio do portal de busca integrado da rede (search.scielo.org); e o LILACS, por meio do Portal Regional da Biblioteca Virtual em Saúde (pesquisa.bvsalud.org). A busca final foi executada em 25 de setembro de 2026. A data é informada porque as bases são atualizadas continuamente, de modo que buscas posteriores com as mesmas estratégias podem retornar números ligeiramente diferentes.</w:t>
      </w:r>
    </w:p>
    <w:p>
      <w:pPr>
        <w:pStyle w:val="Titulo2"/>
      </w:pPr>
      <w:r>
        <w:t xml:space="preserve">2.3 Descritores e estratégias de busca</w:t>
      </w:r>
    </w:p>
    <w:p>
      <w:pPr>
        <w:pStyle w:val="Normal"/>
      </w:pPr>
      <w:r>
        <w:t xml:space="preserve">Foram utilizados descritores controlados do Medical Subject Headings (MeSH) — "Cholecystectomy, Laparoscopic", "Conversion to Open Surgery", "Risk Factors" — e dos Descritores em Ciências da Saúde (DeCS) — "Colecistectomia Videolaparoscópica", "Fatores de Risco" —, combinados a sinônimos e palavras-chave por meio dos operadores booleanos AND e OR. As estratégias exatas, os filtros aplicados e o número de registros recuperados em cada base estão apresentados no Quadro 1.</w:t>
      </w:r>
    </w:p>
    <w:p>
      <w:pPr>
        <w:pStyle w:val="Legenda"/>
      </w:pPr>
      <w:r>
        <w:rPr>
          <w:b/>
        </w:rPr>
        <w:t xml:space="preserve">Quadro 1 –</w:t>
      </w:r>
      <w:r>
        <w:t xml:space="preserve"> Estratégias de busca, filtros aplicados e registros identificados por base de dados</w:t>
      </w:r>
    </w:p>
    <w:tbl>
      <w:tblPr>
        <w:tblW w:w="9071" w:type="dxa"/>
        <w:jc w:val="center"/>
        <w:tblLayout w:type="fixed"/>
        <w:tblBorders>
          <w:top w:val="single" w:sz="6" w:space="0" w:color="4A5568"/>
          <w:left w:val="single" w:sz="6" w:space="0" w:color="4A5568"/>
          <w:bottom w:val="single" w:sz="6" w:space="0" w:color="4A5568"/>
          <w:right w:val="single" w:sz="6" w:space="0" w:color="4A5568"/>
          <w:insideH w:val="single" w:sz="4" w:space="0" w:color="CBD5E0"/>
          <w:insideV w:val="single" w:sz="4" w:space="0" w:color="CBD5E0"/>
        </w:tblBorders>
        <w:tblCellMar>
          <w:top w:w="120" w:type="dxa"/>
          <w:bottom w:w="120" w:type="dxa"/>
          <w:left w:w="150" w:type="dxa"/>
          <w:right w:w="150" w:type="dxa"/>
        </w:tblCellMar>
      </w:tblPr>
      <w:tblGrid>
        <w:gridCol w:w="1451"/>
        <w:gridCol w:w="4173"/>
        <w:gridCol w:w="2358"/>
        <w:gridCol w:w="1089"/>
      </w:tblGrid>
      <w:tr>
        <w:trPr>
          <w:cantSplit/>
          <w:tblHeader/>
        </w:trPr>
        <w:tc>
          <w:tcPr>
            <w:tcW w:w="1451" w:type="dxa"/>
            <w:shd w:val="clear" w:color="auto" w:fill="EDF2F7"/>
            <w:vAlign w:val="center"/>
          </w:tcPr>
          <w:p>
            <w:pPr>
              <w:pStyle w:val="TabelaCabecalho"/>
              <w:jc w:val="left"/>
            </w:pPr>
            <w:r>
              <w:t xml:space="preserve">Base</w:t>
            </w:r>
          </w:p>
        </w:tc>
        <w:tc>
          <w:tcPr>
            <w:tcW w:w="4173" w:type="dxa"/>
            <w:shd w:val="clear" w:color="auto" w:fill="EDF2F7"/>
            <w:vAlign w:val="center"/>
          </w:tcPr>
          <w:p>
            <w:pPr>
              <w:pStyle w:val="TabelaCabecalho"/>
              <w:jc w:val="left"/>
            </w:pPr>
            <w:r>
              <w:t xml:space="preserve">Estratégia de busca</w:t>
            </w:r>
          </w:p>
        </w:tc>
        <w:tc>
          <w:tcPr>
            <w:tcW w:w="2358" w:type="dxa"/>
            <w:shd w:val="clear" w:color="auto" w:fill="EDF2F7"/>
            <w:vAlign w:val="center"/>
          </w:tcPr>
          <w:p>
            <w:pPr>
              <w:pStyle w:val="TabelaCabecalho"/>
              <w:jc w:val="left"/>
            </w:pPr>
            <w:r>
              <w:t xml:space="preserve">Filtros aplicados</w:t>
            </w:r>
          </w:p>
        </w:tc>
        <w:tc>
          <w:tcPr>
            <w:tcW w:w="1089" w:type="dxa"/>
            <w:shd w:val="clear" w:color="auto" w:fill="EDF2F7"/>
            <w:vAlign w:val="center"/>
          </w:tcPr>
          <w:p>
            <w:pPr>
              <w:pStyle w:val="TabelaCabecalhoCentro"/>
              <w:jc w:val="center"/>
            </w:pPr>
            <w:r>
              <w:t xml:space="preserve">Registros (n)</w:t>
            </w:r>
          </w:p>
        </w:tc>
      </w:tr>
      <w:tr>
        <w:trPr>
          <w:cantSplit/>
        </w:trPr>
        <w:tc>
          <w:tcPr>
            <w:tcW w:w="1451" w:type="dxa"/>
            <w:vAlign w:val="top"/>
          </w:tcPr>
          <w:p>
            <w:pPr>
              <w:pStyle w:val="TabelaTexto"/>
              <w:jc w:val="left"/>
            </w:pPr>
            <w:r>
              <w:t xml:space="preserve">PubMed/MEDLINE</w:t>
            </w:r>
          </w:p>
        </w:tc>
        <w:tc>
          <w:tcPr>
            <w:tcW w:w="4173" w:type="dxa"/>
            <w:vAlign w:val="top"/>
          </w:tcPr>
          <w:p>
            <w:pPr>
              <w:pStyle w:val="TabelaTexto"/>
              <w:jc w:val="left"/>
            </w:pPr>
            <w:r>
              <w:t xml:space="preserve">(("Cholecystectomy, Laparoscopic"[MeSH Terms] OR "laparoscopic cholecystectomy"[tiab] OR "lap chole"[tiab]) AND ("Conversion to Open Surgery"[MeSH Terms] OR conversion[tiab] OR converted[tiab] OR "open surgery"[tiab] OR laparotomy[tiab]) AND ("Risk Factors"[MeSH Terms] OR "Predictive Factors"[MeSH Terms] OR predictor*[tiab] OR "risk factor*"[tiab] OR preoperative[tiab] OR intraoperative[tiab] OR "pre-operative"[tiab] OR "intra-operative"[tiab] OR "gallbladder wall thickness"[tiab] OR "pericholecystic fluid"[tiab] OR adhesions[tiab] OR "Calot's triangle"[tiab] OR "bile duct injury"[tiab] OR hemorrhage[tiab])) AND ("2021/01/01"[dp]: "3000"[dp]) AND (portuguese[la] OR english[la] OR spanish[la]) AND "free full text"[Filter] NOT (review[pt] OR "systematic review"[pt] OR "meta-analysis"[pt] OR editorial[pt] OR letter[pt] OR comment[pt] OR "practice guideline"[pt] OR "case reports"[pt])</w:t>
            </w:r>
          </w:p>
        </w:tc>
        <w:tc>
          <w:tcPr>
            <w:tcW w:w="2358" w:type="dxa"/>
            <w:vAlign w:val="top"/>
          </w:tcPr>
          <w:p>
            <w:pPr>
              <w:pStyle w:val="TabelaTexto"/>
              <w:jc w:val="left"/>
            </w:pPr>
            <w:r>
              <w:t xml:space="preserve">Descritos na própria estratégia (período, idiomas, texto completo gratuito e tipos de publicação excluídos).</w:t>
            </w:r>
          </w:p>
        </w:tc>
        <w:tc>
          <w:tcPr>
            <w:tcW w:w="1089" w:type="dxa"/>
            <w:vAlign w:val="top"/>
          </w:tcPr>
          <w:p>
            <w:pPr>
              <w:pStyle w:val="TabelaTextoCentro"/>
              <w:jc w:val="center"/>
            </w:pPr>
            <w:r>
              <w:t xml:space="preserve">284</w:t>
            </w:r>
          </w:p>
        </w:tc>
      </w:tr>
      <w:tr>
        <w:trPr>
          <w:cantSplit/>
        </w:trPr>
        <w:tc>
          <w:tcPr>
            <w:tcW w:w="1451" w:type="dxa"/>
            <w:vAlign w:val="top"/>
          </w:tcPr>
          <w:p>
            <w:pPr>
              <w:pStyle w:val="TabelaTexto"/>
              <w:jc w:val="left"/>
            </w:pPr>
            <w:r>
              <w:t xml:space="preserve">SciELO</w:t>
            </w:r>
          </w:p>
        </w:tc>
        <w:tc>
          <w:tcPr>
            <w:tcW w:w="4173" w:type="dxa"/>
            <w:vAlign w:val="top"/>
          </w:tcPr>
          <w:p>
            <w:pPr>
              <w:pStyle w:val="TabelaTexto"/>
              <w:jc w:val="left"/>
            </w:pPr>
            <w:r>
              <w:t xml:space="preserve">((colecistectomia OR cholecystectomy OR colecistectomía) AND (laparoscópica OR laparoscopica OR laparoscopic OR laparoscópico OR laparoscopia OR laparoscopía)) AND (conversão OR conversao OR conversion OR conversión OR "conversão de cirurgia laparoscópica" OR "conversion to open surgery" OR "conversión a cirugía abierta") AND ("fatores de risco" OR "factores de riesgo" OR "risk factors" OR prognóstico OR prognostico OR prognosis OR preditores OR predictores OR predictors OR preoperatório OR preoperatorio OR preoperative OR intraoperatório OR intraoperatorio OR intraoperative)</w:t>
            </w:r>
          </w:p>
        </w:tc>
        <w:tc>
          <w:tcPr>
            <w:tcW w:w="2358" w:type="dxa"/>
            <w:vAlign w:val="top"/>
          </w:tcPr>
          <w:p>
            <w:pPr>
              <w:pStyle w:val="TabelaTexto"/>
              <w:jc w:val="left"/>
            </w:pPr>
            <w:r>
              <w:t xml:space="preserve">Ano de publicação: 2021 a 2026; idiomas: pt, en, es. Todos os artigos da rede SciELO são de acesso aberto.</w:t>
            </w:r>
          </w:p>
        </w:tc>
        <w:tc>
          <w:tcPr>
            <w:tcW w:w="1089" w:type="dxa"/>
            <w:vAlign w:val="top"/>
          </w:tcPr>
          <w:p>
            <w:pPr>
              <w:pStyle w:val="TabelaTextoCentro"/>
              <w:jc w:val="center"/>
            </w:pPr>
            <w:r>
              <w:t xml:space="preserve">11</w:t>
            </w:r>
          </w:p>
        </w:tc>
      </w:tr>
      <w:tr>
        <w:trPr>
          <w:cantSplit/>
        </w:trPr>
        <w:tc>
          <w:tcPr>
            <w:tcW w:w="1451" w:type="dxa"/>
            <w:vAlign w:val="top"/>
          </w:tcPr>
          <w:p>
            <w:pPr>
              <w:pStyle w:val="TabelaTexto"/>
              <w:jc w:val="left"/>
            </w:pPr>
            <w:r>
              <w:t xml:space="preserve">LILACS</w:t>
            </w:r>
          </w:p>
        </w:tc>
        <w:tc>
          <w:tcPr>
            <w:tcW w:w="4173" w:type="dxa"/>
            <w:vAlign w:val="top"/>
          </w:tcPr>
          <w:p>
            <w:pPr>
              <w:pStyle w:val="TabelaTexto"/>
              <w:jc w:val="left"/>
            </w:pPr>
            <w:r>
              <w:t xml:space="preserve">(colecistectomia laparoscópica OR colecistectomia videolaparoscópica OR laparoscopic cholecystectomy OR colecistectomía laparoscópica) AND (conversão OR conversion OR conversión OR cirurgia aberta OR open surgery OR cirugía abierta)</w:t>
            </w:r>
          </w:p>
        </w:tc>
        <w:tc>
          <w:tcPr>
            <w:tcW w:w="2358" w:type="dxa"/>
            <w:vAlign w:val="top"/>
          </w:tcPr>
          <w:p>
            <w:pPr>
              <w:pStyle w:val="TabelaTexto"/>
              <w:jc w:val="left"/>
            </w:pPr>
            <w:r>
              <w:t xml:space="preserve">Base de dados: LILACS; ano de publicação: 2021 a 2026; idiomas: pt, en, es; texto completo disponível.</w:t>
            </w:r>
          </w:p>
        </w:tc>
        <w:tc>
          <w:tcPr>
            <w:tcW w:w="1089" w:type="dxa"/>
            <w:vAlign w:val="top"/>
          </w:tcPr>
          <w:p>
            <w:pPr>
              <w:pStyle w:val="TabelaTextoCentro"/>
              <w:jc w:val="center"/>
            </w:pPr>
            <w:r>
              <w:t xml:space="preserve">14</w:t>
            </w:r>
          </w:p>
        </w:tc>
      </w:tr>
    </w:tbl>
    <w:p>
      <w:pPr>
        <w:pStyle w:val="Fonte"/>
      </w:pPr>
      <w:r>
        <w:t xml:space="preserve">Fonte: Elaborado pelos autores (2026).</w:t>
      </w:r>
    </w:p>
    <w:p>
      <w:pPr>
        <w:pStyle w:val="Fonte"/>
        <w:spacing w:after="240"/>
      </w:pPr>
      <w:r>
        <w:t xml:space="preserve">Nota: busca realizada em 25 de setembro de 2026. No PubMed, os filtros de período, idioma, texto completo gratuito e tipo de publicação estão escritos na própria estratégia.</w:t>
      </w:r>
    </w:p>
    <w:p>
      <w:pPr>
        <w:pStyle w:val="Titulo2"/>
      </w:pPr>
      <w:r>
        <w:t xml:space="preserve">2.4 Critérios de elegibilidade</w:t>
      </w:r>
    </w:p>
    <w:p>
      <w:pPr>
        <w:pStyle w:val="Normal"/>
      </w:pPr>
      <w:r>
        <w:t xml:space="preserve">Foram incluídos estudos primários, observacionais ou de intervenção, publicados entre 2021 e 2026, nos idiomas português, inglês e espanhol, com texto completo disponível gratuitamente, que abordassem diretamente a pergunta norteadora (Estudos primários que avaliaram fatores pré-operatórios e/ou intraoperatórios associados à conversão de colecistectomia videolaparoscópica para cirurgia aberta em população adulta). Foram excluídos revisões de literatura (narrativas, integrativas, sistemáticas e metanálises), editoriais, cartas, comentários, diretrizes, resumos de congresso, relatos de caso, publicações retratadas, registros sem resumo disponível e estudos sem dados de desfecho relacionados ao tema (Estudos que não discriminaram fatores preditores independentes, relatos de caso, séries de casos com menos de 10 pacientes, estudos exclusivamente pediátricos, revisões sistemáticas, meta-análises, cartas ao editor, comentários e estudos em idiomas diferentes do português, inglês ou espanhol).</w:t>
      </w:r>
    </w:p>
    <w:p>
      <w:pPr>
        <w:pStyle w:val="Titulo2"/>
      </w:pPr>
      <w:r>
        <w:t xml:space="preserve">2.5 Seleção dos estudos e extração dos dados</w:t>
      </w:r>
    </w:p>
    <w:p>
      <w:pPr>
        <w:pStyle w:val="Normal"/>
      </w:pPr>
      <w:r>
        <w:t xml:space="preserve">Os registros recuperados foram reunidos e as duplicatas foram removidas por identificador (DOI e PMID) e por similaridade de título. A seleção foi conduzida pelos pesquisadores mediante triagem criteriosa de títulos e resumos, aplicando-se os critérios de elegibilidade a cada registro e documentando-se o motivo de cada exclusão. Os dados dos estudos incluídos (autoria, ano, país, delineamento, amostra, variáveis e principais achados) foram minuciosamente extraídos pelos autores para formulário padronizado, com conferência integral de todos os valores numéricos diretamente nas fontes de origem. Os 11 registros das bases regionais (SciELO e LILACS) excluídos na primeira triagem por não abordarem o tema, a população ou o desfecho passaram por segunda avaliação independente, que resultou na reinclusão de 4 registros. Por viabilidade de síntese, a inclusão foi limitada a 28 estudos: priorizaram-se os estudos das bases regionais e, em seguida, os de maior relevância para a pergunta, delineamento mais robusto e publicação mais recente, de modo que 87 estudos elegíveis de menor prioridade não foram incluídos.</w:t>
      </w:r>
    </w:p>
    <w:p>
      <w:pPr>
        <w:pStyle w:val="Titulo2"/>
      </w:pPr>
      <w:r>
        <w:t xml:space="preserve">2.6 Verificação da autenticidade das referências</w:t>
      </w:r>
    </w:p>
    <w:p>
      <w:pPr>
        <w:pStyle w:val="Normal"/>
      </w:pPr>
      <w:r>
        <w:t xml:space="preserve">Antes da síntese, cada estudo elegível teve sua existência e seus metadados conferidos de forma independente na fonte original: no PubMed, por nova consulta ao registro pelo PMID, com verificação do status de retratação; no SciELO, por consulta à interface ArticleMeta e abertura da página do artigo; e no LILACS, por abertura da página do registro no Portal Regional da BVS. Quando disponível, o DOI foi conferido na base Crossref, incluindo avisos de retratação. Foram excluídos os registros cuja existência, título ou status não puderam ser confirmados.</w:t>
      </w:r>
    </w:p>
    <w:p>
      <w:pPr>
        <w:pStyle w:val="Titulo2"/>
      </w:pPr>
      <w:r>
        <w:t xml:space="preserve">2.7 Avaliação da qualidade metodológica</w:t>
      </w:r>
    </w:p>
    <w:p>
      <w:pPr>
        <w:pStyle w:val="Normal"/>
      </w:pPr>
      <w:r>
        <w:t xml:space="preserve">Os estudos incluídos foram caracterizados segundo o delineamento, conforme apresentado na Tabela 1 e sintetizado na seção de resultados.</w:t>
      </w:r>
    </w:p>
    <w:p>
      <w:pPr>
        <w:pStyle w:val="Titulo2"/>
      </w:pPr>
      <w:r>
        <w:t xml:space="preserve">2.8 Síntese dos dados</w:t>
      </w:r>
    </w:p>
    <w:p>
      <w:pPr>
        <w:pStyle w:val="Normal"/>
      </w:pPr>
      <w:r>
        <w:t xml:space="preserve">Os achados foram sintetizados de forma descritiva e temática, organizados nos seguintes eixos: Fatores demográficos e clínicos pré-operatórios (idade, sexo, índice de massa corporal [IMC], comorbidades, cirurgias abdominais prévias); Fatores laboratoriais e de imagem pré-operatórios (leucocitose, PCR, bilirrubinas, espessura da parede vesicular, líquido perivesicular, litíase de colédoco); Fatores intraoperatórios e anatômicos (aderências, anatomia do triângulo de Calot, sangramento, lesão de via biliar, inflamação aguda); Escores preditivos e modelos de risco validados; Desfechos pós-operatórios associados à conversão (tempo de internação, complicações, mortalidade, custo), com cada estudo alocado ao eixo predominante (Tabela 2). Em razão da heterogeneidade de delineamentos e desfechos, não se realizou metanálise.</w:t>
      </w:r>
    </w:p>
    <w:p>
      <w:pPr>
        <w:pStyle w:val="Titulo1"/>
      </w:pPr>
      <w:r>
        <w:t xml:space="preserve">3 Resultados</w:t>
      </w:r>
    </w:p>
    <w:p>
      <w:pPr>
        <w:pStyle w:val="Titulo2"/>
      </w:pPr>
      <w:r>
        <w:t xml:space="preserve">3.1 Seleção dos estudos</w:t>
      </w:r>
    </w:p>
    <w:p>
      <w:pPr>
        <w:pStyle w:val="Normal"/>
      </w:pPr>
      <w:r>
        <w:t xml:space="preserve">A busca nas bases de dados resultou em 309 registros (PubMed/MEDLINE: 284; SciELO: 11; LILACS: 14). Após a remoção de duplicados (7) e publicações retratadas (1), 301 registros foram triados por título e resumo, e 186 foram excluídos: fora do tema (146), estudo não primário (11), população inadequada (10), sem dados de desfecho (10) e relato de caso (9). Na segunda avaliação dos 11 registros regionais excluídos, 4 foram reincluídos. Dos 115 registros elegíveis, 87 de menor relevância para a pergunta não foram incluídos, por viabilidade de síntese. Os 28 registros restantes tiveram existência e metadados verificados na fonte original, sem exclusões nessa etapa. Ao final, 28 estudos foram incluídos nesta revisão (Figura 1).</w:t>
      </w:r>
    </w:p>
    <w:p>
      <w:pPr>
        <w:pStyle w:val="Legenda"/>
      </w:pPr>
      <w:r>
        <w:rPr>
          <w:b/>
        </w:rPr>
        <w:t xml:space="preserve">Figura 1 –</w:t>
      </w:r>
      <w:r>
        <w:t xml:space="preserve"> Fluxograma de identificação, triagem e inclusão dos estudos, segundo a declaração PRISMA 2020</w:t>
      </w:r>
    </w:p>
    <w:p>
      <w:pPr>
        <w:pStyle w:val="Figura"/>
      </w:pPr>
      <w:r>
        <w:drawing>
          <wp:inline distT="0" distB="0" distL="0" distR="0">
            <wp:extent cx="5760085" cy="5509899"/>
            <wp:docPr id="1" name="Figura 1"/>
            <a:graphic xmlns:a="http://schemas.openxmlformats.org/drawingml/2006/main">
              <a:graphicData uri="http://schemas.openxmlformats.org/drawingml/2006/picture">
                <pic:pic xmlns:pic="http://schemas.openxmlformats.org/drawingml/2006/picture">
                  <pic:nvPicPr>
                    <pic:cNvPr id="1" name="fluxograma-prisma.png"/>
                    <pic:cNvPicPr/>
                  </pic:nvPicPr>
                  <pic:blipFill>
                    <a:blip r:embed="rIdImg1"/>
                    <a:stretch>
                      <a:fillRect/>
                    </a:stretch>
                  </pic:blipFill>
                  <pic:spPr>
                    <a:xfrm>
                      <a:off x="0" y="0"/>
                      <a:ext cx="5760085" cy="5509899"/>
                    </a:xfrm>
                    <a:prstGeom prst="rect">
                      <a:avLst/>
                    </a:prstGeom>
                  </pic:spPr>
                </pic:pic>
              </a:graphicData>
            </a:graphic>
          </wp:inline>
        </w:drawing>
      </w:r>
    </w:p>
    <w:p>
      <w:pPr>
        <w:pStyle w:val="Fonte"/>
        <w:spacing w:after="240"/>
      </w:pPr>
      <w:r>
        <w:t xml:space="preserve">Fonte: Adaptado de Page et al. [28].</w:t>
      </w:r>
    </w:p>
    <w:p>
      <w:pPr>
        <w:pStyle w:val="Titulo2"/>
      </w:pPr>
      <w:r>
        <w:t xml:space="preserve">3.2 Caracterização dos estudos incluídos</w:t>
      </w:r>
    </w:p>
    <w:p>
      <w:pPr>
        <w:sectPr>
          <w:headerReference w:type="default" r:id="rIdCabecalho"/>
          <w:pgSz w:w="11906" w:h="16838"/>
          <w:pgMar w:top="1701" w:right="1134" w:bottom="1134" w:left="1701" w:header="709" w:footer="709" w:gutter="0"/>
          <w:titlePg/>
        </w:sectPr>
      </w:pPr>
    </w:p>
    <w:p>
      <w:pPr>
        <w:pStyle w:val="Legenda"/>
      </w:pPr>
      <w:r>
        <w:rPr>
          <w:b/>
        </w:rPr>
        <w:t xml:space="preserve">Tabela 1 –</w:t>
      </w:r>
      <w:r>
        <w:t xml:space="preserve"> Caracterização dos 28 estudos incluídos, segundo autoria, país, delineamento, variáveis e principais achados</w:t>
      </w:r>
    </w:p>
    <w:tbl>
      <w:tblPr>
        <w:tblW w:w="14003"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2100"/>
        <w:gridCol w:w="1260"/>
        <w:gridCol w:w="2801"/>
        <w:gridCol w:w="2521"/>
        <w:gridCol w:w="2100"/>
        <w:gridCol w:w="3221"/>
      </w:tblGrid>
      <w:tr>
        <w:trPr>
          <w:cantSplit/>
          <w:tblHeader/>
        </w:trPr>
        <w:tc>
          <w:tcPr>
            <w:tcW w:w="2100" w:type="dxa"/>
            <w:tcBorders>
              <w:bottom w:val="single" w:sz="8" w:space="0" w:color="000000"/>
            </w:tcBorders>
            <w:shd w:val="clear" w:color="auto" w:fill="F8F9FA"/>
            <w:vAlign w:val="center"/>
          </w:tcPr>
          <w:p>
            <w:pPr>
              <w:pStyle w:val="TabelaCabecalho"/>
              <w:jc w:val="left"/>
            </w:pPr>
            <w:r>
              <w:t xml:space="preserve">Autor/Ano</w:t>
            </w:r>
          </w:p>
        </w:tc>
        <w:tc>
          <w:tcPr>
            <w:tcW w:w="1260" w:type="dxa"/>
            <w:tcBorders>
              <w:bottom w:val="single" w:sz="8" w:space="0" w:color="000000"/>
            </w:tcBorders>
            <w:shd w:val="clear" w:color="auto" w:fill="F8F9FA"/>
            <w:vAlign w:val="center"/>
          </w:tcPr>
          <w:p>
            <w:pPr>
              <w:pStyle w:val="TabelaCabecalhoCentro"/>
              <w:jc w:val="center"/>
            </w:pPr>
            <w:r>
              <w:t xml:space="preserve">País</w:t>
            </w:r>
          </w:p>
        </w:tc>
        <w:tc>
          <w:tcPr>
            <w:tcW w:w="2801" w:type="dxa"/>
            <w:tcBorders>
              <w:bottom w:val="single" w:sz="8" w:space="0" w:color="000000"/>
            </w:tcBorders>
            <w:shd w:val="clear" w:color="auto" w:fill="F8F9FA"/>
            <w:vAlign w:val="center"/>
          </w:tcPr>
          <w:p>
            <w:pPr>
              <w:pStyle w:val="TabelaCabecalho"/>
              <w:jc w:val="left"/>
            </w:pPr>
            <w:r>
              <w:t xml:space="preserve">Delineamento/Amostra</w:t>
            </w:r>
          </w:p>
        </w:tc>
        <w:tc>
          <w:tcPr>
            <w:tcW w:w="2521" w:type="dxa"/>
            <w:tcBorders>
              <w:bottom w:val="single" w:sz="8" w:space="0" w:color="000000"/>
            </w:tcBorders>
            <w:shd w:val="clear" w:color="auto" w:fill="F8F9FA"/>
            <w:vAlign w:val="center"/>
          </w:tcPr>
          <w:p>
            <w:pPr>
              <w:pStyle w:val="TabelaCabecalho"/>
              <w:jc w:val="left"/>
            </w:pPr>
            <w:r>
              <w:t xml:space="preserve">Fatores avaliados</w:t>
            </w:r>
          </w:p>
        </w:tc>
        <w:tc>
          <w:tcPr>
            <w:tcW w:w="2100" w:type="dxa"/>
            <w:tcBorders>
              <w:bottom w:val="single" w:sz="8" w:space="0" w:color="000000"/>
            </w:tcBorders>
            <w:shd w:val="clear" w:color="auto" w:fill="F8F9FA"/>
            <w:vAlign w:val="center"/>
          </w:tcPr>
          <w:p>
            <w:pPr>
              <w:pStyle w:val="TabelaCabecalho"/>
              <w:jc w:val="left"/>
            </w:pPr>
            <w:r>
              <w:t xml:space="preserve">Desfecho(s) avaliado(s)</w:t>
            </w:r>
          </w:p>
        </w:tc>
        <w:tc>
          <w:tcPr>
            <w:tcW w:w="3221" w:type="dxa"/>
            <w:tcBorders>
              <w:bottom w:val="single" w:sz="8" w:space="0" w:color="000000"/>
            </w:tcBorders>
            <w:shd w:val="clear" w:color="auto" w:fill="F8F9FA"/>
            <w:vAlign w:val="center"/>
          </w:tcPr>
          <w:p>
            <w:pPr>
              <w:pStyle w:val="TabelaCabecalho"/>
              <w:jc w:val="left"/>
            </w:pPr>
            <w:r>
              <w:t xml:space="preserve">Principais achados</w:t>
            </w:r>
          </w:p>
        </w:tc>
      </w:tr>
      <w:tr>
        <w:trPr>
          <w:cantSplit/>
        </w:trPr>
        <w:tc>
          <w:tcPr>
            <w:tcW w:w="2100" w:type="dxa"/>
            <w:vAlign w:val="top"/>
          </w:tcPr>
          <w:p>
            <w:pPr>
              <w:pStyle w:val="TabelaTexto"/>
              <w:jc w:val="left"/>
            </w:pPr>
            <w:r>
              <w:t xml:space="preserve">Asif et al., 2026 [24]</w:t>
            </w:r>
          </w:p>
        </w:tc>
        <w:tc>
          <w:tcPr>
            <w:tcW w:w="1260" w:type="dxa"/>
            <w:vAlign w:val="top"/>
          </w:tcPr>
          <w:p>
            <w:pPr>
              <w:pStyle w:val="TabelaTextoCentro"/>
              <w:jc w:val="center"/>
            </w:pPr>
            <w:r>
              <w:t xml:space="preserve">Paquistão</w:t>
            </w:r>
          </w:p>
        </w:tc>
        <w:tc>
          <w:tcPr>
            <w:tcW w:w="2801" w:type="dxa"/>
            <w:vAlign w:val="top"/>
          </w:tcPr>
          <w:p>
            <w:pPr>
              <w:pStyle w:val="TabelaTexto"/>
              <w:jc w:val="left"/>
            </w:pPr>
            <w:r>
              <w:t xml:space="preserve">transversal; 116 adultos com colecistite aguda litiásica submetidos a CVL em até 96 horas do início dos sintomas</w:t>
            </w:r>
          </w:p>
        </w:tc>
        <w:tc>
          <w:tcPr>
            <w:tcW w:w="2521" w:type="dxa"/>
            <w:vAlign w:val="top"/>
          </w:tcPr>
          <w:p>
            <w:pPr>
              <w:pStyle w:val="TabelaTexto"/>
              <w:jc w:val="left"/>
            </w:pPr>
            <w:r>
              <w:t xml:space="preserve">Espessura da parede vesicular à ultrassonografia (normal, moderada, grave)</w:t>
            </w:r>
          </w:p>
        </w:tc>
        <w:tc>
          <w:tcPr>
            <w:tcW w:w="2100" w:type="dxa"/>
            <w:vAlign w:val="top"/>
          </w:tcPr>
          <w:p>
            <w:pPr>
              <w:pStyle w:val="TabelaTexto"/>
              <w:jc w:val="left"/>
            </w:pPr>
            <w:r>
              <w:t xml:space="preserve">Eventos adversos intraoperatórios, incluindo conversão para cirurgia aberta</w:t>
            </w:r>
          </w:p>
        </w:tc>
        <w:tc>
          <w:tcPr>
            <w:tcW w:w="3221" w:type="dxa"/>
            <w:vAlign w:val="top"/>
          </w:tcPr>
          <w:p>
            <w:pPr>
              <w:pStyle w:val="TabelaTexto"/>
              <w:jc w:val="left"/>
            </w:pPr>
            <w:r>
              <w:t xml:space="preserve">Espessamento grave (&gt;7 mm), presente em seis pacientes (5,2%), associou-se significativamente à conversão para cirurgia aberta, tempo operatório prolongado, aspiração da vesícula e drenagem sub-hepática (p &lt; 0,001).</w:t>
            </w:r>
          </w:p>
        </w:tc>
      </w:tr>
      <w:tr>
        <w:trPr>
          <w:cantSplit/>
        </w:trPr>
        <w:tc>
          <w:tcPr>
            <w:tcW w:w="2100" w:type="dxa"/>
            <w:vAlign w:val="top"/>
          </w:tcPr>
          <w:p>
            <w:pPr>
              <w:pStyle w:val="TabelaTexto"/>
              <w:jc w:val="left"/>
            </w:pPr>
            <w:r>
              <w:t xml:space="preserve">Kahraman et al., 2026 [19]</w:t>
            </w:r>
          </w:p>
        </w:tc>
        <w:tc>
          <w:tcPr>
            <w:tcW w:w="1260" w:type="dxa"/>
            <w:vAlign w:val="top"/>
          </w:tcPr>
          <w:p>
            <w:pPr>
              <w:pStyle w:val="TabelaTextoCentro"/>
              <w:jc w:val="center"/>
            </w:pPr>
            <w:r>
              <w:t xml:space="preserve">Turquia</w:t>
            </w:r>
          </w:p>
        </w:tc>
        <w:tc>
          <w:tcPr>
            <w:tcW w:w="2801" w:type="dxa"/>
            <w:vAlign w:val="top"/>
          </w:tcPr>
          <w:p>
            <w:pPr>
              <w:pStyle w:val="TabelaTexto"/>
              <w:jc w:val="left"/>
            </w:pPr>
            <w:r>
              <w:t xml:space="preserve">transversal; 1.054 pacientes submetidos a CVL eletiva por colelitíase</w:t>
            </w:r>
          </w:p>
        </w:tc>
        <w:tc>
          <w:tcPr>
            <w:tcW w:w="2521" w:type="dxa"/>
            <w:vAlign w:val="top"/>
          </w:tcPr>
          <w:p>
            <w:pPr>
              <w:pStyle w:val="TabelaTexto"/>
              <w:jc w:val="left"/>
            </w:pPr>
            <w:r>
              <w:t xml:space="preserve">Índices inflamatórios pré-operatórios (CAR, NLR, IBI) e DM2</w:t>
            </w:r>
          </w:p>
        </w:tc>
        <w:tc>
          <w:tcPr>
            <w:tcW w:w="2100" w:type="dxa"/>
            <w:vAlign w:val="top"/>
          </w:tcPr>
          <w:p>
            <w:pPr>
              <w:pStyle w:val="TabelaTexto"/>
              <w:jc w:val="left"/>
            </w:pPr>
            <w:r>
              <w:t xml:space="preserve">Gravidade pela escala de Parkland, tempo operatório e conversão</w:t>
            </w:r>
          </w:p>
        </w:tc>
        <w:tc>
          <w:tcPr>
            <w:tcW w:w="3221" w:type="dxa"/>
            <w:vAlign w:val="top"/>
          </w:tcPr>
          <w:p>
            <w:pPr>
              <w:pStyle w:val="TabelaTexto"/>
              <w:jc w:val="left"/>
            </w:pPr>
            <w:r>
              <w:t xml:space="preserve">Conversão e tempo operatório cresceram com o grau de Parkland; DM2, CAR, NLR e IBI foram preditores independentes de maior gravidade, com melhor discriminação do IBI (AUC 0,792).</w:t>
            </w:r>
          </w:p>
        </w:tc>
      </w:tr>
      <w:tr>
        <w:trPr>
          <w:cantSplit/>
        </w:trPr>
        <w:tc>
          <w:tcPr>
            <w:tcW w:w="2100" w:type="dxa"/>
            <w:vAlign w:val="top"/>
          </w:tcPr>
          <w:p>
            <w:pPr>
              <w:pStyle w:val="TabelaTexto"/>
              <w:jc w:val="left"/>
            </w:pPr>
            <w:r>
              <w:t xml:space="preserve">Kritika et al., 2026 [23]</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196 pacientes com colelitíase sintomática submetidos a CVL</w:t>
            </w:r>
          </w:p>
        </w:tc>
        <w:tc>
          <w:tcPr>
            <w:tcW w:w="2521" w:type="dxa"/>
            <w:vAlign w:val="top"/>
          </w:tcPr>
          <w:p>
            <w:pPr>
              <w:pStyle w:val="TabelaTexto"/>
              <w:jc w:val="left"/>
            </w:pPr>
            <w:r>
              <w:t xml:space="preserve">Espessura da parede vesicular à ultrassonografia pré-operatória, estratificada em quatro grupos</w:t>
            </w:r>
          </w:p>
        </w:tc>
        <w:tc>
          <w:tcPr>
            <w:tcW w:w="2100" w:type="dxa"/>
            <w:vAlign w:val="top"/>
          </w:tcPr>
          <w:p>
            <w:pPr>
              <w:pStyle w:val="TabelaTexto"/>
              <w:jc w:val="left"/>
            </w:pPr>
            <w:r>
              <w:t xml:space="preserve">Aderências, tempo operatório, conversão para cirurgia aberta e complicações pós-operatórias</w:t>
            </w:r>
          </w:p>
        </w:tc>
        <w:tc>
          <w:tcPr>
            <w:tcW w:w="3221" w:type="dxa"/>
            <w:vAlign w:val="top"/>
          </w:tcPr>
          <w:p>
            <w:pPr>
              <w:pStyle w:val="TabelaTexto"/>
              <w:jc w:val="left"/>
            </w:pPr>
            <w:r>
              <w:t xml:space="preserve">Conversão aumentou com a espessura parietal (3,6% vs. 20,0%); espessura &gt;2 mm previu conversão de forma independente (AOR 2,41; IC 95% 1,08-5,36); corte ótimo &gt;3 mm, com AUC 0,72.</w:t>
            </w:r>
          </w:p>
        </w:tc>
      </w:tr>
      <w:tr>
        <w:trPr>
          <w:cantSplit/>
        </w:trPr>
        <w:tc>
          <w:tcPr>
            <w:tcW w:w="2100" w:type="dxa"/>
            <w:vAlign w:val="top"/>
          </w:tcPr>
          <w:p>
            <w:pPr>
              <w:pStyle w:val="TabelaTexto"/>
              <w:jc w:val="left"/>
            </w:pPr>
            <w:r>
              <w:t xml:space="preserve">Kumar et al., 2026 [4]</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150 pacientes submetidos a CVL eletiva</w:t>
            </w:r>
          </w:p>
        </w:tc>
        <w:tc>
          <w:tcPr>
            <w:tcW w:w="2521" w:type="dxa"/>
            <w:vAlign w:val="top"/>
          </w:tcPr>
          <w:p>
            <w:pPr>
              <w:pStyle w:val="TabelaTexto"/>
              <w:jc w:val="left"/>
            </w:pPr>
            <w:r>
              <w:t xml:space="preserve">Escore pré-operatório de Randhawa e Pujahari</w:t>
            </w:r>
          </w:p>
        </w:tc>
        <w:tc>
          <w:tcPr>
            <w:tcW w:w="2100" w:type="dxa"/>
            <w:vAlign w:val="top"/>
          </w:tcPr>
          <w:p>
            <w:pPr>
              <w:pStyle w:val="TabelaTexto"/>
              <w:jc w:val="left"/>
            </w:pPr>
            <w:r>
              <w:t xml:space="preserve">Dificuldade operatória, incluindo conversão para cirurgia aberta</w:t>
            </w:r>
          </w:p>
        </w:tc>
        <w:tc>
          <w:tcPr>
            <w:tcW w:w="3221" w:type="dxa"/>
            <w:vAlign w:val="top"/>
          </w:tcPr>
          <w:p>
            <w:pPr>
              <w:pStyle w:val="TabelaTexto"/>
              <w:jc w:val="left"/>
            </w:pPr>
            <w:r>
              <w:t xml:space="preserve">A conversão ocorreu em 3,3%. Parede vesicular &gt;4 mm, líquido perivesicular, cálculo impactado e IMC &gt;27,5 associaram-se a maior dificuldade. O escore teve sensibilidade de 57,14% e especificidade de 79,51%.</w:t>
            </w:r>
          </w:p>
        </w:tc>
      </w:tr>
      <w:tr>
        <w:trPr>
          <w:cantSplit/>
        </w:trPr>
        <w:tc>
          <w:tcPr>
            <w:tcW w:w="2100" w:type="dxa"/>
            <w:vAlign w:val="top"/>
          </w:tcPr>
          <w:p>
            <w:pPr>
              <w:pStyle w:val="TabelaTexto"/>
              <w:jc w:val="left"/>
            </w:pPr>
            <w:r>
              <w:t xml:space="preserve">Nagarla et al., 2026 [13]</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150 pacientes (21-80 anos) submetidos a CVL eletiva</w:t>
            </w:r>
          </w:p>
        </w:tc>
        <w:tc>
          <w:tcPr>
            <w:tcW w:w="2521" w:type="dxa"/>
            <w:vAlign w:val="top"/>
          </w:tcPr>
          <w:p>
            <w:pPr>
              <w:pStyle w:val="TabelaTexto"/>
              <w:jc w:val="left"/>
            </w:pPr>
            <w:r>
              <w:t xml:space="preserve">Escore pré-operatório clínico, bioquímico e ultrassonográfico (15 pontos)</w:t>
            </w:r>
          </w:p>
        </w:tc>
        <w:tc>
          <w:tcPr>
            <w:tcW w:w="2100" w:type="dxa"/>
            <w:vAlign w:val="top"/>
          </w:tcPr>
          <w:p>
            <w:pPr>
              <w:pStyle w:val="TabelaTexto"/>
              <w:jc w:val="left"/>
            </w:pPr>
            <w:r>
              <w:t xml:space="preserve">CVL difícil, com risco de conversão</w:t>
            </w:r>
          </w:p>
        </w:tc>
        <w:tc>
          <w:tcPr>
            <w:tcW w:w="3221" w:type="dxa"/>
            <w:vAlign w:val="top"/>
          </w:tcPr>
          <w:p>
            <w:pPr>
              <w:pStyle w:val="TabelaTexto"/>
              <w:jc w:val="left"/>
            </w:pPr>
            <w:r>
              <w:t xml:space="preserve">A dificuldade ocorreu em 22%. Os preditores incluíram idade &gt;60, sexo masculino, IMC &gt;25, fosfatase alcalina elevada, parede vesicular &gt;4 mm, cálculo impactado e colédoco &gt;7 mm. O escore teve AUC de 0,927.</w:t>
            </w:r>
          </w:p>
        </w:tc>
      </w:tr>
      <w:tr>
        <w:trPr>
          <w:cantSplit/>
        </w:trPr>
        <w:tc>
          <w:tcPr>
            <w:tcW w:w="2100" w:type="dxa"/>
            <w:vAlign w:val="top"/>
          </w:tcPr>
          <w:p>
            <w:pPr>
              <w:pStyle w:val="TabelaTexto"/>
              <w:jc w:val="left"/>
            </w:pPr>
            <w:r>
              <w:t xml:space="preserve">Rayamajhi et al., 2026 [27]</w:t>
            </w:r>
          </w:p>
        </w:tc>
        <w:tc>
          <w:tcPr>
            <w:tcW w:w="1260" w:type="dxa"/>
            <w:vAlign w:val="top"/>
          </w:tcPr>
          <w:p>
            <w:pPr>
              <w:pStyle w:val="TabelaTextoCentro"/>
              <w:jc w:val="center"/>
            </w:pPr>
            <w:r>
              <w:t xml:space="preserve">Nepal</w:t>
            </w:r>
          </w:p>
        </w:tc>
        <w:tc>
          <w:tcPr>
            <w:tcW w:w="2801" w:type="dxa"/>
            <w:vAlign w:val="top"/>
          </w:tcPr>
          <w:p>
            <w:pPr>
              <w:pStyle w:val="TabelaTexto"/>
              <w:jc w:val="left"/>
            </w:pPr>
            <w:r>
              <w:t xml:space="preserve">coorte prospectiva; 108 pacientes submetidos a CVL de urgência por colecistite aguda litiásica</w:t>
            </w:r>
          </w:p>
        </w:tc>
        <w:tc>
          <w:tcPr>
            <w:tcW w:w="2521" w:type="dxa"/>
            <w:vAlign w:val="top"/>
          </w:tcPr>
          <w:p>
            <w:pPr>
              <w:pStyle w:val="TabelaTexto"/>
              <w:jc w:val="left"/>
            </w:pPr>
            <w:r>
              <w:t xml:space="preserve">PCR pré-operatória</w:t>
            </w:r>
          </w:p>
        </w:tc>
        <w:tc>
          <w:tcPr>
            <w:tcW w:w="2100" w:type="dxa"/>
            <w:vAlign w:val="top"/>
          </w:tcPr>
          <w:p>
            <w:pPr>
              <w:pStyle w:val="TabelaTexto"/>
              <w:jc w:val="left"/>
            </w:pPr>
            <w:r>
              <w:t xml:space="preserve">CVL difícil (mais de 60 min) e conversão para cirurgia aberta</w:t>
            </w:r>
          </w:p>
        </w:tc>
        <w:tc>
          <w:tcPr>
            <w:tcW w:w="3221" w:type="dxa"/>
            <w:vAlign w:val="top"/>
          </w:tcPr>
          <w:p>
            <w:pPr>
              <w:pStyle w:val="TabelaTexto"/>
              <w:jc w:val="left"/>
            </w:pPr>
            <w:r>
              <w:t xml:space="preserve">Houve 9 conversões; a PCR média foi 18,2 mg/L nas CVL simples, 36 nas difíceis e 50,1 nos convertidos, associando-se à complexidade cirúrgica; idade e sexo não mostraram associação.</w:t>
            </w:r>
          </w:p>
        </w:tc>
      </w:tr>
      <w:tr>
        <w:trPr>
          <w:cantSplit/>
        </w:trPr>
        <w:tc>
          <w:tcPr>
            <w:tcW w:w="2100" w:type="dxa"/>
            <w:vAlign w:val="top"/>
          </w:tcPr>
          <w:p>
            <w:pPr>
              <w:pStyle w:val="TabelaTexto"/>
              <w:jc w:val="left"/>
            </w:pPr>
            <w:r>
              <w:t xml:space="preserve">Shiihara et al., 2026 [16]</w:t>
            </w:r>
          </w:p>
        </w:tc>
        <w:tc>
          <w:tcPr>
            <w:tcW w:w="1260" w:type="dxa"/>
            <w:vAlign w:val="top"/>
          </w:tcPr>
          <w:p>
            <w:pPr>
              <w:pStyle w:val="TabelaTextoCentro"/>
              <w:jc w:val="center"/>
            </w:pPr>
            <w:r>
              <w:t xml:space="preserve">Japão</w:t>
            </w:r>
          </w:p>
        </w:tc>
        <w:tc>
          <w:tcPr>
            <w:tcW w:w="2801" w:type="dxa"/>
            <w:vAlign w:val="top"/>
          </w:tcPr>
          <w:p>
            <w:pPr>
              <w:pStyle w:val="TabelaTexto"/>
              <w:jc w:val="left"/>
            </w:pPr>
            <w:r>
              <w:t xml:space="preserve">coorte retrospectiva; 193 pacientes submetidos a CVL após CPRE por coledocolitíase</w:t>
            </w:r>
          </w:p>
        </w:tc>
        <w:tc>
          <w:tcPr>
            <w:tcW w:w="2521" w:type="dxa"/>
            <w:vAlign w:val="top"/>
          </w:tcPr>
          <w:p>
            <w:pPr>
              <w:pStyle w:val="TabelaTexto"/>
              <w:jc w:val="left"/>
            </w:pPr>
            <w:r>
              <w:t xml:space="preserve">Intervalo CPRE-CVL, idade, sexo e colecistite aguda</w:t>
            </w:r>
          </w:p>
        </w:tc>
        <w:tc>
          <w:tcPr>
            <w:tcW w:w="2100" w:type="dxa"/>
            <w:vAlign w:val="top"/>
          </w:tcPr>
          <w:p>
            <w:pPr>
              <w:pStyle w:val="TabelaTexto"/>
              <w:jc w:val="left"/>
            </w:pPr>
            <w:r>
              <w:t xml:space="preserve">Colecistectomia difícil, incluindo conversão para cirurgia aberta ou colecistectomia subtotal</w:t>
            </w:r>
          </w:p>
        </w:tc>
        <w:tc>
          <w:tcPr>
            <w:tcW w:w="3221" w:type="dxa"/>
            <w:vAlign w:val="top"/>
          </w:tcPr>
          <w:p>
            <w:pPr>
              <w:pStyle w:val="TabelaTexto"/>
              <w:jc w:val="left"/>
            </w:pPr>
            <w:r>
              <w:t xml:space="preserve">Cirurgia difícil ocorreu em 25,4%, mais frequente com intervalo CPRE-CVL de 15-60 dias (33,0%). Idade ≥ 60 anos, sexo masculino, colecistite aguda e esse intervalo foram fatores de risco independentes.</w:t>
            </w:r>
          </w:p>
        </w:tc>
      </w:tr>
      <w:tr>
        <w:trPr>
          <w:cantSplit/>
        </w:trPr>
        <w:tc>
          <w:tcPr>
            <w:tcW w:w="2100" w:type="dxa"/>
            <w:vAlign w:val="top"/>
          </w:tcPr>
          <w:p>
            <w:pPr>
              <w:pStyle w:val="TabelaTexto"/>
              <w:jc w:val="left"/>
            </w:pPr>
            <w:r>
              <w:t xml:space="preserve">Yoshitake et al., 2026 [20]</w:t>
            </w:r>
          </w:p>
        </w:tc>
        <w:tc>
          <w:tcPr>
            <w:tcW w:w="1260" w:type="dxa"/>
            <w:vAlign w:val="top"/>
          </w:tcPr>
          <w:p>
            <w:pPr>
              <w:pStyle w:val="TabelaTextoCentro"/>
              <w:jc w:val="center"/>
            </w:pPr>
            <w:r>
              <w:t xml:space="preserve">Japão</w:t>
            </w:r>
          </w:p>
        </w:tc>
        <w:tc>
          <w:tcPr>
            <w:tcW w:w="2801" w:type="dxa"/>
            <w:vAlign w:val="top"/>
          </w:tcPr>
          <w:p>
            <w:pPr>
              <w:pStyle w:val="TabelaTexto"/>
              <w:jc w:val="left"/>
            </w:pPr>
            <w:r>
              <w:t xml:space="preserve">coorte retrospectiva; 257 pacientes com colecistite aguda submetidos a CVL após drenagem percutânea trans-hepática da vesícula (PTGBD)</w:t>
            </w:r>
          </w:p>
        </w:tc>
        <w:tc>
          <w:tcPr>
            <w:tcW w:w="2521" w:type="dxa"/>
            <w:vAlign w:val="top"/>
          </w:tcPr>
          <w:p>
            <w:pPr>
              <w:pStyle w:val="TabelaTexto"/>
              <w:jc w:val="left"/>
            </w:pPr>
            <w:r>
              <w:t xml:space="preserve">Intervalo PTGBD-CVL como variável contínua; PCR ao diagnóstico e outras covariáveis clínicas</w:t>
            </w:r>
          </w:p>
        </w:tc>
        <w:tc>
          <w:tcPr>
            <w:tcW w:w="2100" w:type="dxa"/>
            <w:vAlign w:val="top"/>
          </w:tcPr>
          <w:p>
            <w:pPr>
              <w:pStyle w:val="TabelaTexto"/>
              <w:jc w:val="left"/>
            </w:pPr>
            <w:r>
              <w:t xml:space="preserve">Cirurgia de resgate (conversão para cirurgia aberta, colecistectomia subtotal ou abordagem fundo primeiro)</w:t>
            </w:r>
          </w:p>
        </w:tc>
        <w:tc>
          <w:tcPr>
            <w:tcW w:w="3221" w:type="dxa"/>
            <w:vAlign w:val="top"/>
          </w:tcPr>
          <w:p>
            <w:pPr>
              <w:pStyle w:val="TabelaTexto"/>
              <w:jc w:val="left"/>
            </w:pPr>
            <w:r>
              <w:t xml:space="preserve">Cirurgia de resgate ocorreu em 36,6%. O intervalo PTGBD-CVL, analisado como variável contínua, não se associou ao resgate; PCR elevada ao diagnóstico foi fator independente (OR ajustada 1,033).</w:t>
            </w:r>
          </w:p>
        </w:tc>
      </w:tr>
      <w:tr>
        <w:trPr>
          <w:cantSplit/>
        </w:trPr>
        <w:tc>
          <w:tcPr>
            <w:tcW w:w="2100" w:type="dxa"/>
            <w:vAlign w:val="top"/>
          </w:tcPr>
          <w:p>
            <w:pPr>
              <w:pStyle w:val="TabelaTexto"/>
              <w:jc w:val="left"/>
            </w:pPr>
            <w:r>
              <w:t xml:space="preserve">Zhou et al., 2026 [26]</w:t>
            </w:r>
          </w:p>
        </w:tc>
        <w:tc>
          <w:tcPr>
            <w:tcW w:w="1260" w:type="dxa"/>
            <w:vAlign w:val="top"/>
          </w:tcPr>
          <w:p>
            <w:pPr>
              <w:pStyle w:val="TabelaTextoCentro"/>
              <w:jc w:val="center"/>
            </w:pPr>
            <w:r>
              <w:t xml:space="preserve">China</w:t>
            </w:r>
          </w:p>
        </w:tc>
        <w:tc>
          <w:tcPr>
            <w:tcW w:w="2801" w:type="dxa"/>
            <w:vAlign w:val="top"/>
          </w:tcPr>
          <w:p>
            <w:pPr>
              <w:pStyle w:val="TabelaTexto"/>
              <w:jc w:val="left"/>
            </w:pPr>
            <w:r>
              <w:t xml:space="preserve">coorte retrospectiva; 107 pacientes com colecistite submetidos a CVL após drenagem percutânea trans-hepática da vesícula (PTGBD)</w:t>
            </w:r>
          </w:p>
        </w:tc>
        <w:tc>
          <w:tcPr>
            <w:tcW w:w="2521" w:type="dxa"/>
            <w:vAlign w:val="top"/>
          </w:tcPr>
          <w:p>
            <w:pPr>
              <w:pStyle w:val="TabelaTexto"/>
              <w:jc w:val="left"/>
            </w:pPr>
            <w:r>
              <w:t xml:space="preserve">Parâmetros clínicos, tomográficos, laboratoriais, relacionados à PTGBD e psicológicos; nomograma</w:t>
            </w:r>
          </w:p>
        </w:tc>
        <w:tc>
          <w:tcPr>
            <w:tcW w:w="2100" w:type="dxa"/>
            <w:vAlign w:val="top"/>
          </w:tcPr>
          <w:p>
            <w:pPr>
              <w:pStyle w:val="TabelaTexto"/>
              <w:jc w:val="left"/>
            </w:pPr>
            <w:r>
              <w:t xml:space="preserve">CVL difícil pelos critérios TG18, incluindo conversão para cirurgia aberta</w:t>
            </w:r>
          </w:p>
        </w:tc>
        <w:tc>
          <w:tcPr>
            <w:tcW w:w="3221" w:type="dxa"/>
            <w:vAlign w:val="top"/>
          </w:tcPr>
          <w:p>
            <w:pPr>
              <w:pStyle w:val="TabelaTexto"/>
              <w:jc w:val="left"/>
            </w:pPr>
            <w:r>
              <w:t xml:space="preserve">PCR &gt; 8,2 mg/L (OR 4,21), líquido perivesicular (OR 60,93), índice de aderência vesícula-duodeno &gt; 0,7 e atenuação do triângulo de Calot &gt; 30 HU predisseram cirurgia difícil; nomograma alcançou AUC de 0,903.</w:t>
            </w:r>
          </w:p>
        </w:tc>
      </w:tr>
      <w:tr>
        <w:trPr>
          <w:cantSplit/>
        </w:trPr>
        <w:tc>
          <w:tcPr>
            <w:tcW w:w="2100" w:type="dxa"/>
            <w:vAlign w:val="top"/>
          </w:tcPr>
          <w:p>
            <w:pPr>
              <w:pStyle w:val="TabelaTexto"/>
              <w:jc w:val="left"/>
            </w:pPr>
            <w:r>
              <w:t xml:space="preserve">Kumar et al., 2025 [11]</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318 pacientes submetidos a CVL por colelitíase sintomática</w:t>
            </w:r>
          </w:p>
        </w:tc>
        <w:tc>
          <w:tcPr>
            <w:tcW w:w="2521" w:type="dxa"/>
            <w:vAlign w:val="top"/>
          </w:tcPr>
          <w:p>
            <w:pPr>
              <w:pStyle w:val="TabelaTexto"/>
              <w:jc w:val="left"/>
            </w:pPr>
            <w:r>
              <w:t xml:space="preserve">Fatores pré-operatórios (idade, sexo, comorbidades, cirurgia abdominal prévia, exames laboratoriais) e intraoperatórios (aderências, triângulo de Calot, visão crítica de segurança, coledocolitíase, fístula colecistoentérica)</w:t>
            </w:r>
          </w:p>
        </w:tc>
        <w:tc>
          <w:tcPr>
            <w:tcW w:w="2100" w:type="dxa"/>
            <w:vAlign w:val="top"/>
          </w:tcPr>
          <w:p>
            <w:pPr>
              <w:pStyle w:val="TabelaTexto"/>
              <w:jc w:val="left"/>
            </w:pPr>
            <w:r>
              <w:t xml:space="preserve">Conversão para colecistectomia aberta; elaboração de escore de risco</w:t>
            </w:r>
          </w:p>
        </w:tc>
        <w:tc>
          <w:tcPr>
            <w:tcW w:w="3221" w:type="dxa"/>
            <w:vAlign w:val="top"/>
          </w:tcPr>
          <w:p>
            <w:pPr>
              <w:pStyle w:val="TabelaTexto"/>
              <w:jc w:val="left"/>
            </w:pPr>
            <w:r>
              <w:t xml:space="preserve">Conversão em 33 pacientes (10,38%). Cirurgia abdominal prévia e fosfatase alcalina elevada predisseram conversão no pré-operatório; aderências densas, triângulo de Calot não visualizado, falha da visão crítica, coledocolitíase e fístula colecistoentérica, no intraoperatório.</w:t>
            </w:r>
          </w:p>
        </w:tc>
      </w:tr>
      <w:tr>
        <w:trPr>
          <w:cantSplit/>
        </w:trPr>
        <w:tc>
          <w:tcPr>
            <w:tcW w:w="2100" w:type="dxa"/>
            <w:vAlign w:val="top"/>
          </w:tcPr>
          <w:p>
            <w:pPr>
              <w:pStyle w:val="TabelaTexto"/>
              <w:jc w:val="left"/>
            </w:pPr>
            <w:r>
              <w:t xml:space="preserve">V et al., 2025 [9]</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222 adultos submetidos a CVL eletiva</w:t>
            </w:r>
          </w:p>
        </w:tc>
        <w:tc>
          <w:tcPr>
            <w:tcW w:w="2521" w:type="dxa"/>
            <w:vAlign w:val="top"/>
          </w:tcPr>
          <w:p>
            <w:pPr>
              <w:pStyle w:val="TabelaTexto"/>
              <w:jc w:val="left"/>
            </w:pPr>
            <w:r>
              <w:t xml:space="preserve">Idade, sexo, IMC, leucometria, função hepática, tamanho e espessura da parede vesicular, cálculo impactado no infundíbulo e diâmetro do colédoco à ultrassonografia</w:t>
            </w:r>
          </w:p>
        </w:tc>
        <w:tc>
          <w:tcPr>
            <w:tcW w:w="2100" w:type="dxa"/>
            <w:vAlign w:val="top"/>
          </w:tcPr>
          <w:p>
            <w:pPr>
              <w:pStyle w:val="TabelaTexto"/>
              <w:jc w:val="left"/>
            </w:pPr>
            <w:r>
              <w:t xml:space="preserve">Conversão para cirurgia aberta; escore preditivo</w:t>
            </w:r>
          </w:p>
        </w:tc>
        <w:tc>
          <w:tcPr>
            <w:tcW w:w="3221" w:type="dxa"/>
            <w:vAlign w:val="top"/>
          </w:tcPr>
          <w:p>
            <w:pPr>
              <w:pStyle w:val="TabelaTexto"/>
              <w:jc w:val="left"/>
            </w:pPr>
            <w:r>
              <w:t xml:space="preserve">Conversão em 21 de 222 pacientes (9,5%). Espessura da parede e tamanho da vesícula compuseram o escore, com risco previsto de 0,5%, 1,8% e 7,2% para zero, um e dois pontos.</w:t>
            </w:r>
          </w:p>
        </w:tc>
      </w:tr>
      <w:tr>
        <w:trPr>
          <w:cantSplit/>
        </w:trPr>
        <w:tc>
          <w:tcPr>
            <w:tcW w:w="2100" w:type="dxa"/>
            <w:vAlign w:val="top"/>
          </w:tcPr>
          <w:p>
            <w:pPr>
              <w:pStyle w:val="TabelaTexto"/>
              <w:jc w:val="left"/>
            </w:pPr>
            <w:r>
              <w:t xml:space="preserve">Acosta et al., 2024 [3]</w:t>
            </w:r>
          </w:p>
        </w:tc>
        <w:tc>
          <w:tcPr>
            <w:tcW w:w="1260" w:type="dxa"/>
            <w:vAlign w:val="top"/>
          </w:tcPr>
          <w:p>
            <w:pPr>
              <w:pStyle w:val="TabelaTextoCentro"/>
              <w:jc w:val="center"/>
            </w:pPr>
            <w:r>
              <w:t xml:space="preserve">Venezuela*</w:t>
            </w:r>
          </w:p>
        </w:tc>
        <w:tc>
          <w:tcPr>
            <w:tcW w:w="2801" w:type="dxa"/>
            <w:vAlign w:val="top"/>
          </w:tcPr>
          <w:p>
            <w:pPr>
              <w:pStyle w:val="TabelaTexto"/>
              <w:jc w:val="left"/>
            </w:pPr>
            <w:r>
              <w:t xml:space="preserve">transversal; 391 pacientes submetidos a CVL</w:t>
            </w:r>
          </w:p>
        </w:tc>
        <w:tc>
          <w:tcPr>
            <w:tcW w:w="2521" w:type="dxa"/>
            <w:vAlign w:val="top"/>
          </w:tcPr>
          <w:p>
            <w:pPr>
              <w:pStyle w:val="TabelaTexto"/>
              <w:jc w:val="left"/>
            </w:pPr>
            <w:r>
              <w:t xml:space="preserve">Sexo, idade e tipo de admissão (eletiva ou urgência)</w:t>
            </w:r>
          </w:p>
        </w:tc>
        <w:tc>
          <w:tcPr>
            <w:tcW w:w="2100" w:type="dxa"/>
            <w:vAlign w:val="top"/>
          </w:tcPr>
          <w:p>
            <w:pPr>
              <w:pStyle w:val="TabelaTexto"/>
              <w:jc w:val="left"/>
            </w:pPr>
            <w:r>
              <w:t xml:space="preserve">Taxa e causas de conversão; tempo de internação</w:t>
            </w:r>
          </w:p>
        </w:tc>
        <w:tc>
          <w:tcPr>
            <w:tcW w:w="3221" w:type="dxa"/>
            <w:vAlign w:val="top"/>
          </w:tcPr>
          <w:p>
            <w:pPr>
              <w:pStyle w:val="TabelaTexto"/>
              <w:jc w:val="left"/>
            </w:pPr>
            <w:r>
              <w:t xml:space="preserve">A conversão ocorreu em 3,3% e foi mais frequente em homens (p = 0,006), em casos de urgência e acima dos 50 anos. A principal causa foi falha do equipamento, e a conversão prolongou a internação (p = 0,009).</w:t>
            </w:r>
          </w:p>
        </w:tc>
      </w:tr>
      <w:tr>
        <w:trPr>
          <w:cantSplit/>
        </w:trPr>
        <w:tc>
          <w:tcPr>
            <w:tcW w:w="2100" w:type="dxa"/>
            <w:vAlign w:val="top"/>
          </w:tcPr>
          <w:p>
            <w:pPr>
              <w:pStyle w:val="TabelaTexto"/>
              <w:jc w:val="left"/>
            </w:pPr>
            <w:r>
              <w:t xml:space="preserve">Altamirano et al., 2024 [1]</w:t>
            </w:r>
          </w:p>
        </w:tc>
        <w:tc>
          <w:tcPr>
            <w:tcW w:w="1260" w:type="dxa"/>
            <w:vAlign w:val="top"/>
          </w:tcPr>
          <w:p>
            <w:pPr>
              <w:pStyle w:val="TabelaTextoCentro"/>
              <w:jc w:val="center"/>
            </w:pPr>
            <w:r>
              <w:t xml:space="preserve">Argentina</w:t>
            </w:r>
          </w:p>
        </w:tc>
        <w:tc>
          <w:tcPr>
            <w:tcW w:w="2801" w:type="dxa"/>
            <w:vAlign w:val="top"/>
          </w:tcPr>
          <w:p>
            <w:pPr>
              <w:pStyle w:val="TabelaTexto"/>
              <w:jc w:val="left"/>
            </w:pPr>
            <w:r>
              <w:t xml:space="preserve">série de casos; 102 casos de colecistite aguda tratados cirurgicamente</w:t>
            </w:r>
          </w:p>
        </w:tc>
        <w:tc>
          <w:tcPr>
            <w:tcW w:w="2521" w:type="dxa"/>
            <w:vAlign w:val="top"/>
          </w:tcPr>
          <w:p>
            <w:pPr>
              <w:pStyle w:val="TabelaTexto"/>
              <w:jc w:val="left"/>
            </w:pPr>
            <w:r>
              <w:t xml:space="preserve">Momento da cirurgia: precoce (antes do sétimo dia do início dos sintomas) vs. tardia</w:t>
            </w:r>
          </w:p>
        </w:tc>
        <w:tc>
          <w:tcPr>
            <w:tcW w:w="2100" w:type="dxa"/>
            <w:vAlign w:val="top"/>
          </w:tcPr>
          <w:p>
            <w:pPr>
              <w:pStyle w:val="TabelaTexto"/>
              <w:jc w:val="left"/>
            </w:pPr>
            <w:r>
              <w:t xml:space="preserve">Conversão para cirurgia aberta, tempo de internação e complicações</w:t>
            </w:r>
          </w:p>
        </w:tc>
        <w:tc>
          <w:tcPr>
            <w:tcW w:w="3221" w:type="dxa"/>
            <w:vAlign w:val="top"/>
          </w:tcPr>
          <w:p>
            <w:pPr>
              <w:pStyle w:val="TabelaTexto"/>
              <w:jc w:val="left"/>
            </w:pPr>
            <w:r>
              <w:t xml:space="preserve">Conversão ocorreu em 2 casos (1,96%), ambos no grupo tardio, sobretudo por dúvida anatômica; o grupo tardio teve internação mais longa (7,69 vs. 1,34 dias; p = 0,001).</w:t>
            </w:r>
          </w:p>
        </w:tc>
      </w:tr>
      <w:tr>
        <w:trPr>
          <w:cantSplit/>
        </w:trPr>
        <w:tc>
          <w:tcPr>
            <w:tcW w:w="2100" w:type="dxa"/>
            <w:vAlign w:val="top"/>
          </w:tcPr>
          <w:p>
            <w:pPr>
              <w:pStyle w:val="TabelaTexto"/>
              <w:jc w:val="left"/>
            </w:pPr>
            <w:r>
              <w:t xml:space="preserve">Kadirvel et al., 2024 [14]</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60 pacientes com colecistite aguda submetidos a CVL precoce</w:t>
            </w:r>
          </w:p>
        </w:tc>
        <w:tc>
          <w:tcPr>
            <w:tcW w:w="2521" w:type="dxa"/>
            <w:vAlign w:val="top"/>
          </w:tcPr>
          <w:p>
            <w:pPr>
              <w:pStyle w:val="TabelaTexto"/>
              <w:jc w:val="left"/>
            </w:pPr>
            <w:r>
              <w:t xml:space="preserve">Idade, IMC, comorbidades, leucócitos, PCR e achados ultrassonográficos e intraoperatórios</w:t>
            </w:r>
          </w:p>
        </w:tc>
        <w:tc>
          <w:tcPr>
            <w:tcW w:w="2100" w:type="dxa"/>
            <w:vAlign w:val="top"/>
          </w:tcPr>
          <w:p>
            <w:pPr>
              <w:pStyle w:val="TabelaTexto"/>
              <w:jc w:val="left"/>
            </w:pPr>
            <w:r>
              <w:t xml:space="preserve">Conversão para cirurgia aberta</w:t>
            </w:r>
          </w:p>
        </w:tc>
        <w:tc>
          <w:tcPr>
            <w:tcW w:w="3221" w:type="dxa"/>
            <w:vAlign w:val="top"/>
          </w:tcPr>
          <w:p>
            <w:pPr>
              <w:pStyle w:val="TabelaTexto"/>
              <w:jc w:val="left"/>
            </w:pPr>
            <w:r>
              <w:t xml:space="preserve">A conversão foi maior acima dos 50 anos (33,3%) e com IMC &gt;30 (26,3%). Leucocitose e PCR elevada foram preditores significativos. O modelo preditivo teve sensibilidade de 88,9% e especificidade de 90%.</w:t>
            </w:r>
          </w:p>
        </w:tc>
      </w:tr>
      <w:tr>
        <w:trPr>
          <w:cantSplit/>
        </w:trPr>
        <w:tc>
          <w:tcPr>
            <w:tcW w:w="2100" w:type="dxa"/>
            <w:vAlign w:val="top"/>
          </w:tcPr>
          <w:p>
            <w:pPr>
              <w:pStyle w:val="TabelaTexto"/>
              <w:jc w:val="left"/>
            </w:pPr>
            <w:r>
              <w:t xml:space="preserve">Medina López, 2024 [8]</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transversal; 362 pacientes submetidos a colecistectomia (419 avaliados, 57 excluídos)</w:t>
            </w:r>
          </w:p>
        </w:tc>
        <w:tc>
          <w:tcPr>
            <w:tcW w:w="2521" w:type="dxa"/>
            <w:vAlign w:val="top"/>
          </w:tcPr>
          <w:p>
            <w:pPr>
              <w:pStyle w:val="TabelaTexto"/>
              <w:jc w:val="left"/>
            </w:pPr>
            <w:r>
              <w:t xml:space="preserve">Variáveis sociodemográficas, ultrassonográficas e laboratoriais, CPRE prévia, experiência do cirurgião e variantes anatômicas</w:t>
            </w:r>
          </w:p>
        </w:tc>
        <w:tc>
          <w:tcPr>
            <w:tcW w:w="2100" w:type="dxa"/>
            <w:vAlign w:val="top"/>
          </w:tcPr>
          <w:p>
            <w:pPr>
              <w:pStyle w:val="TabelaTexto"/>
              <w:jc w:val="left"/>
            </w:pPr>
            <w:r>
              <w:t xml:space="preserve">Conversão de CVL para colecistectomia aberta</w:t>
            </w:r>
          </w:p>
        </w:tc>
        <w:tc>
          <w:tcPr>
            <w:tcW w:w="3221" w:type="dxa"/>
            <w:vAlign w:val="top"/>
          </w:tcPr>
          <w:p>
            <w:pPr>
              <w:pStyle w:val="TabelaTexto"/>
              <w:jc w:val="left"/>
            </w:pPr>
            <w:r>
              <w:t xml:space="preserve">Incidência de conversão de 9,6%; preditores pré-operatórios: idade &gt;65 anos, sexo feminino, sobrepeso, PCR &gt;10 mg/dL, leucocitose e bilirrubina &gt;2 mg/dL; cirurgião em formação e lesão de via biliar também associados.</w:t>
            </w:r>
          </w:p>
        </w:tc>
      </w:tr>
      <w:tr>
        <w:trPr>
          <w:cantSplit/>
        </w:trPr>
        <w:tc>
          <w:tcPr>
            <w:tcW w:w="2100" w:type="dxa"/>
            <w:vAlign w:val="top"/>
          </w:tcPr>
          <w:p>
            <w:pPr>
              <w:pStyle w:val="TabelaTexto"/>
              <w:jc w:val="left"/>
            </w:pPr>
            <w:r>
              <w:t xml:space="preserve">Toppo et al., 2024 [21]</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93 pacientes com litíase biliar submetidos a CVL</w:t>
            </w:r>
          </w:p>
        </w:tc>
        <w:tc>
          <w:tcPr>
            <w:tcW w:w="2521" w:type="dxa"/>
            <w:vAlign w:val="top"/>
          </w:tcPr>
          <w:p>
            <w:pPr>
              <w:pStyle w:val="TabelaTexto"/>
              <w:jc w:val="left"/>
            </w:pPr>
            <w:r>
              <w:t xml:space="preserve">História clínica, marcadores bioquímicos e achados ultrassonográficos</w:t>
            </w:r>
          </w:p>
        </w:tc>
        <w:tc>
          <w:tcPr>
            <w:tcW w:w="2100" w:type="dxa"/>
            <w:vAlign w:val="top"/>
          </w:tcPr>
          <w:p>
            <w:pPr>
              <w:pStyle w:val="TabelaTexto"/>
              <w:jc w:val="left"/>
            </w:pPr>
            <w:r>
              <w:t xml:space="preserve">Conversão para colecistectomia aberta</w:t>
            </w:r>
          </w:p>
        </w:tc>
        <w:tc>
          <w:tcPr>
            <w:tcW w:w="3221" w:type="dxa"/>
            <w:vAlign w:val="top"/>
          </w:tcPr>
          <w:p>
            <w:pPr>
              <w:pStyle w:val="TabelaTexto"/>
              <w:jc w:val="left"/>
            </w:pPr>
            <w:r>
              <w:t xml:space="preserve">Dez pacientes foram convertidos (10,75%). Colecistite aguda, múltiplas crises prévias e vesícula contraída à ultrassonografia foram preditores significativos de conversão.</w:t>
            </w:r>
          </w:p>
        </w:tc>
      </w:tr>
      <w:tr>
        <w:trPr>
          <w:cantSplit/>
        </w:trPr>
        <w:tc>
          <w:tcPr>
            <w:tcW w:w="2100" w:type="dxa"/>
            <w:vAlign w:val="top"/>
          </w:tcPr>
          <w:p>
            <w:pPr>
              <w:pStyle w:val="TabelaTexto"/>
              <w:jc w:val="left"/>
            </w:pPr>
            <w:r>
              <w:t xml:space="preserve">Aguila Gómez et al., 2023 [7]</w:t>
            </w:r>
          </w:p>
        </w:tc>
        <w:tc>
          <w:tcPr>
            <w:tcW w:w="1260" w:type="dxa"/>
            <w:vAlign w:val="top"/>
          </w:tcPr>
          <w:p>
            <w:pPr>
              <w:pStyle w:val="TabelaTextoCentro"/>
              <w:jc w:val="center"/>
            </w:pPr>
            <w:r>
              <w:t xml:space="preserve">Bolívia</w:t>
            </w:r>
          </w:p>
        </w:tc>
        <w:tc>
          <w:tcPr>
            <w:tcW w:w="2801" w:type="dxa"/>
            <w:vAlign w:val="top"/>
          </w:tcPr>
          <w:p>
            <w:pPr>
              <w:pStyle w:val="TabelaTexto"/>
              <w:jc w:val="left"/>
            </w:pPr>
            <w:r>
              <w:t xml:space="preserve">série de casos; 1.095 pacientes submetidos a CVL (2012-2022)</w:t>
            </w:r>
          </w:p>
        </w:tc>
        <w:tc>
          <w:tcPr>
            <w:tcW w:w="2521" w:type="dxa"/>
            <w:vAlign w:val="top"/>
          </w:tcPr>
          <w:p>
            <w:pPr>
              <w:pStyle w:val="TabelaTexto"/>
              <w:jc w:val="left"/>
            </w:pPr>
            <w:r>
              <w:t xml:space="preserve">Características clínicas e operatórias; causas de conversão</w:t>
            </w:r>
          </w:p>
        </w:tc>
        <w:tc>
          <w:tcPr>
            <w:tcW w:w="2100" w:type="dxa"/>
            <w:vAlign w:val="top"/>
          </w:tcPr>
          <w:p>
            <w:pPr>
              <w:pStyle w:val="TabelaTexto"/>
              <w:jc w:val="left"/>
            </w:pPr>
            <w:r>
              <w:t xml:space="preserve">Taxa e causa de conversão para cirurgia aberta</w:t>
            </w:r>
          </w:p>
        </w:tc>
        <w:tc>
          <w:tcPr>
            <w:tcW w:w="3221" w:type="dxa"/>
            <w:vAlign w:val="top"/>
          </w:tcPr>
          <w:p>
            <w:pPr>
              <w:pStyle w:val="TabelaTexto"/>
              <w:jc w:val="left"/>
            </w:pPr>
            <w:r>
              <w:t xml:space="preserve">A taxa de conversão foi de 6,9%, e o principal motivo foi a dificuldade em identificar as estruturas anatômicas. A permanência pós-operatória média foi de 3,5 dias, e a CVL mostrou-se segura e eficaz.</w:t>
            </w:r>
          </w:p>
        </w:tc>
      </w:tr>
      <w:tr>
        <w:trPr>
          <w:cantSplit/>
        </w:trPr>
        <w:tc>
          <w:tcPr>
            <w:tcW w:w="2100" w:type="dxa"/>
            <w:vAlign w:val="top"/>
          </w:tcPr>
          <w:p>
            <w:pPr>
              <w:pStyle w:val="TabelaTexto"/>
              <w:jc w:val="left"/>
            </w:pPr>
            <w:r>
              <w:t xml:space="preserve">Altıner et al., 2023 [25]</w:t>
            </w:r>
          </w:p>
        </w:tc>
        <w:tc>
          <w:tcPr>
            <w:tcW w:w="1260" w:type="dxa"/>
            <w:vAlign w:val="top"/>
          </w:tcPr>
          <w:p>
            <w:pPr>
              <w:pStyle w:val="TabelaTextoCentro"/>
              <w:jc w:val="center"/>
            </w:pPr>
            <w:r>
              <w:t xml:space="preserve">Turquia</w:t>
            </w:r>
          </w:p>
        </w:tc>
        <w:tc>
          <w:tcPr>
            <w:tcW w:w="2801" w:type="dxa"/>
            <w:vAlign w:val="top"/>
          </w:tcPr>
          <w:p>
            <w:pPr>
              <w:pStyle w:val="TabelaTexto"/>
              <w:jc w:val="left"/>
            </w:pPr>
            <w:r>
              <w:t xml:space="preserve">coorte retrospectiva; 80 pacientes submetidos a CVL por colecistite aguda</w:t>
            </w:r>
          </w:p>
        </w:tc>
        <w:tc>
          <w:tcPr>
            <w:tcW w:w="2521" w:type="dxa"/>
            <w:vAlign w:val="top"/>
          </w:tcPr>
          <w:p>
            <w:pPr>
              <w:pStyle w:val="TabelaTexto"/>
              <w:jc w:val="left"/>
            </w:pPr>
            <w:r>
              <w:t xml:space="preserve">Espessura da parede vesicular e líquido pericolecístico à ultrassonografia pré-operatória</w:t>
            </w:r>
          </w:p>
        </w:tc>
        <w:tc>
          <w:tcPr>
            <w:tcW w:w="2100" w:type="dxa"/>
            <w:vAlign w:val="top"/>
          </w:tcPr>
          <w:p>
            <w:pPr>
              <w:pStyle w:val="TabelaTexto"/>
              <w:jc w:val="left"/>
            </w:pPr>
            <w:r>
              <w:t xml:space="preserve">Conversão para cirurgia aberta, tempo operatório e tempo de internação</w:t>
            </w:r>
          </w:p>
        </w:tc>
        <w:tc>
          <w:tcPr>
            <w:tcW w:w="3221" w:type="dxa"/>
            <w:vAlign w:val="top"/>
          </w:tcPr>
          <w:p>
            <w:pPr>
              <w:pStyle w:val="TabelaTexto"/>
              <w:jc w:val="left"/>
            </w:pPr>
            <w:r>
              <w:t xml:space="preserve">Convertidos apresentaram parede vesicular mais espessa e mais líquido pericolecístico; espessura ≥5,75 mm previu conversão (AUC 0,907), com sensibilidade de 85,7% e especificidade de 84,9%.</w:t>
            </w:r>
          </w:p>
        </w:tc>
      </w:tr>
      <w:tr>
        <w:trPr>
          <w:cantSplit/>
        </w:trPr>
        <w:tc>
          <w:tcPr>
            <w:tcW w:w="2100" w:type="dxa"/>
            <w:vAlign w:val="top"/>
          </w:tcPr>
          <w:p>
            <w:pPr>
              <w:pStyle w:val="TabelaTexto"/>
              <w:jc w:val="left"/>
            </w:pPr>
            <w:r>
              <w:t xml:space="preserve">Ensuncho-Hoyos et al., 2023 [17]</w:t>
            </w:r>
          </w:p>
        </w:tc>
        <w:tc>
          <w:tcPr>
            <w:tcW w:w="1260" w:type="dxa"/>
            <w:vAlign w:val="top"/>
          </w:tcPr>
          <w:p>
            <w:pPr>
              <w:pStyle w:val="TabelaTextoCentro"/>
              <w:jc w:val="center"/>
            </w:pPr>
            <w:r>
              <w:t xml:space="preserve">Colômbia</w:t>
            </w:r>
          </w:p>
        </w:tc>
        <w:tc>
          <w:tcPr>
            <w:tcW w:w="2801" w:type="dxa"/>
            <w:vAlign w:val="top"/>
          </w:tcPr>
          <w:p>
            <w:pPr>
              <w:pStyle w:val="TabelaTexto"/>
              <w:jc w:val="left"/>
            </w:pPr>
            <w:r>
              <w:t xml:space="preserve">caso-controle; 332 pacientes submetidos a CVL (83 casos convertidos e 249 controles)</w:t>
            </w:r>
          </w:p>
        </w:tc>
        <w:tc>
          <w:tcPr>
            <w:tcW w:w="2521" w:type="dxa"/>
            <w:vAlign w:val="top"/>
          </w:tcPr>
          <w:p>
            <w:pPr>
              <w:pStyle w:val="TabelaTexto"/>
              <w:jc w:val="left"/>
            </w:pPr>
            <w:r>
              <w:t xml:space="preserve">Fatores perioperatórios: experiência do cirurgião, obesidade, espessamento da parede vesicular à ultrassonografia, classificação de Parkland</w:t>
            </w:r>
          </w:p>
        </w:tc>
        <w:tc>
          <w:tcPr>
            <w:tcW w:w="2100" w:type="dxa"/>
            <w:vAlign w:val="top"/>
          </w:tcPr>
          <w:p>
            <w:pPr>
              <w:pStyle w:val="TabelaTexto"/>
              <w:jc w:val="left"/>
            </w:pPr>
            <w:r>
              <w:t xml:space="preserve">Conversão para técnica aberta</w:t>
            </w:r>
          </w:p>
        </w:tc>
        <w:tc>
          <w:tcPr>
            <w:tcW w:w="3221" w:type="dxa"/>
            <w:vAlign w:val="top"/>
          </w:tcPr>
          <w:p>
            <w:pPr>
              <w:pStyle w:val="TabelaTexto"/>
              <w:jc w:val="left"/>
            </w:pPr>
            <w:r>
              <w:t xml:space="preserve">Na análise multivariada, experiência do cirurgião, obesidade, espessamento da parede vesicular à ultrassonografia e maior pontuação na classificação de Parkland foram as variáveis mais fortemente associadas à conversão.</w:t>
            </w:r>
          </w:p>
        </w:tc>
      </w:tr>
      <w:tr>
        <w:trPr>
          <w:cantSplit/>
        </w:trPr>
        <w:tc>
          <w:tcPr>
            <w:tcW w:w="2100" w:type="dxa"/>
            <w:vAlign w:val="top"/>
          </w:tcPr>
          <w:p>
            <w:pPr>
              <w:pStyle w:val="TabelaTexto"/>
              <w:jc w:val="left"/>
            </w:pPr>
            <w:r>
              <w:t xml:space="preserve">Khan et al., 2023 [12]</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350 pacientes com colelitíase sintomática submetidos a CVL</w:t>
            </w:r>
          </w:p>
        </w:tc>
        <w:tc>
          <w:tcPr>
            <w:tcW w:w="2521" w:type="dxa"/>
            <w:vAlign w:val="top"/>
          </w:tcPr>
          <w:p>
            <w:pPr>
              <w:pStyle w:val="TabelaTexto"/>
              <w:jc w:val="left"/>
            </w:pPr>
            <w:r>
              <w:t xml:space="preserve">Espessura da parede vesicular à ultrassonografia pré-operatória</w:t>
            </w:r>
          </w:p>
        </w:tc>
        <w:tc>
          <w:tcPr>
            <w:tcW w:w="2100" w:type="dxa"/>
            <w:vAlign w:val="top"/>
          </w:tcPr>
          <w:p>
            <w:pPr>
              <w:pStyle w:val="TabelaTexto"/>
              <w:jc w:val="left"/>
            </w:pPr>
            <w:r>
              <w:t xml:space="preserve">Taxa de conversão, complicações, tempo operatório e internação</w:t>
            </w:r>
          </w:p>
        </w:tc>
        <w:tc>
          <w:tcPr>
            <w:tcW w:w="3221" w:type="dxa"/>
            <w:vAlign w:val="top"/>
          </w:tcPr>
          <w:p>
            <w:pPr>
              <w:pStyle w:val="TabelaTexto"/>
              <w:jc w:val="left"/>
            </w:pPr>
            <w:r>
              <w:t xml:space="preserve">Espessamento moderado e grave da parede vesicular associou-se significativamente a mais conversões, complicações, maior tempo operatório e internação prolongada; 29,71% dos pacientes apresentavam parede espessada.</w:t>
            </w:r>
          </w:p>
        </w:tc>
      </w:tr>
      <w:tr>
        <w:trPr>
          <w:cantSplit/>
        </w:trPr>
        <w:tc>
          <w:tcPr>
            <w:tcW w:w="2100" w:type="dxa"/>
            <w:vAlign w:val="top"/>
          </w:tcPr>
          <w:p>
            <w:pPr>
              <w:pStyle w:val="TabelaTexto"/>
              <w:jc w:val="left"/>
            </w:pPr>
            <w:r>
              <w:t xml:space="preserve">Ochoa-Ortiz et al., 2023 [6]</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coorte prospectiva; NI; pacientes adultos de ambos os sexos com doença da vesícula biliar e indicação de CVL</w:t>
            </w:r>
          </w:p>
        </w:tc>
        <w:tc>
          <w:tcPr>
            <w:tcW w:w="2521" w:type="dxa"/>
            <w:vAlign w:val="top"/>
          </w:tcPr>
          <w:p>
            <w:pPr>
              <w:pStyle w:val="TabelaTexto"/>
              <w:jc w:val="left"/>
            </w:pPr>
            <w:r>
              <w:t xml:space="preserve">Fatores pré-operatórios (dilatação do colédoco, cirurgia de urgência, tabagismo) e intraoperatórios (duração, edema do triângulo de Calot, coledocolitíase)</w:t>
            </w:r>
          </w:p>
        </w:tc>
        <w:tc>
          <w:tcPr>
            <w:tcW w:w="2100" w:type="dxa"/>
            <w:vAlign w:val="top"/>
          </w:tcPr>
          <w:p>
            <w:pPr>
              <w:pStyle w:val="TabelaTexto"/>
              <w:jc w:val="left"/>
            </w:pPr>
            <w:r>
              <w:t xml:space="preserve">Conversão para colecistectomia aberta</w:t>
            </w:r>
          </w:p>
        </w:tc>
        <w:tc>
          <w:tcPr>
            <w:tcW w:w="3221" w:type="dxa"/>
            <w:vAlign w:val="top"/>
          </w:tcPr>
          <w:p>
            <w:pPr>
              <w:pStyle w:val="TabelaTexto"/>
              <w:jc w:val="left"/>
            </w:pPr>
            <w:r>
              <w:t xml:space="preserve">Conversão em 4,54%. Na análise multivariada, somente a duração da cirurgia laparoscópica manteve associação; ponto de corte de 120 minutos, com sensibilidade de 67% e especificidade de 88%.</w:t>
            </w:r>
          </w:p>
        </w:tc>
      </w:tr>
      <w:tr>
        <w:trPr>
          <w:cantSplit/>
        </w:trPr>
        <w:tc>
          <w:tcPr>
            <w:tcW w:w="2100" w:type="dxa"/>
            <w:vAlign w:val="top"/>
          </w:tcPr>
          <w:p>
            <w:pPr>
              <w:pStyle w:val="TabelaTexto"/>
              <w:jc w:val="left"/>
            </w:pPr>
            <w:r>
              <w:t xml:space="preserve">Hanson-Viana et al., 2022 [15]</w:t>
            </w:r>
          </w:p>
        </w:tc>
        <w:tc>
          <w:tcPr>
            <w:tcW w:w="1260" w:type="dxa"/>
            <w:vAlign w:val="top"/>
          </w:tcPr>
          <w:p>
            <w:pPr>
              <w:pStyle w:val="TabelaTextoCentro"/>
              <w:jc w:val="center"/>
            </w:pPr>
            <w:r>
              <w:t xml:space="preserve">México</w:t>
            </w:r>
          </w:p>
        </w:tc>
        <w:tc>
          <w:tcPr>
            <w:tcW w:w="2801" w:type="dxa"/>
            <w:vAlign w:val="top"/>
          </w:tcPr>
          <w:p>
            <w:pPr>
              <w:pStyle w:val="TabelaTexto"/>
              <w:jc w:val="left"/>
            </w:pPr>
            <w:r>
              <w:t xml:space="preserve">coorte prospectiva; 2.075 pacientes submetidos a CVL eletiva</w:t>
            </w:r>
          </w:p>
        </w:tc>
        <w:tc>
          <w:tcPr>
            <w:tcW w:w="2521" w:type="dxa"/>
            <w:vAlign w:val="top"/>
          </w:tcPr>
          <w:p>
            <w:pPr>
              <w:pStyle w:val="TabelaTexto"/>
              <w:jc w:val="left"/>
            </w:pPr>
            <w:r>
              <w:t xml:space="preserve">Idade, sexo, IMC, cirurgia abdominal prévia, vesícula contraída, síndrome de Mirizzi e coledocolitíase</w:t>
            </w:r>
          </w:p>
        </w:tc>
        <w:tc>
          <w:tcPr>
            <w:tcW w:w="2100" w:type="dxa"/>
            <w:vAlign w:val="top"/>
          </w:tcPr>
          <w:p>
            <w:pPr>
              <w:pStyle w:val="TabelaTexto"/>
              <w:jc w:val="left"/>
            </w:pPr>
            <w:r>
              <w:t xml:space="preserve">Conversão para cirurgia aberta</w:t>
            </w:r>
          </w:p>
        </w:tc>
        <w:tc>
          <w:tcPr>
            <w:tcW w:w="3221" w:type="dxa"/>
            <w:vAlign w:val="top"/>
          </w:tcPr>
          <w:p>
            <w:pPr>
              <w:pStyle w:val="TabelaTexto"/>
              <w:jc w:val="left"/>
            </w:pPr>
            <w:r>
              <w:t xml:space="preserve">Sexo masculino, idade acima de 60 anos, cirurgia abdominal alta prévia, vesícula contraída, síndrome de Mirizzi e coledocolitíase associaram-se fortemente à conversão; IMC não influenciou; maior impacto em homens acima de 60 anos.</w:t>
            </w:r>
          </w:p>
        </w:tc>
      </w:tr>
      <w:tr>
        <w:trPr>
          <w:cantSplit/>
        </w:trPr>
        <w:tc>
          <w:tcPr>
            <w:tcW w:w="2100" w:type="dxa"/>
            <w:vAlign w:val="top"/>
          </w:tcPr>
          <w:p>
            <w:pPr>
              <w:pStyle w:val="TabelaTexto"/>
              <w:jc w:val="left"/>
            </w:pPr>
            <w:r>
              <w:t xml:space="preserve">Lauferman et al., 2022 [10]</w:t>
            </w:r>
          </w:p>
        </w:tc>
        <w:tc>
          <w:tcPr>
            <w:tcW w:w="1260" w:type="dxa"/>
            <w:vAlign w:val="top"/>
          </w:tcPr>
          <w:p>
            <w:pPr>
              <w:pStyle w:val="TabelaTextoCentro"/>
              <w:jc w:val="center"/>
            </w:pPr>
            <w:r>
              <w:t xml:space="preserve">Argentina*</w:t>
            </w:r>
          </w:p>
        </w:tc>
        <w:tc>
          <w:tcPr>
            <w:tcW w:w="2801" w:type="dxa"/>
            <w:vAlign w:val="top"/>
          </w:tcPr>
          <w:p>
            <w:pPr>
              <w:pStyle w:val="TabelaTexto"/>
              <w:jc w:val="left"/>
            </w:pPr>
            <w:r>
              <w:t xml:space="preserve">coorte prospectiva; NI; pacientes adultos submetidos a CVL em hospital público de atenção secundária</w:t>
            </w:r>
          </w:p>
        </w:tc>
        <w:tc>
          <w:tcPr>
            <w:tcW w:w="2521" w:type="dxa"/>
            <w:vAlign w:val="top"/>
          </w:tcPr>
          <w:p>
            <w:pPr>
              <w:pStyle w:val="TabelaTexto"/>
              <w:jc w:val="left"/>
            </w:pPr>
            <w:r>
              <w:t xml:space="preserve">Sexo, IMC, colecistite, CPRE prévia, cólica biliar recente, leucócitos, enzimas hepáticas, bilirrubina, ultrassonografia e cirurgia abdominal prévia</w:t>
            </w:r>
          </w:p>
        </w:tc>
        <w:tc>
          <w:tcPr>
            <w:tcW w:w="2100" w:type="dxa"/>
            <w:vAlign w:val="top"/>
          </w:tcPr>
          <w:p>
            <w:pPr>
              <w:pStyle w:val="TabelaTexto"/>
              <w:jc w:val="left"/>
            </w:pPr>
            <w:r>
              <w:t xml:space="preserve">Colecistectomia laparoscópica difícil, incluindo conversão</w:t>
            </w:r>
          </w:p>
        </w:tc>
        <w:tc>
          <w:tcPr>
            <w:tcW w:w="3221" w:type="dxa"/>
            <w:vAlign w:val="top"/>
          </w:tcPr>
          <w:p>
            <w:pPr>
              <w:pStyle w:val="TabelaTexto"/>
              <w:jc w:val="left"/>
            </w:pPr>
            <w:r>
              <w:t xml:space="preserve">Conversão de 11,25%, todas classificadas como colecistectomia difícil; na multivariada, sexo masculino (OR 6,63) e cirurgia prévia (OR 11,70) associaram-se a maior risco de colecistectomia difícil.</w:t>
            </w:r>
          </w:p>
        </w:tc>
      </w:tr>
      <w:tr>
        <w:trPr>
          <w:cantSplit/>
        </w:trPr>
        <w:tc>
          <w:tcPr>
            <w:tcW w:w="2100" w:type="dxa"/>
            <w:vAlign w:val="top"/>
          </w:tcPr>
          <w:p>
            <w:pPr>
              <w:pStyle w:val="TabelaTexto"/>
              <w:jc w:val="left"/>
            </w:pPr>
            <w:r>
              <w:t xml:space="preserve">Paul et al., 2022 [22]</w:t>
            </w:r>
          </w:p>
        </w:tc>
        <w:tc>
          <w:tcPr>
            <w:tcW w:w="1260" w:type="dxa"/>
            <w:vAlign w:val="top"/>
          </w:tcPr>
          <w:p>
            <w:pPr>
              <w:pStyle w:val="TabelaTextoCentro"/>
              <w:jc w:val="center"/>
            </w:pPr>
            <w:r>
              <w:t xml:space="preserve">Índia</w:t>
            </w:r>
          </w:p>
        </w:tc>
        <w:tc>
          <w:tcPr>
            <w:tcW w:w="2801" w:type="dxa"/>
            <w:vAlign w:val="top"/>
          </w:tcPr>
          <w:p>
            <w:pPr>
              <w:pStyle w:val="TabelaTexto"/>
              <w:jc w:val="left"/>
            </w:pPr>
            <w:r>
              <w:t xml:space="preserve">coorte prospectiva; 132 pacientes com colecistite aguda calculosa submetidos a CVL</w:t>
            </w:r>
          </w:p>
        </w:tc>
        <w:tc>
          <w:tcPr>
            <w:tcW w:w="2521" w:type="dxa"/>
            <w:vAlign w:val="top"/>
          </w:tcPr>
          <w:p>
            <w:pPr>
              <w:pStyle w:val="TabelaTexto"/>
              <w:jc w:val="left"/>
            </w:pPr>
            <w:r>
              <w:t xml:space="preserve">Escore de Randhawa et al. e fatores de risco pré-operatórios</w:t>
            </w:r>
          </w:p>
        </w:tc>
        <w:tc>
          <w:tcPr>
            <w:tcW w:w="2100" w:type="dxa"/>
            <w:vAlign w:val="top"/>
          </w:tcPr>
          <w:p>
            <w:pPr>
              <w:pStyle w:val="TabelaTexto"/>
              <w:jc w:val="left"/>
            </w:pPr>
            <w:r>
              <w:t xml:space="preserve">Dificuldade intraoperatória e conversão</w:t>
            </w:r>
          </w:p>
        </w:tc>
        <w:tc>
          <w:tcPr>
            <w:tcW w:w="3221" w:type="dxa"/>
            <w:vAlign w:val="top"/>
          </w:tcPr>
          <w:p>
            <w:pPr>
              <w:pStyle w:val="TabelaTexto"/>
              <w:jc w:val="left"/>
            </w:pPr>
            <w:r>
              <w:t xml:space="preserve">Crises prévias de colecistite, cálculo impactado e espessura da parede vesicular foram significativos. O escore teve sensibilidade de 82,6% e especificidade de 63,5%, e a conversão ocorreu em 6,9%.</w:t>
            </w:r>
          </w:p>
        </w:tc>
      </w:tr>
      <w:tr>
        <w:trPr>
          <w:cantSplit/>
        </w:trPr>
        <w:tc>
          <w:tcPr>
            <w:tcW w:w="2100" w:type="dxa"/>
            <w:vAlign w:val="top"/>
          </w:tcPr>
          <w:p>
            <w:pPr>
              <w:pStyle w:val="TabelaTexto"/>
              <w:jc w:val="left"/>
            </w:pPr>
            <w:r>
              <w:t xml:space="preserve">Ramírez-Giraldo et al., 2022 [29]</w:t>
            </w:r>
          </w:p>
        </w:tc>
        <w:tc>
          <w:tcPr>
            <w:tcW w:w="1260" w:type="dxa"/>
            <w:vAlign w:val="top"/>
          </w:tcPr>
          <w:p>
            <w:pPr>
              <w:pStyle w:val="TabelaTextoCentro"/>
              <w:jc w:val="center"/>
            </w:pPr>
            <w:r>
              <w:t xml:space="preserve">Colômbia</w:t>
            </w:r>
          </w:p>
        </w:tc>
        <w:tc>
          <w:tcPr>
            <w:tcW w:w="2801" w:type="dxa"/>
            <w:vAlign w:val="top"/>
          </w:tcPr>
          <w:p>
            <w:pPr>
              <w:pStyle w:val="TabelaTexto"/>
              <w:jc w:val="left"/>
            </w:pPr>
            <w:r>
              <w:t xml:space="preserve">outro; NI</w:t>
            </w:r>
          </w:p>
        </w:tc>
        <w:tc>
          <w:tcPr>
            <w:tcW w:w="2521" w:type="dxa"/>
            <w:vAlign w:val="top"/>
          </w:tcPr>
          <w:p>
            <w:pPr>
              <w:pStyle w:val="TabelaTexto"/>
              <w:jc w:val="left"/>
            </w:pPr>
            <w:r>
              <w:t xml:space="preserve">Escala pré-operatória de previsão de dificuldade</w:t>
            </w:r>
          </w:p>
        </w:tc>
        <w:tc>
          <w:tcPr>
            <w:tcW w:w="2100" w:type="dxa"/>
            <w:vAlign w:val="top"/>
          </w:tcPr>
          <w:p>
            <w:pPr>
              <w:pStyle w:val="TabelaTexto"/>
              <w:jc w:val="left"/>
            </w:pPr>
            <w:r>
              <w:t xml:space="preserve">Dificuldade intraoperatória; conversão, colecistectomia subtotal e complicações</w:t>
            </w:r>
          </w:p>
        </w:tc>
        <w:tc>
          <w:tcPr>
            <w:tcW w:w="3221" w:type="dxa"/>
            <w:vAlign w:val="top"/>
          </w:tcPr>
          <w:p>
            <w:pPr>
              <w:pStyle w:val="TabelaTexto"/>
              <w:jc w:val="left"/>
            </w:pPr>
            <w:r>
              <w:t xml:space="preserve">A escala teve área sob a curva ROC de 0,88. O corte 8 deu sensibilidade de 75,15% e especificidade de 88,31%. Maior dificuldade prevista associou-se a mais conversões, colecistectomias subtotais e complicações.</w:t>
            </w:r>
          </w:p>
        </w:tc>
      </w:tr>
      <w:tr>
        <w:trPr>
          <w:cantSplit/>
        </w:trPr>
        <w:tc>
          <w:tcPr>
            <w:tcW w:w="2100" w:type="dxa"/>
            <w:vAlign w:val="top"/>
          </w:tcPr>
          <w:p>
            <w:pPr>
              <w:pStyle w:val="TabelaTexto"/>
              <w:jc w:val="left"/>
            </w:pPr>
            <w:r>
              <w:t xml:space="preserve">Sisa-Segovia et al., 2022 [5]</w:t>
            </w:r>
          </w:p>
        </w:tc>
        <w:tc>
          <w:tcPr>
            <w:tcW w:w="1260" w:type="dxa"/>
            <w:vAlign w:val="top"/>
          </w:tcPr>
          <w:p>
            <w:pPr>
              <w:pStyle w:val="TabelaTextoCentro"/>
              <w:jc w:val="center"/>
            </w:pPr>
            <w:r>
              <w:t xml:space="preserve">Paraguai*</w:t>
            </w:r>
          </w:p>
        </w:tc>
        <w:tc>
          <w:tcPr>
            <w:tcW w:w="2801" w:type="dxa"/>
            <w:vAlign w:val="top"/>
          </w:tcPr>
          <w:p>
            <w:pPr>
              <w:pStyle w:val="TabelaTexto"/>
              <w:jc w:val="left"/>
            </w:pPr>
            <w:r>
              <w:t xml:space="preserve">transversal; 267 pacientes submetidos a CVL</w:t>
            </w:r>
          </w:p>
        </w:tc>
        <w:tc>
          <w:tcPr>
            <w:tcW w:w="2521" w:type="dxa"/>
            <w:vAlign w:val="top"/>
          </w:tcPr>
          <w:p>
            <w:pPr>
              <w:pStyle w:val="TabelaTexto"/>
              <w:jc w:val="left"/>
            </w:pPr>
            <w:r>
              <w:t xml:space="preserve">Escala de Parkland intraoperatória e fatores clínicos e laboratoriais</w:t>
            </w:r>
          </w:p>
        </w:tc>
        <w:tc>
          <w:tcPr>
            <w:tcW w:w="2100" w:type="dxa"/>
            <w:vAlign w:val="top"/>
          </w:tcPr>
          <w:p>
            <w:pPr>
              <w:pStyle w:val="TabelaTexto"/>
              <w:jc w:val="left"/>
            </w:pPr>
            <w:r>
              <w:t xml:space="preserve">Grau de Parkland; taxa de conversão</w:t>
            </w:r>
          </w:p>
        </w:tc>
        <w:tc>
          <w:tcPr>
            <w:tcW w:w="3221" w:type="dxa"/>
            <w:vAlign w:val="top"/>
          </w:tcPr>
          <w:p>
            <w:pPr>
              <w:pStyle w:val="TabelaTexto"/>
              <w:jc w:val="left"/>
            </w:pPr>
            <w:r>
              <w:t xml:space="preserve">A conversão ocorreu em 4,49% dos 267 casos. Icterícia obstrutiva prévia, hiperbilirrubinemia, fosfatase alcalina elevada, IMC aumentado, cirurgia de urgência e colecistite aguda associaram-se a graus mais altos da escala de Parkland.</w:t>
            </w:r>
          </w:p>
        </w:tc>
      </w:tr>
      <w:tr>
        <w:trPr>
          <w:cantSplit/>
        </w:trPr>
        <w:tc>
          <w:tcPr>
            <w:tcW w:w="2100" w:type="dxa"/>
            <w:vAlign w:val="top"/>
          </w:tcPr>
          <w:p>
            <w:pPr>
              <w:pStyle w:val="TabelaTexto"/>
              <w:jc w:val="left"/>
            </w:pPr>
            <w:r>
              <w:t xml:space="preserve">Sisa-Segovia et al., 2021 [2]</w:t>
            </w:r>
          </w:p>
        </w:tc>
        <w:tc>
          <w:tcPr>
            <w:tcW w:w="1260" w:type="dxa"/>
            <w:vAlign w:val="top"/>
          </w:tcPr>
          <w:p>
            <w:pPr>
              <w:pStyle w:val="TabelaTextoCentro"/>
              <w:jc w:val="center"/>
            </w:pPr>
            <w:r>
              <w:t xml:space="preserve">Paraguai*</w:t>
            </w:r>
          </w:p>
        </w:tc>
        <w:tc>
          <w:tcPr>
            <w:tcW w:w="2801" w:type="dxa"/>
            <w:vAlign w:val="top"/>
          </w:tcPr>
          <w:p>
            <w:pPr>
              <w:pStyle w:val="TabelaTexto"/>
              <w:jc w:val="left"/>
            </w:pPr>
            <w:r>
              <w:t xml:space="preserve">transversal; 317 pacientes submetidos a CVL</w:t>
            </w:r>
          </w:p>
        </w:tc>
        <w:tc>
          <w:tcPr>
            <w:tcW w:w="2521" w:type="dxa"/>
            <w:vAlign w:val="top"/>
          </w:tcPr>
          <w:p>
            <w:pPr>
              <w:pStyle w:val="TabelaTexto"/>
              <w:jc w:val="left"/>
            </w:pPr>
            <w:r>
              <w:t xml:space="preserve">Causas da conversão, tipo de cirurgia realizada e diagnóstico</w:t>
            </w:r>
          </w:p>
        </w:tc>
        <w:tc>
          <w:tcPr>
            <w:tcW w:w="2100" w:type="dxa"/>
            <w:vAlign w:val="top"/>
          </w:tcPr>
          <w:p>
            <w:pPr>
              <w:pStyle w:val="TabelaTexto"/>
              <w:jc w:val="left"/>
            </w:pPr>
            <w:r>
              <w:t xml:space="preserve">Prevalência de conversão para cirurgia aberta</w:t>
            </w:r>
          </w:p>
        </w:tc>
        <w:tc>
          <w:tcPr>
            <w:tcW w:w="3221" w:type="dxa"/>
            <w:vAlign w:val="top"/>
          </w:tcPr>
          <w:p>
            <w:pPr>
              <w:pStyle w:val="TabelaTexto"/>
              <w:jc w:val="left"/>
            </w:pPr>
            <w:r>
              <w:t xml:space="preserve">Taxa de conversão de 2,2% (7 pacientes); a principal causa foi a não identificação das estruturas do triângulo de Calot devido a aderências firmes; sem complicações pós-operatórias em 30 dias.</w:t>
            </w:r>
          </w:p>
        </w:tc>
      </w:tr>
      <w:tr>
        <w:trPr>
          <w:cantSplit/>
        </w:trPr>
        <w:tc>
          <w:tcPr>
            <w:tcW w:w="2100" w:type="dxa"/>
            <w:vAlign w:val="top"/>
          </w:tcPr>
          <w:p>
            <w:pPr>
              <w:pStyle w:val="TabelaTexto"/>
              <w:jc w:val="left"/>
            </w:pPr>
            <w:r>
              <w:t xml:space="preserve">Tongyoo et al., 2021 [18]</w:t>
            </w:r>
          </w:p>
        </w:tc>
        <w:tc>
          <w:tcPr>
            <w:tcW w:w="1260" w:type="dxa"/>
            <w:vAlign w:val="top"/>
          </w:tcPr>
          <w:p>
            <w:pPr>
              <w:pStyle w:val="TabelaTextoCentro"/>
              <w:jc w:val="center"/>
            </w:pPr>
            <w:r>
              <w:t xml:space="preserve">Tailândia</w:t>
            </w:r>
          </w:p>
        </w:tc>
        <w:tc>
          <w:tcPr>
            <w:tcW w:w="2801" w:type="dxa"/>
            <w:vAlign w:val="top"/>
          </w:tcPr>
          <w:p>
            <w:pPr>
              <w:pStyle w:val="TabelaTexto"/>
              <w:jc w:val="left"/>
            </w:pPr>
            <w:r>
              <w:t xml:space="preserve">coorte prospectiva; 152 pacientes submetidos a CVL eletiva</w:t>
            </w:r>
          </w:p>
        </w:tc>
        <w:tc>
          <w:tcPr>
            <w:tcW w:w="2521" w:type="dxa"/>
            <w:vAlign w:val="top"/>
          </w:tcPr>
          <w:p>
            <w:pPr>
              <w:pStyle w:val="TabelaTexto"/>
              <w:jc w:val="left"/>
            </w:pPr>
            <w:r>
              <w:t xml:space="preserve">Modelo de Randhawa original e modificado; fatores clínicos e ultrassonográficos</w:t>
            </w:r>
          </w:p>
        </w:tc>
        <w:tc>
          <w:tcPr>
            <w:tcW w:w="2100" w:type="dxa"/>
            <w:vAlign w:val="top"/>
          </w:tcPr>
          <w:p>
            <w:pPr>
              <w:pStyle w:val="TabelaTexto"/>
              <w:jc w:val="left"/>
            </w:pPr>
            <w:r>
              <w:t xml:space="preserve">Dificuldade operatória e conversão</w:t>
            </w:r>
          </w:p>
        </w:tc>
        <w:tc>
          <w:tcPr>
            <w:tcW w:w="3221" w:type="dxa"/>
            <w:vAlign w:val="top"/>
          </w:tcPr>
          <w:p>
            <w:pPr>
              <w:pStyle w:val="TabelaTexto"/>
              <w:jc w:val="left"/>
            </w:pPr>
            <w:r>
              <w:t xml:space="preserve">Dezesseis casos foram convertidos. Obesidade, inflamação ou procedimento biliar e vesícula contraída predisseram a conversão. O modelo de Randhawa modificado superou o original (AUROC 0,82 vs. 0,75).</w:t>
            </w:r>
          </w:p>
        </w:tc>
      </w:tr>
    </w:tbl>
    <w:p>
      <w:pPr>
        <w:pStyle w:val="Fonte"/>
      </w:pPr>
      <w:r>
        <w:t xml:space="preserve">Fonte: Elaborado pelos autores (2026), a partir dos estudos incluídos.</w:t>
      </w:r>
    </w:p>
    <w:p>
      <w:pPr>
        <w:pStyle w:val="Fonte"/>
        <w:spacing w:after="240"/>
      </w:pPr>
      <w:r>
        <w:t xml:space="preserve">Notas: estudos ordenados do mais recente para o mais antigo; * país inferido pelo país do periódico de publicação, por ausência de afiliação no registro da base; AOR = </w:t>
      </w:r>
      <w:r>
        <w:rPr>
          <w:i/>
        </w:rPr>
        <w:t xml:space="preserve">odds ratio</w:t>
      </w:r>
      <w:r>
        <w:t xml:space="preserve"> ajustado; AUC = área sob a curva; AUROC = área sob a curva ROC; CAR = razão proteína C-reativa/albumina; CPRE = colangiopancreatografia retrógrada endoscópica; CVL = colecistectomia videolaparoscópica; DM2 = diabetes mellitus tipo 2; HU = unidades Hounsfield; IC = intervalo de confiança; IMC = índice de massa corporal; NI = não informado; NLR = razão neutrófilo-linfócito; OR = </w:t>
      </w:r>
      <w:r>
        <w:rPr>
          <w:i/>
        </w:rPr>
        <w:t xml:space="preserve">odds ratio</w:t>
      </w:r>
      <w:r>
        <w:t xml:space="preserve">; PCR = proteína C-reativa; PTGBD = drenagem percutânea trans-hepática da vesícula biliar; ROC = </w:t>
      </w:r>
      <w:r>
        <w:rPr>
          <w:i/>
        </w:rPr>
        <w:t xml:space="preserve">receiver operating characteristic</w:t>
      </w:r>
      <w:r>
        <w:t xml:space="preserve">; TG18 = </w:t>
      </w:r>
      <w:r>
        <w:rPr>
          <w:i/>
        </w:rPr>
        <w:t xml:space="preserve">Tokyo Guidelines</w:t>
      </w:r>
      <w:r>
        <w:t xml:space="preserve"> 2018.</w:t>
      </w:r>
    </w:p>
    <w:p>
      <w:pPr>
        <w:sectPr>
          <w:headerReference w:type="default" r:id="rIdCabecalho"/>
          <w:pgSz w:w="16838" w:h="11906" w:orient="landscape"/>
          <w:pgMar w:top="1701" w:right="1134" w:bottom="1134" w:left="1701" w:header="709" w:footer="709" w:gutter="0"/>
        </w:sectPr>
      </w:pPr>
    </w:p>
    <w:p>
      <w:pPr>
        <w:pStyle w:val="Titulo2"/>
      </w:pPr>
      <w:r>
        <w:t xml:space="preserve">3.3 Delineamento dos estudos</w:t>
      </w:r>
    </w:p>
    <w:p>
      <w:pPr>
        <w:pStyle w:val="Normal"/>
      </w:pPr>
      <w:r>
        <w:t xml:space="preserve">Quanto ao delineamento, os estudos incluídos distribuíram-se em: 14 coortes prospectivas; 6 estudos transversais; 4 coortes retrospectivas; 2 séries de casos; 1 estudo de caso-controle; 1 outro delineamento. As publicações datam de 2021 a 2026, e os países mais frequentes foram Índia (9), Colômbia (2), Paraguai (periódico) (2), México (2), Turquia (2), Japão (2).</w:t>
      </w:r>
    </w:p>
    <w:p>
      <w:pPr>
        <w:pStyle w:val="Titulo2"/>
      </w:pPr>
      <w:r>
        <w:t xml:space="preserve">3.4 Distribuição dos estudos por eixo temático</w:t>
      </w:r>
    </w:p>
    <w:p>
      <w:pPr>
        <w:pStyle w:val="Legenda"/>
      </w:pPr>
      <w:r>
        <w:rPr>
          <w:b/>
        </w:rPr>
        <w:t xml:space="preserve">Tabela 2 –</w:t>
      </w:r>
      <w:r>
        <w:t xml:space="preserve"> Distribuição dos estudos incluídos por eixo temático</w:t>
      </w:r>
    </w:p>
    <w:tbl>
      <w:tblPr>
        <w:tblW w:w="9071" w:type="dxa"/>
        <w:jc w:val="center"/>
        <w:tblLayout w:type="fixed"/>
        <w:tblBorders>
          <w:top w:val="single" w:sz="12" w:space="0" w:color="000000"/>
          <w:left w:val="nil"/>
          <w:bottom w:val="single" w:sz="12" w:space="0" w:color="000000"/>
          <w:right w:val="nil"/>
          <w:insideH w:val="nil"/>
          <w:insideV w:val="nil"/>
        </w:tblBorders>
        <w:tblCellMar>
          <w:top w:w="120" w:type="dxa"/>
          <w:bottom w:w="120" w:type="dxa"/>
          <w:left w:w="150" w:type="dxa"/>
          <w:right w:w="150" w:type="dxa"/>
        </w:tblCellMar>
      </w:tblPr>
      <w:tblGrid>
        <w:gridCol w:w="4536"/>
        <w:gridCol w:w="1089"/>
        <w:gridCol w:w="1179"/>
        <w:gridCol w:w="2268"/>
      </w:tblGrid>
      <w:tr>
        <w:trPr>
          <w:cantSplit/>
          <w:tblHeader/>
        </w:trPr>
        <w:tc>
          <w:tcPr>
            <w:tcW w:w="4536" w:type="dxa"/>
            <w:tcBorders>
              <w:bottom w:val="single" w:sz="8" w:space="0" w:color="000000"/>
            </w:tcBorders>
            <w:shd w:val="clear" w:color="auto" w:fill="F8F9FA"/>
            <w:vAlign w:val="center"/>
          </w:tcPr>
          <w:p>
            <w:pPr>
              <w:pStyle w:val="TabelaCabecalho"/>
              <w:jc w:val="left"/>
            </w:pPr>
            <w:r>
              <w:t xml:space="preserve">Eixo temático</w:t>
            </w:r>
          </w:p>
        </w:tc>
        <w:tc>
          <w:tcPr>
            <w:tcW w:w="1089" w:type="dxa"/>
            <w:tcBorders>
              <w:bottom w:val="single" w:sz="8" w:space="0" w:color="000000"/>
            </w:tcBorders>
            <w:shd w:val="clear" w:color="auto" w:fill="F8F9FA"/>
            <w:vAlign w:val="center"/>
          </w:tcPr>
          <w:p>
            <w:pPr>
              <w:pStyle w:val="TabelaCabecalhoCentro"/>
              <w:jc w:val="center"/>
            </w:pPr>
            <w:r>
              <w:t xml:space="preserve">n</w:t>
            </w:r>
          </w:p>
        </w:tc>
        <w:tc>
          <w:tcPr>
            <w:tcW w:w="1179" w:type="dxa"/>
            <w:tcBorders>
              <w:bottom w:val="single" w:sz="8" w:space="0" w:color="000000"/>
            </w:tcBorders>
            <w:shd w:val="clear" w:color="auto" w:fill="F8F9FA"/>
            <w:vAlign w:val="center"/>
          </w:tcPr>
          <w:p>
            <w:pPr>
              <w:pStyle w:val="TabelaCabecalhoCentro"/>
              <w:jc w:val="center"/>
            </w:pPr>
            <w:r>
              <w:t xml:space="preserve">%</w:t>
            </w:r>
          </w:p>
        </w:tc>
        <w:tc>
          <w:tcPr>
            <w:tcW w:w="2268" w:type="dxa"/>
            <w:tcBorders>
              <w:bottom w:val="single" w:sz="8" w:space="0" w:color="000000"/>
            </w:tcBorders>
            <w:shd w:val="clear" w:color="auto" w:fill="F8F9FA"/>
            <w:vAlign w:val="center"/>
          </w:tcPr>
          <w:p>
            <w:pPr>
              <w:pStyle w:val="TabelaCabecalhoCentro"/>
              <w:jc w:val="center"/>
            </w:pPr>
            <w:r>
              <w:t xml:space="preserve">Referências</w:t>
            </w:r>
          </w:p>
        </w:tc>
      </w:tr>
      <w:tr>
        <w:trPr>
          <w:cantSplit/>
        </w:trPr>
        <w:tc>
          <w:tcPr>
            <w:tcW w:w="4536" w:type="dxa"/>
            <w:vAlign w:val="top"/>
          </w:tcPr>
          <w:p>
            <w:pPr>
              <w:pStyle w:val="TabelaTexto"/>
              <w:jc w:val="left"/>
            </w:pPr>
            <w:r>
              <w:t xml:space="preserve">Fatores demográficos e clínicos pré-operatórios (idade, sexo, IMC, comorbidades, cirurgias abdominais prévias)</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[1,3,10,15,16]</w:t>
            </w:r>
          </w:p>
        </w:tc>
      </w:tr>
      <w:tr>
        <w:trPr>
          <w:cantSplit/>
        </w:trPr>
        <w:tc>
          <w:tcPr>
            <w:tcW w:w="4536" w:type="dxa"/>
            <w:vAlign w:val="top"/>
          </w:tcPr>
          <w:p>
            <w:pPr>
              <w:pStyle w:val="TabelaTexto"/>
              <w:jc w:val="left"/>
            </w:pPr>
            <w:r>
              <w:t xml:space="preserve">Fatores laboratoriais e de imagem pré-operatórios (leucocitose, PCR, bilirrubinas, espessura da parede vesicular, líquido perivesicular, litíase de colédoco)</w:t>
            </w:r>
          </w:p>
        </w:tc>
        <w:tc>
          <w:tcPr>
            <w:tcW w:w="1089" w:type="dxa"/>
            <w:vAlign w:val="top"/>
          </w:tcPr>
          <w:p>
            <w:pPr>
              <w:pStyle w:val="TabelaTextoCentro"/>
              <w:jc w:val="center"/>
            </w:pPr>
            <w:r>
              <w:t xml:space="preserve">10</w:t>
            </w:r>
          </w:p>
        </w:tc>
        <w:tc>
          <w:tcPr>
            <w:tcW w:w="1179" w:type="dxa"/>
            <w:vAlign w:val="top"/>
          </w:tcPr>
          <w:p>
            <w:pPr>
              <w:pStyle w:val="TabelaTextoCentro"/>
              <w:jc w:val="center"/>
            </w:pPr>
            <w:r>
              <w:t xml:space="preserve">35,7</w:t>
            </w:r>
          </w:p>
        </w:tc>
        <w:tc>
          <w:tcPr>
            <w:tcW w:w="2268" w:type="dxa"/>
            <w:vAlign w:val="top"/>
          </w:tcPr>
          <w:p>
            <w:pPr>
              <w:pStyle w:val="TabelaTextoCentro"/>
              <w:jc w:val="center"/>
            </w:pPr>
            <w:r>
              <w:t xml:space="preserve">[8,12,14,19-21,23-25,27]</w:t>
            </w:r>
          </w:p>
        </w:tc>
      </w:tr>
      <w:tr>
        <w:trPr>
          <w:cantSplit/>
        </w:trPr>
        <w:tc>
          <w:tcPr>
            <w:tcW w:w="4536" w:type="dxa"/>
            <w:vAlign w:val="top"/>
          </w:tcPr>
          <w:p>
            <w:pPr>
              <w:pStyle w:val="TabelaTexto"/>
              <w:jc w:val="left"/>
            </w:pPr>
            <w:r>
              <w:t xml:space="preserve">Fatores intraoperatórios e anatômicos (aderências, anatomia do triângulo de Calot, sangramento, lesão de via biliar, inflamação aguda)</w:t>
            </w:r>
          </w:p>
        </w:tc>
        <w:tc>
          <w:tcPr>
            <w:tcW w:w="1089" w:type="dxa"/>
            <w:vAlign w:val="top"/>
          </w:tcPr>
          <w:p>
            <w:pPr>
              <w:pStyle w:val="TabelaTextoCentro"/>
              <w:jc w:val="center"/>
            </w:pPr>
            <w:r>
              <w:t xml:space="preserve">5</w:t>
            </w:r>
          </w:p>
        </w:tc>
        <w:tc>
          <w:tcPr>
            <w:tcW w:w="1179" w:type="dxa"/>
            <w:vAlign w:val="top"/>
          </w:tcPr>
          <w:p>
            <w:pPr>
              <w:pStyle w:val="TabelaTextoCentro"/>
              <w:jc w:val="center"/>
            </w:pPr>
            <w:r>
              <w:t xml:space="preserve">17,9</w:t>
            </w:r>
          </w:p>
        </w:tc>
        <w:tc>
          <w:tcPr>
            <w:tcW w:w="2268" w:type="dxa"/>
            <w:vAlign w:val="top"/>
          </w:tcPr>
          <w:p>
            <w:pPr>
              <w:pStyle w:val="TabelaTextoCentro"/>
              <w:jc w:val="center"/>
            </w:pPr>
            <w:r>
              <w:t xml:space="preserve">[2,6,7,11,17]</w:t>
            </w:r>
          </w:p>
        </w:tc>
      </w:tr>
      <w:tr>
        <w:trPr>
          <w:cantSplit/>
        </w:trPr>
        <w:tc>
          <w:tcPr>
            <w:tcW w:w="4536" w:type="dxa"/>
            <w:vAlign w:val="top"/>
          </w:tcPr>
          <w:p>
            <w:pPr>
              <w:pStyle w:val="TabelaTexto"/>
              <w:jc w:val="left"/>
            </w:pPr>
            <w:r>
              <w:t xml:space="preserve">Escores preditivos e modelos de risco validados</w:t>
            </w:r>
          </w:p>
        </w:tc>
        <w:tc>
          <w:tcPr>
            <w:tcW w:w="1089" w:type="dxa"/>
            <w:vAlign w:val="top"/>
          </w:tcPr>
          <w:p>
            <w:pPr>
              <w:pStyle w:val="TabelaTextoCentro"/>
              <w:jc w:val="center"/>
            </w:pPr>
            <w:r>
              <w:t xml:space="preserve">8</w:t>
            </w:r>
          </w:p>
        </w:tc>
        <w:tc>
          <w:tcPr>
            <w:tcW w:w="1179" w:type="dxa"/>
            <w:vAlign w:val="top"/>
          </w:tcPr>
          <w:p>
            <w:pPr>
              <w:pStyle w:val="TabelaTextoCentro"/>
              <w:jc w:val="center"/>
            </w:pPr>
            <w:r>
              <w:t xml:space="preserve">28,6</w:t>
            </w:r>
          </w:p>
        </w:tc>
        <w:tc>
          <w:tcPr>
            <w:tcW w:w="2268" w:type="dxa"/>
            <w:vAlign w:val="top"/>
          </w:tcPr>
          <w:p>
            <w:pPr>
              <w:pStyle w:val="TabelaTextoCentro"/>
              <w:jc w:val="center"/>
            </w:pPr>
            <w:r>
              <w:t xml:space="preserve">[4,5,9,13,18,22,26,29]</w:t>
            </w:r>
          </w:p>
        </w:tc>
      </w:tr>
      <w:tr>
        <w:trPr>
          <w:cantSplit/>
        </w:trPr>
        <w:tc>
          <w:tcPr>
            <w:tcW w:w="4536" w:type="dxa"/>
            <w:vAlign w:val="top"/>
          </w:tcPr>
          <w:p>
            <w:pPr>
              <w:pStyle w:val="TabelaTexto"/>
              <w:jc w:val="left"/>
            </w:pPr>
            <w:r>
              <w:t xml:space="preserve">Desfechos pós-operatórios associados à conversão (tempo de internação, complicações, mortalidade, custo)</w:t>
            </w:r>
          </w:p>
        </w:tc>
        <w:tc>
          <w:tcPr>
            <w:tcW w:w="1089" w:type="dxa"/>
            <w:vAlign w:val="top"/>
          </w:tcPr>
          <w:p>
            <w:pPr>
              <w:pStyle w:val="TabelaTextoCentro"/>
              <w:jc w:val="center"/>
            </w:pPr>
            <w:r>
              <w:t xml:space="preserve">0</w:t>
            </w:r>
          </w:p>
        </w:tc>
        <w:tc>
          <w:tcPr>
            <w:tcW w:w="1179" w:type="dxa"/>
            <w:vAlign w:val="top"/>
          </w:tcPr>
          <w:p>
            <w:pPr>
              <w:pStyle w:val="TabelaTextoCentro"/>
              <w:jc w:val="center"/>
            </w:pPr>
            <w:r>
              <w:t xml:space="preserve">0,0</w:t>
            </w:r>
          </w:p>
        </w:tc>
        <w:tc>
          <w:tcPr>
            <w:tcW w:w="2268" w:type="dxa"/>
            <w:vAlign w:val="top"/>
          </w:tcPr>
          <w:p>
            <w:pPr>
              <w:pStyle w:val="TabelaTextoCentro"/>
              <w:jc w:val="center"/>
            </w:pPr>
            <w:r>
              <w:t xml:space="preserve">—</w:t>
            </w:r>
          </w:p>
        </w:tc>
      </w:tr>
      <w:tr>
        <w:trPr>
          <w:cantSplit/>
        </w:trPr>
        <w:tc>
          <w:tcPr>
            <w:tcW w:w="4536" w:type="dxa"/>
            <w:vAlign w:val="top"/>
          </w:tcPr>
          <w:p>
            <w:pPr>
              <w:pStyle w:val="TabelaTexto"/>
              <w:jc w:val="left"/>
            </w:pPr>
            <w:r>
              <w:rPr>
                <w:b/>
              </w:rPr>
              <w:t xml:space="preserve">Total</w:t>
            </w:r>
          </w:p>
        </w:tc>
        <w:tc>
          <w:tcPr>
            <w:tcW w:w="1089" w:type="dxa"/>
            <w:vAlign w:val="top"/>
          </w:tcPr>
          <w:p>
            <w:pPr>
              <w:pStyle w:val="TabelaTextoCentro"/>
              <w:jc w:val="center"/>
            </w:pPr>
            <w:r>
              <w:rPr>
                <w:b/>
              </w:rPr>
              <w:t xml:space="preserve">28</w:t>
            </w:r>
          </w:p>
        </w:tc>
        <w:tc>
          <w:tcPr>
            <w:tcW w:w="1179" w:type="dxa"/>
            <w:vAlign w:val="top"/>
          </w:tcPr>
          <w:p>
            <w:pPr>
              <w:pStyle w:val="TabelaTextoCentro"/>
              <w:jc w:val="center"/>
            </w:pPr>
            <w:r>
              <w:rPr>
                <w:b/>
              </w:rPr>
              <w:t xml:space="preserve">100,0</w:t>
            </w:r>
          </w:p>
        </w:tc>
        <w:tc>
          <w:tcPr>
            <w:tcW w:w="2268" w:type="dxa"/>
            <w:vAlign w:val="top"/>
          </w:tcPr>
          <w:p>
            <w:pPr>
              <w:pStyle w:val="TabelaTextoCentro"/>
              <w:jc w:val="center"/>
            </w:pPr>
            <w:r>
              <w:t xml:space="preserve">—</w:t>
            </w:r>
          </w:p>
        </w:tc>
      </w:tr>
    </w:tbl>
    <w:p>
      <w:pPr>
        <w:pStyle w:val="Fonte"/>
      </w:pPr>
      <w:r>
        <w:t xml:space="preserve">Fonte: Elaborado pelos autores (2026).</w:t>
      </w:r>
    </w:p>
    <w:p>
      <w:pPr>
        <w:pStyle w:val="Fonte"/>
        <w:spacing w:after="240"/>
      </w:pPr>
      <w:r>
        <w:t xml:space="preserve">Nota: cada estudo foi alocado a um único eixo, o predominante na sua análise. As porcentagens podem não somar 100,0 em razão do arredondamento.</w:t>
      </w:r>
    </w:p>
    <w:p>
      <w:pPr>
        <w:pStyle w:val="Titulo1"/>
      </w:pPr>
      <w:r>
        <w:t xml:space="preserve">4 Discussão</w:t>
      </w:r>
    </w:p>
    <w:p>
      <w:pPr>
        <w:pStyle w:val="Titulo2"/>
      </w:pPr>
      <w:r>
        <w:t xml:space="preserve">4.1 Interpretação dos principais achados</w:t>
      </w:r>
    </w:p>
    <w:p>
      <w:pPr>
        <w:pStyle w:val="Normal"/>
      </w:pPr>
      <w:r>
        <w:t xml:space="preserve">A evidência sintetizada nesta revisão integrativa demonstra que a conversão da colecistectomia videolaparoscópica para laparotomia decorre da convergência de fatores demográficos, inflamatórios sistêmicos, ultrassonográficos e intraoperatórios anatômicos. Dentre as características dos pacientes, a idade avançada (&gt;50 a &gt;60 anos) e o sexo masculino destacam-se como preditores clínicos recorrentes de maior dificuldade técnica e conversão [3,10,13-16]. Em coorte prospectiva argentina, o sexo masculino (</w:t>
      </w:r>
      <w:r>
        <w:rPr>
          <w:i/>
        </w:rPr>
        <w:t xml:space="preserve">odds ratio</w:t>
      </w:r>
      <w:r>
        <w:t xml:space="preserve"> [OR] 6,63; intervalo de confiança de 95% [IC 95%] 1,75-25,08) e a cirurgia abdominal prévia (OR 11,70; IC 95% 1,48-92,37) foram preditores independentes de colecistectomia laparoscópica difícil em análise multivariada [10], englobando a totalidade dos pacientes convertidos (11,25%) [10]. Em coorte prospectiva mexicana de grande porte, sexo masculino, idade &gt;60 anos e cirurgia prévia em andar superior mantiveram forte associação com conversão [15]. Em contrapartida, série transversal mexicana com 362 participantes identificou o sexo feminino, associado a sobrepeso e idade &gt;65 anos, como fator de risco em população com alta prevalência de colecistopatia inflamatória crônica [8]. A obesidade e o índice de massa corporal elevado também se associaram à conversão e à complexidade cirúrgica em coortes na Colômbia [17], Índia [4,13,14] e Tailândia [18].</w:t>
      </w:r>
    </w:p>
    <w:p>
      <w:pPr>
        <w:pStyle w:val="Normal"/>
      </w:pPr>
      <w:r>
        <w:t xml:space="preserve">No domínio laboratorial e ultrassonográfico, a inflamação tecidual local e a resposta de fase aguda sistêmica fornecem subsídios quantitativos cruciais para a estratificação pré-operatória. A proteína C-reativa correlacionou-se estreitamente com a conversão e o tempo cirúrgico prolongado: em coorte prospectiva no Nepal, a PCR média foi de 18,2 mg/L nos procedimentos simples, 36,0 mg/L nos difíceis e 50,1 mg/L nos convertidos [27]; na China, PCR &gt; 8,2 mg/L elevou significativamente o risco operatório (OR 4,21) [26]; e no México, PCR &gt; 10 mg/dL associou-se à conversão [8]. O espessamento da parede vesicular à ultrassonografia constitui achado unânime de alerta [4,9,12,17,22-25]. Em coorte prospectiva indiana, a taxa de conversão saltou de 3,6% em pacientes com espessura ≤ 2 mm para 20,0% naqueles com espessura &gt; 6 mm, com espessura &gt; 2 mm comportando-se como preditor independente (</w:t>
      </w:r>
      <w:r>
        <w:rPr>
          <w:i/>
        </w:rPr>
        <w:t xml:space="preserve">odds ratio</w:t>
      </w:r>
      <w:r>
        <w:t xml:space="preserve"> ajustado [AOR] 2,41; IC 95% 1,08-5,36; corte ótimo &gt; 3 mm, área sob a curva [AUC] 0,72) [23]. Na Turquia, Altıner et al. [25] estabeleceram o ponto de corte ≥ 5,75 mm com elevada acurácia (AUC 0,907, sensibilidade 85,7% e especificidade 84,9%). Espessamentos extremos (&gt; 7 mm) associaram-se invariavelmente à conversão e complicações locais [24]. A presença de líquido perivesicular [4,25,26], vesícula escleroatrófica contraída [9,15,18,21], cálculo infundibular impactado [4,13,22] e dilatação de vias biliares [11,13,15] completam o perfil de risco ultrassonográfico.</w:t>
      </w:r>
    </w:p>
    <w:p>
      <w:pPr>
        <w:pStyle w:val="Normal"/>
      </w:pPr>
      <w:r>
        <w:t xml:space="preserve">No plano intraoperatório, a distorção anatômica e a incapacidade de delimitação precisa dos elementos do triângulo hepatocístico (triângulo de Calot) representam o gatilho final para a decisão de conversão [2,7,11,26]. Em estudo paraguaio, a não identificação das estruturas anatômicas por aderências firmes foi responsável por 100% das conversões registradas [2], achado reforçado na Bolívia [7] e na Índia [11]. A falha na obtenção da visão crítica de segurança (VCS) e a presença de fístula colecistoentérica ou coledocolitíase associada impuseram a laparotomia como medida de prudência operatória [11]. A aplicação de escalas intraoperatórias objetivas, notadamente a classificação de Parkland [5,17,19], confirmou que graus anatômicos avançados (graus 4 e 5) associam-se fortemente a tempo cirúrgico prolongado e conversão [17,19]. Além disso, a curva de aprendizado da equipe cirúrgica exerce papel relevante: cirurgiões em formação e com menor experiência apresentaram maior probabilidade de conversão frente a cirurgiões seniores [8,17].</w:t>
      </w:r>
    </w:p>
    <w:p>
      <w:pPr>
        <w:pStyle w:val="Normal"/>
      </w:pPr>
      <w:r>
        <w:t xml:space="preserve">Diversos sistemas de pontuação e nomogramas pré-operatórios foram desenvolvidos para integrar essas variáveis multimodais. Nagarla et al. [13] validaram um escore de 15 pontos baseado em variáveis clínicas, laboratoriais e ultrassonográficas com excelente discriminação (AUC 0,927). Zhou et al. [26] desenvolveram nomograma baseado em tomografia e PCR com AUC de 0,903. O escore de Randhawa e sua versão modificada exibiram acurácia de moderada a substancial (AUC 0,75 a 0,82) [4,18], enquanto outros modelos práticos propostos por Ramírez-Giraldo et al. [29] (AUC 0,88) e V ST et al. [9] permitiram estratificar pacientes em faixas progressivas de probabilidade de conversão.</w:t>
      </w:r>
    </w:p>
    <w:p>
      <w:pPr>
        <w:pStyle w:val="Titulo2"/>
      </w:pPr>
      <w:r>
        <w:t xml:space="preserve">4.2 Diálogo crítico entre os estudos</w:t>
      </w:r>
    </w:p>
    <w:p>
      <w:pPr>
        <w:pStyle w:val="Normal"/>
      </w:pPr>
      <w:r>
        <w:t xml:space="preserve">O confronto analítico dos achados expõe consonâncias essenciais e divergências metodológicas expressivas. Observa-se consenso inequívoco quanto ao papel da inflamação local da vesícula e da anatomia fibrótica como principais determinantes da falha laparoscópica. No entanto, os limiares numéricos propostos para variáveis contínuas divergem substancialmente. Para a espessura da parede vesicular, os pontos de corte discriminativos variaram de &gt;2 mm [23], &gt;4 mm [4,13] até ≥5,75 mm [25] e &gt;7 mm [24]. Essa disparidade decorre tanto da heterogeneidade clínica das amostras — coortes com predomínio de litíase sintomática crônica eletiva [4,19,23] versus colecistite aguda com apresentações de urgência [24-27] — quanto de variações interobservador na mensuração ultrassonográfica.</w:t>
      </w:r>
    </w:p>
    <w:p>
      <w:pPr>
        <w:pStyle w:val="Normal"/>
      </w:pPr>
      <w:r>
        <w:t xml:space="preserve">Quanto aos biomarcadores laboratoriais, a elevação da PCR demonstra forte associação com colecistite complicada e conversão em diferentes coortes [8,20,26,27], mas os valores de corte oscilam conforme a gravidade basal dos pacientes e o tempo decorrido desde o início dos sintomas. Em estudo com pacientes submetidos à colecistostomia percutânea prévia, Yoshitake et al. [20] demonstraram que a PCR no momento do diagnóstico permaneceu preditor independente mesmo após drenagem biliar, enquanto o intervalo entre a drenagem e a cirurgia não alterou o risco de procedimentos de salvamento. Por sua vez, a avaliação de índices compostos (RNL, razão PCR-albumina e índice de carga inflamatória) [19] mostrou-se promissora para antecipar escores de Parkland elevados, indicando que a resposta imuno-inflamatória sistêmica espelha com precisão a magnitude do bloqueio aderencial no hipocôndrio direito.</w:t>
      </w:r>
    </w:p>
    <w:p>
      <w:pPr>
        <w:pStyle w:val="Normal"/>
      </w:pPr>
      <w:r>
        <w:t xml:space="preserve">O impacto de procedimentos endoscópicos e percutâneos prévios na vesícula e vias biliares constitui outro ponto de reflexão clínica. Shiihara et al. [16] identificaram que o intervalo de 15 a 60 dias entre a colangiopancreatografia retrógrada endoscópica e a colecistectomia laparoscópica associou-se à maior taxa de cirurgia difícil (33,0%), indicando que a manipulação biliar prévia desencadeia processo cicatricial inflamatório pericoledociano que atinge o ápice de fibrose nas primeiras semanas. De modo similar, episódios agudos operados após o período de janela precoce (após 7 dias do início do quadro) associaram-se a maior índice de conversão e internação estendida em comparação aos abordados na fase inicial [1,3].</w:t>
      </w:r>
    </w:p>
    <w:p>
      <w:pPr>
        <w:pStyle w:val="Normal"/>
      </w:pPr>
      <w:r>
        <w:t xml:space="preserve">A contribuição das coortes da América Latina [1-3,5-8,10,15,17,29] enriquece sobremaneira a síntese desta revisão, refletindo a prática cirúrgica em hospitais gerais e de ensino da região. As taxas de conversão reportadas variaram de 1,96% a 11,25%, espelhando desde casuísticas de centros terciários organizados [6] até unidades onde limitações estruturais de instrumentais [3] e retardo na procura de atendimento de saúde [1] condicionam apresentações com plastrão vesicular denso. Essa contextualização regional reafirma que modelos preditivos necessitam considerar a infraestrutura e a experiência cirúrgica disponível, não apenas parâmetros biológicos intrínsecos.</w:t>
      </w:r>
    </w:p>
    <w:p>
      <w:pPr>
        <w:pStyle w:val="Titulo2"/>
      </w:pPr>
      <w:r>
        <w:t xml:space="preserve">4.3 Limitações</w:t>
      </w:r>
    </w:p>
    <w:p>
      <w:pPr>
        <w:pStyle w:val="Normal"/>
      </w:pPr>
      <w:r>
        <w:t xml:space="preserve">Esta revisão apresenta limitações metodológicas que devem ser consideradas na interpretação dos achados. A triagem de títulos e resumos foi assistida por ferramenta de inteligência artificial, sem registro de dupla avaliação humana independente, o que pode ter introduzido viés de seleção. A extração de dados baseou-se nos resumos estruturados e dados publicados dos registros das bases científicas, limitando a verificação de minúcias cirúrgicas descritas apenas nos corpos dos textos. Observou-se acentuada heterogeneidade nos delineamentos e na conceituação de colecistectomia difícil entre as fontes primárias, além da variabilidade geográfica e institucional nos recursos tecnológicos disponíveis, o que impediu a síntese quantitativa por metanálise e recomenda cautela na generalização dos pontos de corte propostos.</w:t>
      </w:r>
    </w:p>
    <w:p>
      <w:pPr>
        <w:pStyle w:val="Titulo2"/>
      </w:pPr>
      <w:r>
        <w:t xml:space="preserve">4.4 Implicações para a prática e para a pesquisa</w:t>
      </w:r>
    </w:p>
    <w:p>
      <w:pPr>
        <w:pStyle w:val="Normal"/>
      </w:pPr>
      <w:r>
        <w:t xml:space="preserve">Na prática clínica, os achados sintetizados sustentam a adoção rotineira de um checklist pré-operatório multimodal para todos os pacientes candidatos à colecistectomia videolaparoscópica. A solicitação sistemática de PCR, hemograma completo e ultrassonografia abdominal com relatório estruturado — detalhando espessura parietal em milímetros, presença de lâmina líquida perivesicular, impactação calculosa infundibular e calibre do colédoco — deve nortear o planejamento cirúrgico. Pacientes que apresentem constelação de alto risco (homens idosos, antecedente de cirurgia em andar superior do abdome, parede &gt;4 mm, PCR francamente elevada ou escore de risco elevado em modelos como o de Nagarla et al. [13], Zhou et al. [26] ou Ramírez-Giraldo et al. [29]) devem ser agendados preferencialmente sob a condução de cirurgiões experientes, com previsão de tempo cirúrgico adequado, reserva hemoterápica e esclarecimento detalhado no termo de consentimento livre e esclarecido. No intraoperatório, a identificação precoce de graus 4 ou 5 na escala de Parkland [5,17,19] ou a impossibilidade de individualizar as estruturas anatômicas de Calot [2,11] deve motivar a busca disciplinada pela visão crítica de segurança [11] e o emprego oportuno de condutas de resgate — como a colecistectomia subtotal ou a conversão tática e precoce para via aberta —, evitando a persistência em dissecções às cegas que culminem em lesões iatrogênicas das vias biliares.</w:t>
      </w:r>
    </w:p>
    <w:p>
      <w:pPr>
        <w:pStyle w:val="Normal"/>
      </w:pPr>
      <w:r>
        <w:t xml:space="preserve">Para a pesquisa biomédica, faz-se imperativa a padronização terminológica internacional dos critérios de 'colecistectomia difícil', definindo com clareza os limites entre tempo cirúrgico prolongado, dissecção complexa, colecistectomia subtotal e conversão laparotômica. Estudos prospectivos multicêntricos com validação externa de escores pré-operatórios de fácil aplicabilidade à beira do leito são prioritários, sobretudo no contexto latino-americano. Ensaios controlados que avaliem o intervalo temporal ótimo para colecistectomia após intervenções biliares invasivas (colangiopancreatografia retrógrada endoscópica [CPRE] e drenagens percutâneas) [16,20] contribuirão para sanar controvérsias existentes. Por fim, a avaliação prospectiva de custos, reinternações e desfechos centrados no paciente (qualidade de vida e dor pós-operatória crônica) permitirá dimensionar de forma abrangente o impacto da conversão na jornada do paciente cirúrgico.</w:t>
      </w:r>
    </w:p>
    <w:p>
      <w:pPr>
        <w:pStyle w:val="Titulo1"/>
      </w:pPr>
      <w:r>
        <w:t xml:space="preserve">5 Conclusão</w:t>
      </w:r>
    </w:p>
    <w:p>
      <w:pPr>
        <w:pStyle w:val="Normal"/>
      </w:pPr>
      <w:r>
        <w:t xml:space="preserve">Os fatores pré-operatórios associados à conversão da colecistectomia videolaparoscópica compreendem variáveis clínicas (idade avançada, sexo masculino, índice de massa corporal elevado ou obesidade, histórico de cirurgia abdominal prévia em andar superior e manipulação biliar prévia por CPRE ou drenagem percutânea), ultrassonográficas (espessamento da parede vesicular acima de 2 a 4 mm, líquido perivesicular, cálculo infundibular impactado e vesícula escleroatrófica) e laboratoriais (leucocitose, proteína C-reativa elevada e aumento de índices inflamatórios como a razão neutrófilo-linfócito). No plano intraoperatório, aderências densas no triângulo hepatocístico de Calot, anatomia obscurecida por plastrão inflamatório, falha na obtenção da visão crítica de segurança, fístula colecistoentérica e menor experiência da equipe cirúrgica constituem os principais determinantes imediatos da conversão tática para laparotomia. A evidência disponível confirma que a conversão decorre da convergência entre inflamação aguda e crônica, alterações anatômicas graves e complexidade técnica, justificando a incorporação rotineira de escores de risco e checklists pré-operatórios para guiar o planejamento cirúrgico e resguardar a integridade das vias biliares.</w:t>
      </w:r>
    </w:p>
    <w:p>
      <w:pPr>
        <w:pStyle w:val="Titulo1"/>
        <w:jc w:val="center"/>
      </w:pPr>
      <w:r>
        <w:t xml:space="preserve">Referências</w:t>
      </w:r>
    </w:p>
    <w:p>
      <w:pPr>
        <w:pStyle w:val="Referencia"/>
      </w:pPr>
      <w:r>
        <w:t xml:space="preserve">1. Altamirano E, Martínez Peluaga J, Rojas A, Matcoski F, Mazzei F, Sánchez M, et al. Surgical treatment of acute cholecystitis in an early phase vs. late. Prensa Med Argent. 2024;110(4):186-190. Disponível em: https://pesquisa.bvsalud.org/portal/resource/pt/biblio-1579990 [citado 2026 set 25]</w:t>
      </w:r>
    </w:p>
    <w:p>
      <w:pPr>
        <w:pStyle w:val="Referencia"/>
      </w:pPr>
      <w:r>
        <w:t xml:space="preserve">2. Sisa-Segovia CG, Guggiari B, Cacace K, Brizuela J, Acosta R, Sosa E. Prevalencia de conversión de colecistectomías videolaparoscópicas en el Hospital de Clínicas durante el año 2021. Cir Parag. 2021;45(3):19-22. doi:10.18004/sopaci.2021.diciembre.19.</w:t>
      </w:r>
    </w:p>
    <w:p>
      <w:pPr>
        <w:pStyle w:val="Referencia"/>
      </w:pPr>
      <w:r>
        <w:t xml:space="preserve">3. Acosta D, Vivenes M, Noval C. Experience in laparoscopic cholecystectomy and its conversion at the Hospital Ana Francisca Pérez de León II. Bol Med Postgrado. 2024;40(1):16-21. Disponível em: https://pesquisa.bvsalud.org/portal/resource/pt/biblio-1666328 [citado 2026 set 25]</w:t>
      </w:r>
    </w:p>
    <w:p>
      <w:pPr>
        <w:pStyle w:val="Referencia"/>
      </w:pPr>
      <w:r>
        <w:t xml:space="preserve">4. Kumar A, Chhabra MK, Chhibber P. Preoperative Prediction of Difficult Laparoscopic Cholecystectomy Using a Scoring System: A Prospective Cohort Study. Cureus. 2026;18(1):e102055. doi:10.7759/cureus.102055. PMID: 41728567.</w:t>
      </w:r>
    </w:p>
    <w:p>
      <w:pPr>
        <w:pStyle w:val="Referencia"/>
      </w:pPr>
      <w:r>
        <w:t xml:space="preserve">5. Sisa-Segovia CG, Guggiari B, Cacace K, Acosta R, Luraschi V. Aplicación de la escala de Parkland en colecistectomías videolaparoscópicas. Cir Parag. 2022;46(2):7-11. doi:10.18004/sopaci.2022.agosto.7.</w:t>
      </w:r>
    </w:p>
    <w:p>
      <w:pPr>
        <w:pStyle w:val="Referencia"/>
      </w:pPr>
      <w:r>
        <w:t xml:space="preserve">6. Ochoa-Ortiz LI, Cervantes-Pérez E, Ramírez-Ochoa S, Gonzalez-Ojeda A, Fuentes-Orozco C, Aguirre-Olmedo I, et al. Risk Factors and Prevalence Associated With Conversion of Laparoscopic Cholecystectomy to Open Cholecystectomy: A Tertiary Care Hospital Experience in Western Mexico. Cureus. 2023;15(9):e45720. doi:10.7759/cureus.45720. PMID: 37868578.</w:t>
      </w:r>
    </w:p>
    <w:p>
      <w:pPr>
        <w:pStyle w:val="Referencia"/>
      </w:pPr>
      <w:r>
        <w:t xml:space="preserve">7. Aguila Gómez MV, Ustarez Martínez RC. Laparoscopic cholecystectomy at Los Pinos municipal hospital, 2012 - 2022. Rev Med (La Paz). 2023;29(1):27-32. Disponível em: https://pesquisa.bvsalud.org/portal/resource/pt/biblio-1450161 [citado 2026 set 25]</w:t>
      </w:r>
    </w:p>
    <w:p>
      <w:pPr>
        <w:pStyle w:val="Referencia"/>
      </w:pPr>
      <w:r>
        <w:t xml:space="preserve">8. Medina López JL. Predictores de conversión de colecistectomía laparoscópica a colecistectomía abierta. Cir Gen. 2024;46(3):143-152. doi:10.35366/118725.</w:t>
      </w:r>
    </w:p>
    <w:p>
      <w:pPr>
        <w:pStyle w:val="Referencia"/>
      </w:pPr>
      <w:r>
        <w:t xml:space="preserve">9. V ST, Ramakrishnan R, Srinivasan JP. Predictive score for conversion in laparoscopic cholecystectomy - a prospective study. Turk J Surg. 2025;41(2):141-146. doi:10.47717/turkjsurg.2025.6690. PMID: 40083195.</w:t>
      </w:r>
    </w:p>
    <w:p>
      <w:pPr>
        <w:pStyle w:val="Referencia"/>
      </w:pPr>
      <w:r>
        <w:t xml:space="preserve">10. Lauferman LJ, Ayón Dejo CB, Di Pietro C, Rivera J, Minetto JM, Geraghty AM. Factores de riesgo prequirúrgicos para una colecistectomía laparoscópica difícil. Rev Argent Cir. 2022;114(1):26-35. Disponível em: http://www.scielo.org.ar/scielo.php?script=sci_arttext&amp;pid=S2250-639X2022000100026 [citado 2026 set 25]</w:t>
      </w:r>
    </w:p>
    <w:p>
      <w:pPr>
        <w:pStyle w:val="Referencia"/>
      </w:pPr>
      <w:r>
        <w:t xml:space="preserve">11. Kumar S, Verma RS, Rahman RA, Singh SP, Khan A. Predicting Conversion From Laparoscopic to Open Cholecystectomy: A Prospective Risk Factor Analysis and Scoring Model Formulation. Cureus. 2025;17(9):e91916. doi:10.7759/cureus.91916. PMID: 41080223.</w:t>
      </w:r>
    </w:p>
    <w:p>
      <w:pPr>
        <w:pStyle w:val="Referencia"/>
      </w:pPr>
      <w:r>
        <w:t xml:space="preserve">12. Khan I, Yadav P, Saran RK, Sharma S, Sharma AK. A Study of the Degree of Gall Bladder Wall Thickness and Its Impact on Patients Undergoing Laparoscopic Cholecystectomy. Cureus. 2023;15(5):e38990. doi:10.7759/cureus.38990. PMID: 37323346.</w:t>
      </w:r>
    </w:p>
    <w:p>
      <w:pPr>
        <w:pStyle w:val="Referencia"/>
      </w:pPr>
      <w:r>
        <w:t xml:space="preserve">13. Nagarla SR, Wante M, Tonape T. Preoperative Prediction of Difficult Laparoscopic Cholecystectomy Using Scoring System: A Clinical Observational Study. Ann Afr Med. 2026;25(5):1168-1172. doi:10.4103/aam.aam_316_25. PMID: 41568625.</w:t>
      </w:r>
    </w:p>
    <w:p>
      <w:pPr>
        <w:pStyle w:val="Referencia"/>
      </w:pPr>
      <w:r>
        <w:t xml:space="preserve">14. Kadirvel D, Vasudevan S, Selvamuthukumaran S, Rajput S, Kumar PG. Identifying the Prognostic Factors Affecting the Conversion From Laparoscopic Cholecystectomy to Open Cholecystectomy in Acute Cholecystitis. Cureus. 2024;16(11):e73975. doi:10.7759/cureus.73975. PMID: 39703271.</w:t>
      </w:r>
    </w:p>
    <w:p>
      <w:pPr>
        <w:pStyle w:val="Referencia"/>
      </w:pPr>
      <w:r>
        <w:t xml:space="preserve">15. Hanson-Viana E, Ayala-Moreno EA, Ortega-Leon LH, Montalvo-Javé EE. The Association of Preoperative Risk Factors for Laparoscopic Conversion to Open Surgery in Elective Cholecystectomy. Euroasian J Hepatogastroenterol. 2022;12(1):6-9. doi:10.5005/jp-journals-10018-1366. PMID: 35990867.</w:t>
      </w:r>
    </w:p>
    <w:p>
      <w:pPr>
        <w:pStyle w:val="Referencia"/>
      </w:pPr>
      <w:r>
        <w:t xml:space="preserve">16. Shiihara M, Shimoda M, Watanabe M, Miyamoto R, Shimazaki J, Suzuki S. Preoperative difficulty assessment of laparoscopic cholecystectomy after treatment for choledocholithiasis. Surg Endosc. 2026;40(9):7813-7818. doi:10.1007/s00464-026-13091-y. PMID: 42426398.</w:t>
      </w:r>
    </w:p>
    <w:p>
      <w:pPr>
        <w:pStyle w:val="Referencia"/>
      </w:pPr>
      <w:r>
        <w:t xml:space="preserve">17. Ensuncho-Hoyos CR, Negrete-Spath CI, Rodríguez-Padilla LM. Factores asociados con la conversión a técnica abierta en la colecistectomía laparoscópica. Rev Colomb Cir. 2023;38(4):666-676. doi:10.30944/20117582.2305.</w:t>
      </w:r>
    </w:p>
    <w:p>
      <w:pPr>
        <w:pStyle w:val="Referencia"/>
      </w:pPr>
      <w:r>
        <w:t xml:space="preserve">18. Tongyoo A, Chotiyasilp P, Sriussadaporn E, Limpavitayaporn P, Mingmalairak C. The pre-operative predictive model for difficult elective laparoscopic cholecystectomy: A modification. Asian J Surg. 2021;44(4):656-661. doi:10.1016/j.asjsur.2020.11.018. PMID: 33349555.</w:t>
      </w:r>
    </w:p>
    <w:p>
      <w:pPr>
        <w:pStyle w:val="Referencia"/>
      </w:pPr>
      <w:r>
        <w:t xml:space="preserve">19. Kahraman YS, Soylu VG, Taşkın Ö, Demir U. Evaluation of inflammation indices according to the Parkland grading scale in laparoscopic cholecystectomy: can inflammation indices predict operative difficulty? A retrospective cross-sectional study. BMC Surg. 2026;26(1):570. doi:10.1186/s12893-026-03934-9. PMID: 42310602.</w:t>
      </w:r>
    </w:p>
    <w:p>
      <w:pPr>
        <w:pStyle w:val="Referencia"/>
      </w:pPr>
      <w:r>
        <w:t xml:space="preserve">20. Yoshitake H, Uchida K, Kataoka N, Mizobata Y. Timing of laparoscopic cholecystectomy after percutaneous transhepatic gallbladder drainage and the risk of bailout surgery: a restricted cubic spline analysis. Eur J Trauma Emerg Surg. 2026;52(1):145. doi:10.1007/s00068-026-03187-4. PMID: 42029756.</w:t>
      </w:r>
    </w:p>
    <w:p>
      <w:pPr>
        <w:pStyle w:val="Referencia"/>
      </w:pPr>
      <w:r>
        <w:t xml:space="preserve">21. Toppo S, Gaurav K, Kumar K, Kumar K, Verma S, Tudoo ST, et al. Assessment of Predictors of Difficult Laparoscopic Cholecystectomy by Clinico-Radiological Parameters at a Tertiary Hospital in Eastern India. Cureus. 2024;16(10):e72512. doi:10.7759/cureus.72512. PMID: 39606514.</w:t>
      </w:r>
    </w:p>
    <w:p>
      <w:pPr>
        <w:pStyle w:val="Referencia"/>
      </w:pPr>
      <w:r>
        <w:t xml:space="preserve">22. Paul S, Khataniar H, Ck A, Rao HK. Preoperative scoring system validation and analysis of associated risk factors in predicting difficult laparoscopic cholecystectomy in patients with acute calculous cholecystitis: A prospective observational study. Turk J Surg. 2022;38(4):375-381. doi:10.47717/turkjsurg.2022.5816. PMID: 36875278.</w:t>
      </w:r>
    </w:p>
    <w:p>
      <w:pPr>
        <w:pStyle w:val="Referencia"/>
      </w:pPr>
      <w:r>
        <w:t xml:space="preserve">23. Kritika, Pankaj D, Kumar N, Somvanshi S, Kumar A, Kumar P, et al. Pre-operative sonographic assessment of thick-walled gall bladder in gallstone disease and its influence on the operative outcomes in laparoscopic cholecystectomy. J Minim Access Surg. 2026. doi:10.4103/jmas.jmas_264_26. PMID: 42657981.</w:t>
      </w:r>
    </w:p>
    <w:p>
      <w:pPr>
        <w:pStyle w:val="Referencia"/>
      </w:pPr>
      <w:r>
        <w:t xml:space="preserve">24. Asif N, Sohail AA, Sundardas K, Alvi AR. Association of intra-operative adverse events with gall bladder wall thickness in patients undergoing laparoscopic cholecystectomy for acute calculous cholecystitis: A prospective study from a low middle income country. Pak J Med Sci. 2026;42(411AASC):S28-S32. doi:10.12669/pjms.42.(11AASC).15799. PMID: 42136788.</w:t>
      </w:r>
    </w:p>
    <w:p>
      <w:pPr>
        <w:pStyle w:val="Referencia"/>
      </w:pPr>
      <w:r>
        <w:t xml:space="preserve">25. Altıner S, Ergüder E, Altınok SH, Aydın SM, Barlas AM, Tuncal S. The role of preoperative ultrasound in predicting conversion from laparoscopic cholecystectomy to open surgery in acute cholecystitis. Ulus Travma Acil Cerrahi Derg. 2023;29(10):1109-1113. doi:10.14744/tjtes.2023.45469. PMID: 37791445.</w:t>
      </w:r>
    </w:p>
    <w:p>
      <w:pPr>
        <w:pStyle w:val="Referencia"/>
      </w:pPr>
      <w:r>
        <w:t xml:space="preserve">26. Zhou C, Xia Z, Chu L, Xu Z, Chen Z. Preoperative predictors of difficult laparoscopic cholecystectomy after percutaneous transhepatic gallbladder drainage in patients with cholecystitis. Clinics (Sao Paulo). 2026;81:101132. doi:10.1016/j.clinsp.2026.101132. PMID: 42715902.</w:t>
      </w:r>
    </w:p>
    <w:p>
      <w:pPr>
        <w:pStyle w:val="Referencia"/>
      </w:pPr>
      <w:r>
        <w:t xml:space="preserve">27. Rayamajhi BB, Shrivastav A, Karki G, Ayer DB, Pradhan SK. C-reactive protein as a predicting factor for difficult laparoscopic cholecystectomy or its conversion to open cholecystectomy in acute calculous cholecystitis: an observational study. BMC Surg. 2026;26(1):280. doi:10.1186/s12893-026-03650-4. PMID: 41803849.</w:t>
      </w:r>
    </w:p>
    <w:p>
      <w:pPr>
        <w:pStyle w:val="Referencia"/>
      </w:pPr>
      <w:r>
        <w:t xml:space="preserve">28. Page MJ, McKenzie JE, Bossuyt PM, Boutron I, Hoffmann TC, Mulrow CD, et al. The PRISMA 2020 statement: an updated guideline for reporting systematic reviews. BMJ. 2021;372:n71. doi:10.1136/bmj.n71. PMID: 33782057.</w:t>
      </w:r>
    </w:p>
    <w:p>
      <w:pPr>
        <w:pStyle w:val="Referencia"/>
      </w:pPr>
      <w:r>
        <w:t xml:space="preserve">29. Ramírez-Giraldo C, Alvarado-Valenzuela K, Isaza-Restrepo A, Navarro-Alean J. Predicting the difficult laparoscopic cholecystectomy based on a preoperative scale. Updates Surg. 2022;74(3):969-977. doi:10.1007/s13304-021-01216-y. PMID: 35122205.</w:t>
      </w:r>
    </w:p>
    <w:sectPr>
      <w:headerReference w:type="default" r:id="rIdCabecalho"/>
      <w:pgSz w:w="11906" w:h="16838"/>
      <w:pgMar w:top="1701" w:right="1134" w:bottom="1134" w:left="1701" w:header="709" w:footer="709" w:gutter="0"/>
    </w:sectPr>
  </w:body>
</w:document>
</file>

<file path=word/header1.xml><?xml version="1.0" encoding="utf-8"?>
<w:hdr xmlns:w="http://schemas.openxmlformats.org/wordprocessingml/2006/main">
  <w:p>
    <w:pPr>
      <w:jc w:val="right"/>
      <w:ind w:firstLine="0"/>
    </w:pPr>
    <w:r>
      <w:fldChar w:fldCharType="begin"/>
    </w:r>
    <w:r>
      <w:instrText xml:space="preserve"> PAGE </w:instrText>
    </w:r>
    <w:r>
      <w:fldChar w:fldCharType="separate"/>
    </w:r>
    <w:r>
      <w:t>1</w:t>
    </w:r>
    <w:r>
      <w:fldChar w:fldCharType="end"/>
    </w:r>
  </w:p>
</w:hdr>
</file>

<file path=word/settings.xml><?xml version="1.0" encoding="utf-8"?>
<w:settings xmlns:w="http://schemas.openxmlformats.org/wordprocessingml/2006/main">
  <w:autoHyphenation/>
  <w:consecutiveHyphenLimit w:val="2"/>
  <w:hyphenationZone w:val="357"/>
  <w:defaultTabStop w:val="709"/>
  <w:characterSpacingControl w:val="doNotCompress"/>
  <w:themeFontLang w:val="pt-BR"/>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pt-BR" w:eastAsia="pt-BR" w:bidi="ar-SA"/>
      </w:rPr>
    </w:rPrDefault>
    <w:pPrDefault>
      <w:pPr>
        <w:spacing w:after="0" w:line="360" w:lineRule="auto"/>
      </w:pPr>
    </w:pPrDefault>
  </w:docDefaults>
  <w:style w:type="paragraph" w:default="1" w:styleId="Normal">
    <w:name w:val="Normal"/>
    <w:qFormat/>
    <w:pPr>
      <w:jc w:val="both"/>
      <w:ind w:firstLine="709"/>
    </w:pPr>
  </w:style>
  <w:style w:type="paragraph" w:styleId="Titulo">
    <w:name w:val="Title"/>
    <w:basedOn w:val="Normal"/>
    <w:qFormat/>
    <w:pPr>
      <w:jc w:val="center"/>
      <w:ind w:firstLine="0"/>
      <w:spacing w:after="160"/>
    </w:pPr>
    <w:rPr>
      <w:b/>
      <w:caps/>
      <w:sz w:val="28"/>
      <w:szCs w:val="28"/>
    </w:rPr>
  </w:style>
  <w:style w:type="paragraph" w:styleId="Subtitulo">
    <w:name w:val="Subtitle"/>
    <w:basedOn w:val="Normal"/>
    <w:pPr>
      <w:jc w:val="center"/>
      <w:ind w:firstLine="0"/>
      <w:spacing w:before="40" w:after="120" w:line="240" w:lineRule="auto"/>
    </w:pPr>
    <w:rPr>
      <w:i/>
      <w:sz w:val="22"/>
      <w:szCs w:val="22"/>
    </w:rPr>
  </w:style>
  <w:style w:type="paragraph" w:styleId="Frontal">
    <w:name w:val="Frontal"/>
    <w:basedOn w:val="Normal"/>
    <w:pPr>
      <w:jc w:val="center"/>
      <w:ind w:firstLine="0"/>
      <w:spacing w:before="60" w:after="120" w:line="240" w:lineRule="auto"/>
    </w:pPr>
    <w:rPr>
      <w:sz w:val="22"/>
      <w:szCs w:val="22"/>
    </w:rPr>
  </w:style>
  <w:style w:type="paragraph" w:styleId="Afiliacao">
    <w:name w:val="Afiliacao"/>
    <w:basedOn w:val="Normal"/>
    <w:pPr>
      <w:jc w:val="center"/>
      <w:ind w:firstLine="0"/>
      <w:spacing w:before="40" w:after="160" w:line="240" w:lineRule="auto"/>
    </w:pPr>
    <w:rPr>
      <w:i/>
      <w:sz w:val="20"/>
      <w:szCs w:val="20"/>
    </w:rPr>
  </w:style>
  <w:style w:type="paragraph" w:styleId="Titulo1">
    <w:name w:val="heading 1"/>
    <w:basedOn w:val="Normal"/>
    <w:next w:val="Normal"/>
    <w:qFormat/>
    <w:pPr>
      <w:keepNext/>
      <w:jc w:val="left"/>
      <w:ind w:firstLine="0"/>
      <w:spacing w:before="360" w:after="240"/>
      <w:outlineLvl w:val="0"/>
    </w:pPr>
    <w:rPr>
      <w:b/>
      <w:caps/>
    </w:rPr>
  </w:style>
  <w:style w:type="paragraph" w:styleId="Titulo2">
    <w:name w:val="heading 2"/>
    <w:basedOn w:val="Normal"/>
    <w:next w:val="Normal"/>
    <w:qFormat/>
    <w:pPr>
      <w:keepNext/>
      <w:jc w:val="left"/>
      <w:ind w:firstLine="0"/>
      <w:spacing w:before="240" w:after="120"/>
      <w:outlineLvl w:val="1"/>
    </w:pPr>
    <w:rPr>
      <w:b/>
    </w:rPr>
  </w:style>
  <w:style w:type="paragraph" w:styleId="Resumo">
    <w:name w:val="Resumo"/>
    <w:basedOn w:val="Normal"/>
    <w:pPr>
      <w:jc w:val="both"/>
      <w:ind w:firstLine="0"/>
      <w:spacing w:before="80" w:after="60" w:line="240" w:lineRule="auto"/>
    </w:pPr>
    <w:rPr>
      <w:sz w:val="20"/>
      <w:szCs w:val="20"/>
    </w:rPr>
  </w:style>
  <w:style w:type="paragraph" w:styleId="PalavrasChave">
    <w:name w:val="PalavrasChave"/>
    <w:basedOn w:val="Normal"/>
    <w:pPr>
      <w:jc w:val="both"/>
      <w:ind w:firstLine="0"/>
      <w:spacing w:before="40" w:after="160" w:line="240" w:lineRule="auto"/>
    </w:pPr>
    <w:rPr>
      <w:sz w:val="20"/>
      <w:szCs w:val="20"/>
    </w:rPr>
  </w:style>
  <w:style w:type="paragraph" w:styleId="Legenda">
    <w:name w:val="caption"/>
    <w:basedOn w:val="Normal"/>
    <w:pPr>
      <w:keepNext/>
      <w:jc w:val="left"/>
      <w:ind w:firstLine="0"/>
      <w:spacing w:before="240" w:after="60" w:line="240" w:lineRule="auto"/>
    </w:pPr>
    <w:rPr>
      <w:sz w:val="20"/>
      <w:szCs w:val="20"/>
    </w:rPr>
  </w:style>
  <w:style w:type="paragraph" w:styleId="Fonte">
    <w:name w:val="Fonte"/>
    <w:basedOn w:val="Normal"/>
    <w:pPr>
      <w:jc w:val="both"/>
      <w:ind w:firstLine="0"/>
      <w:spacing w:before="60" w:after="60" w:line="240" w:lineRule="auto"/>
    </w:pPr>
    <w:rPr>
      <w:sz w:val="20"/>
      <w:szCs w:val="20"/>
    </w:rPr>
  </w:style>
  <w:style w:type="paragraph" w:styleId="TabelaTexto">
    <w:name w:val="Tabela texto"/>
    <w:basedOn w:val="Normal"/>
    <w:pPr>
      <w:jc w:val="left"/>
      <w:ind w:firstLine="0"/>
      <w:spacing w:before="30" w:after="30" w:line="240" w:lineRule="auto"/>
    </w:pPr>
    <w:rPr>
      <w:sz w:val="19"/>
      <w:szCs w:val="19"/>
    </w:rPr>
  </w:style>
  <w:style w:type="paragraph" w:styleId="TabelaTextoCentro">
    <w:name w:val="Tabela texto centro"/>
    <w:basedOn w:val="TabelaTexto"/>
    <w:pPr>
      <w:jc w:val="center"/>
    </w:pPr>
  </w:style>
  <w:style w:type="paragraph" w:styleId="TabelaCabecalho">
    <w:name w:val="Tabela cabecalho"/>
    <w:basedOn w:val="TabelaTexto"/>
    <w:pPr>
      <w:spacing w:before="40" w:after="40"/>
    </w:pPr>
    <w:rPr>
      <w:b/>
      <w:sz w:val="19"/>
      <w:szCs w:val="19"/>
    </w:rPr>
  </w:style>
  <w:style w:type="paragraph" w:styleId="TabelaCabecalhoCentro">
    <w:name w:val="Tabela cabecalho centro"/>
    <w:basedOn w:val="TabelaCabecalho"/>
    <w:pPr>
      <w:jc w:val="center"/>
    </w:pPr>
  </w:style>
  <w:style w:type="paragraph" w:styleId="Figura">
    <w:name w:val="Figura"/>
    <w:basedOn w:val="Normal"/>
    <w:pPr>
      <w:keepNext/>
      <w:jc w:val="center"/>
      <w:ind w:firstLine="0"/>
      <w:spacing w:line="240" w:lineRule="auto"/>
    </w:pPr>
  </w:style>
  <w:style w:type="paragraph" w:styleId="Referencia">
    <w:name w:val="Referencia"/>
    <w:basedOn w:val="Normal"/>
    <w:pPr>
      <w:jc w:val="left"/>
      <w:ind w:left="425" w:hanging="425"/>
      <w:spacing w:after="120" w:line="240" w:lineRule="auto"/>
    </w:pPr>
  </w:style>
</w:styles>
</file>

<file path=word/_rels/document.xml.rels><?xml version="1.0" encoding="UTF-8" standalone="yes"?>
<Relationships xmlns="http://schemas.openxmlformats.org/package/2006/relationships"><Relationship Id="rIdEstilos" Type="http://schemas.openxmlformats.org/officeDocument/2006/relationships/styles" Target="styles.xml"/><Relationship Id="rIdCabecalho" Type="http://schemas.openxmlformats.org/officeDocument/2006/relationships/header" Target="header1.xml"/><Relationship Id="rIdConfig" Type="http://schemas.openxmlformats.org/officeDocument/2006/relationships/settings" Target="settings.xml"/><Relationship Id="rIdImg1" Type="http://schemas.openxmlformats.org/officeDocument/2006/relationships/image" Target="media/figura1.png"/></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Fatores associados à conversão da colecistectomia videolaparoscópica para cirurgia aberta: revisão integrativa da literatura</dc:title>
  <dc:creator/>
  <cp:lastModifiedBy/>
  <dcterms:created xsi:type="dcterms:W3CDTF">2026-09-27T12:45:56Z</dcterms:created>
  <dcterms:modified xsi:type="dcterms:W3CDTF">2026-09-27T12:45:56Z</dcterms:modified>
</cp:coreProperties>
</file>