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4362F"/>
          <w:sz w:val="36"/>
          <w:szCs w:val="36"/>
        </w:rPr>
        <w:t xml:space="preserve">TRUST SCORE SYSTEM</w:t>
      </w:r>
    </w:p>
    <w:p>
      <w:pPr>
        <w:spacing w:after="40"/>
        <w:jc w:val="center"/>
      </w:pPr>
      <w:r>
        <w:rPr>
          <w:rFonts w:ascii="Arial" w:cs="Arial" w:eastAsia="Arial" w:hAnsi="Arial"/>
          <w:color w:val="5E2B25"/>
          <w:sz w:val="24"/>
          <w:szCs w:val="24"/>
        </w:rPr>
        <w:t xml:space="preserve">&amp; Document Scanner Placement / Aesthetics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C5546"/>
          <w:sz w:val="17"/>
          <w:szCs w:val="17"/>
        </w:rPr>
        <w:t xml:space="preserve">Auctum Ledger (formerly Greensheet)  ·  Honesty layer that travels with every tier profile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8A8272"/>
          <w:sz w:val="16"/>
          <w:szCs w:val="16"/>
        </w:rPr>
        <w:t xml:space="preserve">Source: github.com/marcusdax/greensheet  ·  services/docintake already live  ·  Design system: Museum Folio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4362F"/>
          <w:sz w:val="30"/>
          <w:szCs w:val="30"/>
        </w:rPr>
        <w:t xml:space="preserve">1. Why a Trust Score — the Honesty Check</w:t>
      </w:r>
    </w:p>
    <w:p>
      <w:pPr>
        <w:spacing w:after="110" w:before="0"/>
      </w:pPr>
      <w:r>
        <w:rPr>
          <w:rFonts w:ascii="Arial" w:cs="Arial" w:eastAsia="Arial" w:hAnsi="Arial"/>
          <w:color w:val="221E1B"/>
          <w:sz w:val="19"/>
          <w:szCs w:val="19"/>
        </w:rPr>
        <w:t xml:space="preserve">Auctum’s brand promise is “Verified, From Origin.” Cup score, ESG, and logistics metrics already live on every lot card. What is missing is a durable, portable honesty signal that answers: “How much should I trust the documents, claims, and counterparties behind this lot or this profile?”</w:t>
      </w:r>
    </w:p>
    <w:p>
      <w:pPr>
        <w:spacing w:after="110" w:before="0"/>
      </w:pPr>
      <w:r>
        <w:rPr>
          <w:rFonts w:ascii="Arial" w:cs="Arial" w:eastAsia="Arial" w:hAnsi="Arial"/>
          <w:color w:val="221E1B"/>
          <w:sz w:val="19"/>
          <w:szCs w:val="19"/>
        </w:rPr>
        <w:t xml:space="preserve">The Trust Score is that signal. It is a continuous 0–100 metric (displayed as an integer with one optional decimal) that: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Attaches permanently to every tier profile — Roaster, Supplier/Exporter, Counterparty, and (derived) Lot.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Is updated by verifiable actions (OCR-accepted documents, on-time payments, QC disputes resolved, audit history), never by self-reported claims alone.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Surfaces as a first-class badge and bar alongside Cup Score and ESG on lot cards, profile headers, and contract review screens.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Provides the checks-and-balances layer: high Trust unlocks faster settlement and lower friction; low Trust forces extra document gates and human review.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4362F"/>
          <w:sz w:val="30"/>
          <w:szCs w:val="30"/>
        </w:rPr>
        <w:t xml:space="preserve">2. Trust Score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E2B25"/>
          <w:sz w:val="24"/>
          <w:szCs w:val="24"/>
        </w:rPr>
        <w:t xml:space="preserve">2.1 Definition &amp; Range</w:t>
      </w:r>
    </w:p>
    <w:p>
      <w:pPr>
        <w:spacing w:after="110" w:before="0"/>
      </w:pPr>
      <w:r>
        <w:rPr>
          <w:rFonts w:ascii="Arial" w:cs="Arial" w:eastAsia="Arial" w:hAnsi="Arial"/>
          <w:color w:val="221E1B"/>
          <w:sz w:val="19"/>
          <w:szCs w:val="19"/>
        </w:rPr>
        <w:t xml:space="preserve">Trust Score ∈ [0, 100]. Default for a brand-new counterparty with zero history: 50 (neutral). Floor is 0; ceiling is 100. Displayed in JetBrains Mono (tabular-nums) exactly like cup scores and prices.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E2B25"/>
          <w:sz w:val="24"/>
          <w:szCs w:val="24"/>
        </w:rPr>
        <w:t xml:space="preserve">2.2 Component Weights (v1)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240"/>
      </w:tblGrid>
      <w:tr>
        <w:tc>
          <w:tcPr>
            <w:tcW w:type="dxa" w:w="3200"/>
            <w:tcBorders>
              <w:top w:val="single" w:color="74362F" w:sz="1"/>
              <w:left w:val="single" w:color="74362F" w:sz="1"/>
              <w:bottom w:val="single" w:color="74362F" w:sz="1"/>
              <w:right w:val="single" w:color="74362F" w:sz="1"/>
            </w:tcBorders>
            <w:shd w:fill="74362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AF9F4"/>
                <w:sz w:val="17"/>
                <w:szCs w:val="17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74362F" w:sz="1"/>
              <w:left w:val="single" w:color="74362F" w:sz="1"/>
              <w:bottom w:val="single" w:color="74362F" w:sz="1"/>
              <w:right w:val="single" w:color="74362F" w:sz="1"/>
            </w:tcBorders>
            <w:shd w:fill="74362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9F4"/>
                <w:sz w:val="17"/>
                <w:szCs w:val="17"/>
              </w:rPr>
              <w:t xml:space="preserve">Weight</w:t>
            </w:r>
          </w:p>
        </w:tc>
        <w:tc>
          <w:tcPr>
            <w:tcW w:type="dxa" w:w="5240"/>
            <w:tcBorders>
              <w:top w:val="single" w:color="74362F" w:sz="1"/>
              <w:left w:val="single" w:color="74362F" w:sz="1"/>
              <w:bottom w:val="single" w:color="74362F" w:sz="1"/>
              <w:right w:val="single" w:color="74362F" w:sz="1"/>
            </w:tcBorders>
            <w:shd w:fill="74362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AF9F4"/>
                <w:sz w:val="17"/>
                <w:szCs w:val="17"/>
              </w:rPr>
              <w:t xml:space="preserve">Signals (examples)</w:t>
            </w:r>
          </w:p>
        </w:tc>
      </w:tr>
      <w:tr>
        <w:tc>
          <w:tcPr>
            <w:tcW w:type="dxa" w:w="32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E1B"/>
                <w:sz w:val="17"/>
                <w:szCs w:val="17"/>
              </w:rPr>
              <w:t xml:space="preserve">Document Verification</w:t>
            </w:r>
          </w:p>
        </w:tc>
        <w:tc>
          <w:tcPr>
            <w:tcW w:type="dxa" w:w="18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35 %</w:t>
            </w:r>
          </w:p>
        </w:tc>
        <w:tc>
          <w:tcPr>
            <w:tcW w:type="dxa" w:w="524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Accepted OCR docs (SCA reports, contracts, phytosanitary, CoO, warehouse receipts). Higher weight for multi-party cross-checks.</w:t>
            </w:r>
          </w:p>
        </w:tc>
      </w:tr>
      <w:tr>
        <w:tc>
          <w:tcPr>
            <w:tcW w:type="dxa" w:w="32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E1B"/>
                <w:sz w:val="17"/>
                <w:szCs w:val="17"/>
              </w:rPr>
              <w:t xml:space="preserve">Transaction Integrity</w:t>
            </w:r>
          </w:p>
        </w:tc>
        <w:tc>
          <w:tcPr>
            <w:tcW w:type="dxa" w:w="18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25 %</w:t>
            </w:r>
          </w:p>
        </w:tc>
        <w:tc>
          <w:tcPr>
            <w:tcW w:type="dxa" w:w="524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On-time payment settlement, no chargebacks, AR aging hygiene, VietQR / providerTxnId clean matches.</w:t>
            </w:r>
          </w:p>
        </w:tc>
      </w:tr>
      <w:tr>
        <w:tc>
          <w:tcPr>
            <w:tcW w:type="dxa" w:w="32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E1B"/>
                <w:sz w:val="17"/>
                <w:szCs w:val="17"/>
              </w:rPr>
              <w:t xml:space="preserve">Quality Consistency</w:t>
            </w:r>
          </w:p>
        </w:tc>
        <w:tc>
          <w:tcPr>
            <w:tcW w:type="dxa" w:w="18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20 %</w:t>
            </w:r>
          </w:p>
        </w:tc>
        <w:tc>
          <w:tcPr>
            <w:tcW w:type="dxa" w:w="524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Cup-score variance vs claimed, QC dispute rate, defect rate from accepted lab reports.</w:t>
            </w:r>
          </w:p>
        </w:tc>
      </w:tr>
      <w:tr>
        <w:tc>
          <w:tcPr>
            <w:tcW w:type="dxa" w:w="32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E1B"/>
                <w:sz w:val="17"/>
                <w:szCs w:val="17"/>
              </w:rPr>
              <w:t xml:space="preserve">Identity &amp; Longevity</w:t>
            </w:r>
          </w:p>
        </w:tc>
        <w:tc>
          <w:tcPr>
            <w:tcW w:type="dxa" w:w="18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12 %</w:t>
            </w:r>
          </w:p>
        </w:tc>
        <w:tc>
          <w:tcPr>
            <w:tcW w:type="dxa" w:w="524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Account age, verified business registration, consistent KYC, number of completed lots.</w:t>
            </w:r>
          </w:p>
        </w:tc>
      </w:tr>
      <w:tr>
        <w:tc>
          <w:tcPr>
            <w:tcW w:type="dxa" w:w="32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E1B"/>
                <w:sz w:val="17"/>
                <w:szCs w:val="17"/>
              </w:rPr>
              <w:t xml:space="preserve">Network Reputation</w:t>
            </w:r>
          </w:p>
        </w:tc>
        <w:tc>
          <w:tcPr>
            <w:tcW w:type="dxa" w:w="18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8 %</w:t>
            </w:r>
          </w:p>
        </w:tc>
        <w:tc>
          <w:tcPr>
            <w:tcW w:type="dxa" w:w="524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Peer feedback from other verified Auctum counterparties (weighted by their own Trust).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5C5546"/>
          <w:sz w:val="17"/>
          <w:szCs w:val="17"/>
        </w:rPr>
        <w:t xml:space="preserve">Weights are versioned. A modelVersion field is stored with every score snapshot so historical displays remain reproducible.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E2B25"/>
          <w:sz w:val="24"/>
          <w:szCs w:val="24"/>
        </w:rPr>
        <w:t xml:space="preserve">2.3 Tier Bands (visual &amp; policy)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640"/>
      </w:tblGrid>
      <w:tr>
        <w:tc>
          <w:tcPr>
            <w:tcW w:type="dxa" w:w="2200"/>
            <w:tcBorders>
              <w:top w:val="single" w:color="74362F" w:sz="1"/>
              <w:left w:val="single" w:color="74362F" w:sz="1"/>
              <w:bottom w:val="single" w:color="74362F" w:sz="1"/>
              <w:right w:val="single" w:color="74362F" w:sz="1"/>
            </w:tcBorders>
            <w:shd w:fill="74362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AF9F4"/>
                <w:sz w:val="17"/>
                <w:szCs w:val="17"/>
              </w:rPr>
              <w:t xml:space="preserve">Band</w:t>
            </w:r>
          </w:p>
        </w:tc>
        <w:tc>
          <w:tcPr>
            <w:tcW w:type="dxa" w:w="1600"/>
            <w:tcBorders>
              <w:top w:val="single" w:color="74362F" w:sz="1"/>
              <w:left w:val="single" w:color="74362F" w:sz="1"/>
              <w:bottom w:val="single" w:color="74362F" w:sz="1"/>
              <w:right w:val="single" w:color="74362F" w:sz="1"/>
            </w:tcBorders>
            <w:shd w:fill="74362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AF9F4"/>
                <w:sz w:val="17"/>
                <w:szCs w:val="17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74362F" w:sz="1"/>
              <w:left w:val="single" w:color="74362F" w:sz="1"/>
              <w:bottom w:val="single" w:color="74362F" w:sz="1"/>
              <w:right w:val="single" w:color="74362F" w:sz="1"/>
            </w:tcBorders>
            <w:shd w:fill="74362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AF9F4"/>
                <w:sz w:val="17"/>
                <w:szCs w:val="17"/>
              </w:rPr>
              <w:t xml:space="preserve">Visual (Museum Folio)</w:t>
            </w:r>
          </w:p>
        </w:tc>
        <w:tc>
          <w:tcPr>
            <w:tcW w:type="dxa" w:w="3640"/>
            <w:tcBorders>
              <w:top w:val="single" w:color="74362F" w:sz="1"/>
              <w:left w:val="single" w:color="74362F" w:sz="1"/>
              <w:bottom w:val="single" w:color="74362F" w:sz="1"/>
              <w:right w:val="single" w:color="74362F" w:sz="1"/>
            </w:tcBorders>
            <w:shd w:fill="74362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AF9F4"/>
                <w:sz w:val="17"/>
                <w:szCs w:val="17"/>
              </w:rPr>
              <w:t xml:space="preserve">Platform effect</w:t>
            </w:r>
          </w:p>
        </w:tc>
      </w:tr>
      <w:tr>
        <w:tc>
          <w:tcPr>
            <w:tcW w:type="dxa" w:w="22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E1B"/>
                <w:sz w:val="17"/>
                <w:szCs w:val="17"/>
              </w:rPr>
              <w:t xml:space="preserve">Sealed (highest)</w:t>
            </w:r>
          </w:p>
        </w:tc>
        <w:tc>
          <w:tcPr>
            <w:tcW w:type="dxa" w:w="16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90–100</w:t>
            </w:r>
          </w:p>
        </w:tc>
        <w:tc>
          <w:tcPr>
            <w:tcW w:type="dxa" w:w="28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brass-300 bg + ink text + seal glyph</w:t>
            </w:r>
          </w:p>
        </w:tc>
        <w:tc>
          <w:tcPr>
            <w:tcW w:type="dxa" w:w="364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Fast-path settlement, fewer doc gates, preferred in Navigator ranking.</w:t>
            </w:r>
          </w:p>
        </w:tc>
      </w:tr>
      <w:tr>
        <w:tc>
          <w:tcPr>
            <w:tcW w:type="dxa" w:w="22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E1B"/>
                <w:sz w:val="17"/>
                <w:szCs w:val="17"/>
              </w:rPr>
              <w:t xml:space="preserve">Verified</w:t>
            </w:r>
          </w:p>
        </w:tc>
        <w:tc>
          <w:tcPr>
            <w:tcW w:type="dxa" w:w="16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75–89.9</w:t>
            </w:r>
          </w:p>
        </w:tc>
        <w:tc>
          <w:tcPr>
            <w:tcW w:type="dxa" w:w="28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sage-600 bg + white</w:t>
            </w:r>
          </w:p>
        </w:tc>
        <w:tc>
          <w:tcPr>
            <w:tcW w:type="dxa" w:w="364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Standard flow; Trust badge shown on lot cards and profiles.</w:t>
            </w:r>
          </w:p>
        </w:tc>
      </w:tr>
      <w:tr>
        <w:tc>
          <w:tcPr>
            <w:tcW w:type="dxa" w:w="22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E1B"/>
                <w:sz w:val="17"/>
                <w:szCs w:val="17"/>
              </w:rPr>
              <w:t xml:space="preserve">Established</w:t>
            </w:r>
          </w:p>
        </w:tc>
        <w:tc>
          <w:tcPr>
            <w:tcW w:type="dxa" w:w="16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55–74.9</w:t>
            </w:r>
          </w:p>
        </w:tc>
        <w:tc>
          <w:tcPr>
            <w:tcW w:type="dxa" w:w="28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oxblood-100 tint + oxblood text</w:t>
            </w:r>
          </w:p>
        </w:tc>
        <w:tc>
          <w:tcPr>
            <w:tcW w:type="dxa" w:w="364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Normal review; OCR still required for material claims.</w:t>
            </w:r>
          </w:p>
        </w:tc>
      </w:tr>
      <w:tr>
        <w:tc>
          <w:tcPr>
            <w:tcW w:type="dxa" w:w="22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E1B"/>
                <w:sz w:val="17"/>
                <w:szCs w:val="17"/>
              </w:rPr>
              <w:t xml:space="preserve">Provisional</w:t>
            </w:r>
          </w:p>
        </w:tc>
        <w:tc>
          <w:tcPr>
            <w:tcW w:type="dxa" w:w="16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35–54.9</w:t>
            </w:r>
          </w:p>
        </w:tc>
        <w:tc>
          <w:tcPr>
            <w:tcW w:type="dxa" w:w="28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neutral-700 bg + white</w:t>
            </w:r>
          </w:p>
        </w:tc>
        <w:tc>
          <w:tcPr>
            <w:tcW w:type="dxa" w:w="364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Extra document gates; payment holds possible until more evidence.</w:t>
            </w:r>
          </w:p>
        </w:tc>
      </w:tr>
      <w:tr>
        <w:tc>
          <w:tcPr>
            <w:tcW w:type="dxa" w:w="22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1E1B"/>
                <w:sz w:val="17"/>
                <w:szCs w:val="17"/>
              </w:rPr>
              <w:t xml:space="preserve">At Risk</w:t>
            </w:r>
          </w:p>
        </w:tc>
        <w:tc>
          <w:tcPr>
            <w:tcW w:type="dxa" w:w="16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0–34.9</w:t>
            </w:r>
          </w:p>
        </w:tc>
        <w:tc>
          <w:tcPr>
            <w:tcW w:type="dxa" w:w="280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danger tint + danger text</w:t>
            </w:r>
          </w:p>
        </w:tc>
        <w:tc>
          <w:tcPr>
            <w:tcW w:type="dxa" w:w="3640"/>
            <w:tcBorders>
              <w:top w:val="single" w:color="D9D3C9" w:sz="1"/>
              <w:left w:val="single" w:color="D9D3C9" w:sz="1"/>
              <w:bottom w:val="single" w:color="D9D3C9" w:sz="1"/>
              <w:right w:val="single" w:color="D9D3C9" w:sz="1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1E1B"/>
                <w:sz w:val="17"/>
                <w:szCs w:val="17"/>
              </w:rPr>
              <w:t xml:space="preserve">Manual review required; limited visibility in public catalog.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E2B25"/>
          <w:sz w:val="24"/>
          <w:szCs w:val="24"/>
        </w:rPr>
        <w:t xml:space="preserve">2.4 Attachment to Tier Profiles</w:t>
      </w:r>
    </w:p>
    <w:p>
      <w:pPr>
        <w:spacing w:after="110" w:before="0"/>
      </w:pPr>
      <w:r>
        <w:rPr>
          <w:rFonts w:ascii="Arial" w:cs="Arial" w:eastAsia="Arial" w:hAnsi="Arial"/>
          <w:color w:val="221E1B"/>
          <w:sz w:val="19"/>
          <w:szCs w:val="19"/>
        </w:rPr>
        <w:t xml:space="preserve">Every profile that participates in commerce carries its own Trust Score: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Roaster (CRM aggregate) — Trust travels with the account across campaigns, sample kits, and orders.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Supplier / Exporter / Counterparty — Trust is the primary honesty signal shown to buyers.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Lot (derived) — Lot Trust is a blend of the supplier’s current Trust + the verification density of documents attached to that specific lot (SCA report accepted, CoO accepted, etc.).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The score is never “reset” by tier upgrades; subscription or commercial tiers may unlock features, but Trust is earned only through evidence.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4362F"/>
          <w:sz w:val="30"/>
          <w:szCs w:val="30"/>
        </w:rPr>
        <w:t xml:space="preserve">3. How Document Scanner / OCR Feeds Trust</w:t>
      </w:r>
    </w:p>
    <w:p>
      <w:pPr>
        <w:spacing w:after="110" w:before="0"/>
      </w:pPr>
      <w:r>
        <w:rPr>
          <w:rFonts w:ascii="Arial" w:cs="Arial" w:eastAsia="Arial" w:hAnsi="Arial"/>
          <w:color w:val="221E1B"/>
          <w:sz w:val="19"/>
          <w:szCs w:val="19"/>
        </w:rPr>
        <w:t xml:space="preserve">The existing services/docintake pipeline (Claude vision + structured outputs, per-field confidence, human accept required) is the primary evidence engine for the Document Verification component (35 %).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On documents.acceptOcr (or equivalent) with a successful link to a lot or counterparty: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Arial" w:cs="Arial" w:eastAsia="Arial" w:hAnsi="Arial"/>
          <w:sz w:val="18"/>
          <w:szCs w:val="18"/>
        </w:rPr>
        <w:t xml:space="preserve">Increment document-verification sub-score based on document type weight (SCA lab report and signed contract &gt; packing list).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Arial" w:cs="Arial" w:eastAsia="Arial" w:hAnsi="Arial"/>
          <w:sz w:val="18"/>
          <w:szCs w:val="18"/>
        </w:rPr>
        <w:t xml:space="preserve">Cross-check extracted fields against existing lot data; large discrepancies lower Quality Consistency.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rFonts w:ascii="Arial" w:cs="Arial" w:eastAsia="Arial" w:hAnsi="Arial"/>
          <w:sz w:val="18"/>
          <w:szCs w:val="18"/>
        </w:rPr>
        <w:t xml:space="preserve">Emit domain event trust.evidence_recorded with documentId, entityType, entityId, delta, modelVersion.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Rejected or low-confidence documents that are never accepted do not move Trust (no negative hit for simply uploading a blurry photo).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Repeated contradictions (e.g., claimed cup score 88 vs accepted lab report 81.5) apply a negative delta to Quality Consistency and, if severe, to overall Trust.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Nothing auto-commits: the same human-in-the-loop rule that protects the ledger also protects Trust integrity.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4362F"/>
          <w:sz w:val="30"/>
          <w:szCs w:val="30"/>
        </w:rPr>
        <w:t xml:space="preserve">4. Where &amp; When the OCR Scanner Appears on the Platform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E2B25"/>
          <w:sz w:val="24"/>
          <w:szCs w:val="24"/>
        </w:rPr>
        <w:t xml:space="preserve">4.1 Primary entry points (when)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Lot Detail / Lot Card expanded view — “Attach evidence” or “Scan lab report / contract” action in the document strip.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QC Audit workspace — primary capture surface for SCA / Q reports (camera or file).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Contract / Offer creation flow — “Scan offer sheet or signed contract” as the first step instead of blank form.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Counterparty / Supplier profile — “Upload verification documents” in the Trust panel.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Warehouse / Receiving — scan warehouse receipt or packing list on goods-in.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Mobile-first field use — camera capture optimized for exporters and QC staff on origin or at port.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E2B25"/>
          <w:sz w:val="24"/>
          <w:szCs w:val="24"/>
        </w:rPr>
        <w:t xml:space="preserve">4.2 Secondary / contextual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Navigator results — subtle “Needs verification” chip when a lot has low document density; clicking opens the attach flow.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Payment / AR screens — when settling against a contract that still lacks an accepted scanned original, prompt for document before release.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Onboarding of a new supplier — guided Trust-building checklist that includes first OCR upload.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E2B25"/>
          <w:sz w:val="24"/>
          <w:szCs w:val="24"/>
        </w:rPr>
        <w:t xml:space="preserve">4.3 What is deliberately not a scanner entry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Marketing / campaign screens (COF flows) — keep them clean; Trust is operational.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Public catalog browse for unauthenticated users — Trust badge may be visible, but upload is authenticated only.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4362F"/>
          <w:sz w:val="30"/>
          <w:szCs w:val="30"/>
        </w:rPr>
        <w:t xml:space="preserve">5. Aesthetic Specification (Museum Folio)</w:t>
      </w:r>
    </w:p>
    <w:p>
      <w:pPr>
        <w:spacing w:after="110" w:before="0"/>
      </w:pPr>
      <w:r>
        <w:rPr>
          <w:rFonts w:ascii="Arial" w:cs="Arial" w:eastAsia="Arial" w:hAnsi="Arial"/>
          <w:color w:val="221E1B"/>
          <w:sz w:val="19"/>
          <w:szCs w:val="19"/>
        </w:rPr>
        <w:t xml:space="preserve">All scanner and Trust UI must consume only design-system tokens. No arbitrary hex. Visual language stays archival, restrained, and legible.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E2B25"/>
          <w:sz w:val="24"/>
          <w:szCs w:val="24"/>
        </w:rPr>
        <w:t xml:space="preserve">5.1 Trust Badge (atom)</w:t>
      </w:r>
    </w:p>
    <w:p>
      <w:pPr>
        <w:spacing w:after="110" w:before="0"/>
      </w:pPr>
      <w:r>
        <w:rPr>
          <w:rFonts w:ascii="Arial" w:cs="Arial" w:eastAsia="Arial" w:hAnsi="Arial"/>
          <w:color w:val="221E1B"/>
          <w:sz w:val="19"/>
          <w:szCs w:val="19"/>
        </w:rPr>
        <w:t xml:space="preserve">Parallel to CupScoreBadge. Geometry: height 24 px (sm) / 28 px (md), radius-full, JetBrains Mono 700 tabular-nums.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Sealed 90–100 → brass-300 bg + ink-900 text + small seal/leaf glyph (earned brass, same language as Outstanding cup score).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Verified 75–89.9 → sage-600 bg + white.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Established 55–74.9 → oxblood-100 tint + oxblood-700 text + 1 px hairline border.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Provisional 35–54.9 → neutral-700 bg + white.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At Risk 0–34.9 → danger tint + danger text.</w:t>
      </w:r>
    </w:p>
    <w:p>
      <w:pPr>
        <w:spacing w:after="110" w:before="0"/>
      </w:pPr>
      <w:r>
        <w:rPr>
          <w:rFonts w:ascii="Arial" w:cs="Arial" w:eastAsia="Arial" w:hAnsi="Arial"/>
          <w:color w:val="221E1B"/>
          <w:sz w:val="19"/>
          <w:szCs w:val="19"/>
        </w:rPr>
        <w:t xml:space="preserve">Tooltip / title: “Trust Score 87 — Verified · 12 accepted documents · model v1.2”. Never show a score without its band color.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E2B25"/>
          <w:sz w:val="24"/>
          <w:szCs w:val="24"/>
        </w:rPr>
        <w:t xml:space="preserve">5.2 Trust Panel on Profile / Lot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Header strip: large mono numeral (text-2xl or text-3xl) + band label in overline + short “Last updated” in brass caption.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Four thin metric bars (Document Verification, Transaction Integrity, Quality Consistency, Network) using the same bar language as Cost / Quality / ESG / Logistics on the lot card — recessed track, oxblood or sage fill.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Document evidence list below: each accepted document as a compact row (type, date, confidence, link to original).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Background always paper-50 / surface; hairline borders only.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E2B25"/>
          <w:sz w:val="24"/>
          <w:szCs w:val="24"/>
        </w:rPr>
        <w:t xml:space="preserve">5.3 Scanner Capture Surface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Drop zone / camera frame: surface bg, 1 px border-interactive, dashed optional only while empty, radius-md.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Idle state copy in muted: “Photograph or drop SCA report, contract, or warehouse receipt”.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Active upload: oxblood spinner (existing loading language), progress in mono.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Mobile: full-width “Take Photo” primary button (oxblood) + secondary “Choose from gallery”.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No gradients, no saturated blue, no illustration that breaks the folio tone. Optional subtle paper texture is acceptable if already in the system.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E2B25"/>
          <w:sz w:val="24"/>
          <w:szCs w:val="24"/>
        </w:rPr>
        <w:t xml:space="preserve">5.4 Review Pane (side-by-side)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Left: original page image (or PDF page) with zoom/pan, paper-like frame, hairline border.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Right: form fields on surface. Each field shows value + confidence badge (green ≥0.85, amber 0.70–0.84, red &lt;0.70) using status tokens.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Low-confidence fields get a soft warning tint (warning-bg) and are auto-focused in sequence.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Primary CTA “Accept &amp; Link to Lot / Profile” = Button primary. Secondary “Reject” = outline or ghost. “Reprocess” = ghost.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Keyboard: Tab cycles fields; Enter on focused primary accepts when all critical fields are above threshold or have been touched.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E2B25"/>
          <w:sz w:val="24"/>
          <w:szCs w:val="24"/>
        </w:rPr>
        <w:t xml:space="preserve">5.5 Placement on Lot Card (integration)</w:t>
      </w:r>
    </w:p>
    <w:p>
      <w:pPr>
        <w:spacing w:after="110" w:before="0"/>
      </w:pPr>
      <w:r>
        <w:rPr>
          <w:rFonts w:ascii="Arial" w:cs="Arial" w:eastAsia="Arial" w:hAnsi="Arial"/>
          <w:color w:val="221E1B"/>
          <w:sz w:val="19"/>
          <w:szCs w:val="19"/>
        </w:rPr>
        <w:t xml:space="preserve">Extend the existing lot-card metrics row: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After cup score and ESG, insert Trust badge (sm).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Optional fifth metric bar “Trust” using the same bar geometry; fill color follows band (brass / sage / oxblood / neutral / danger).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If document density is zero, show a quiet “Add evidence” text link in oxblood instead of a zero score.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4362F"/>
          <w:sz w:val="30"/>
          <w:szCs w:val="30"/>
        </w:rPr>
        <w:t xml:space="preserve">6. Domain Events &amp; Persistence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trust.score_updated — aggregateType Counterparty | Roaster | Lot, payload: { previous, next, components, modelVersion, evidenceIds[] }.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trust.evidence_recorded — fired on every accepted OCR document that contributes to Trust.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Store current score + last 30 snapshots (or Timescale hypertable) for trend lines on the Trust panel.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Score calculation runs as a policy/handler after document.ocr.completed + accept, and after payment.received / QC events.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Idempotent: re-accepting the same documentId does not double-count evidence.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4362F"/>
          <w:sz w:val="30"/>
          <w:szCs w:val="30"/>
        </w:rPr>
        <w:t xml:space="preserve">7. Policy Effects (Checks &amp; Balances)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Sealed / Verified counterparties: optional fast-path for payment release when contract + SCA report are both accepted.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Provisional / At Risk: force additional document types before large settlements; surface warning on Navigator and order review.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Lot with high supplier Trust + accepted lab report: higher ranking weight in Navigator composite (alongside cup score and budget).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Trust never silently gates access without explanation — UI always shows why a gate appeared (“Trust 41 — Provisional: two more verified documents recommended”).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4362F"/>
          <w:sz w:val="30"/>
          <w:szCs w:val="30"/>
        </w:rPr>
        <w:t xml:space="preserve">8. Recommended Implementation Sequence</w:t>
      </w:r>
    </w:p>
    <w:p>
      <w:pPr>
        <w:pStyle w:val="ListParagraph"/>
        <w:numPr>
          <w:ilvl w:val="0"/>
          <w:numId w:val="4"/>
        </w:numPr>
        <w:spacing w:after="55"/>
      </w:pPr>
      <w:r>
        <w:rPr>
          <w:rFonts w:ascii="Arial" w:cs="Arial" w:eastAsia="Arial" w:hAnsi="Arial"/>
          <w:sz w:val="19"/>
          <w:szCs w:val="19"/>
        </w:rPr>
        <w:t xml:space="preserve">Define TrustScore Zod schema + component weights in contracts; add trust_scores + trust_evidence tables.</w:t>
      </w:r>
    </w:p>
    <w:p>
      <w:pPr>
        <w:pStyle w:val="ListParagraph"/>
        <w:numPr>
          <w:ilvl w:val="0"/>
          <w:numId w:val="4"/>
        </w:numPr>
        <w:spacing w:after="55"/>
      </w:pPr>
      <w:r>
        <w:rPr>
          <w:rFonts w:ascii="Arial" w:cs="Arial" w:eastAsia="Arial" w:hAnsi="Arial"/>
          <w:sz w:val="19"/>
          <w:szCs w:val="19"/>
        </w:rPr>
        <w:t xml:space="preserve">Wire trust.evidence_recorded and trust.score_updated into the existing outbox / event pipeline.</w:t>
      </w:r>
    </w:p>
    <w:p>
      <w:pPr>
        <w:pStyle w:val="ListParagraph"/>
        <w:numPr>
          <w:ilvl w:val="0"/>
          <w:numId w:val="4"/>
        </w:numPr>
        <w:spacing w:after="55"/>
      </w:pPr>
      <w:r>
        <w:rPr>
          <w:rFonts w:ascii="Arial" w:cs="Arial" w:eastAsia="Arial" w:hAnsi="Arial"/>
          <w:sz w:val="19"/>
          <w:szCs w:val="19"/>
        </w:rPr>
        <w:t xml:space="preserve">On documents.acceptOcr success path, call Trust calculator and emit events.</w:t>
      </w:r>
    </w:p>
    <w:p>
      <w:pPr>
        <w:pStyle w:val="ListParagraph"/>
        <w:numPr>
          <w:ilvl w:val="0"/>
          <w:numId w:val="4"/>
        </w:numPr>
        <w:spacing w:after="55"/>
      </w:pPr>
      <w:r>
        <w:rPr>
          <w:rFonts w:ascii="Arial" w:cs="Arial" w:eastAsia="Arial" w:hAnsi="Arial"/>
          <w:sz w:val="19"/>
          <w:szCs w:val="19"/>
        </w:rPr>
        <w:t xml:space="preserve">Ship TrustBadge atom (design-system) and place it on lot cards + profile headers.</w:t>
      </w:r>
    </w:p>
    <w:p>
      <w:pPr>
        <w:pStyle w:val="ListParagraph"/>
        <w:numPr>
          <w:ilvl w:val="0"/>
          <w:numId w:val="4"/>
        </w:numPr>
        <w:spacing w:after="55"/>
      </w:pPr>
      <w:r>
        <w:rPr>
          <w:rFonts w:ascii="Arial" w:cs="Arial" w:eastAsia="Arial" w:hAnsi="Arial"/>
          <w:sz w:val="19"/>
          <w:szCs w:val="19"/>
        </w:rPr>
        <w:t xml:space="preserve">Build Trust panel organism (score + component bars + evidence list).</w:t>
      </w:r>
    </w:p>
    <w:p>
      <w:pPr>
        <w:pStyle w:val="ListParagraph"/>
        <w:numPr>
          <w:ilvl w:val="0"/>
          <w:numId w:val="4"/>
        </w:numPr>
        <w:spacing w:after="55"/>
      </w:pPr>
      <w:r>
        <w:rPr>
          <w:rFonts w:ascii="Arial" w:cs="Arial" w:eastAsia="Arial" w:hAnsi="Arial"/>
          <w:sz w:val="19"/>
          <w:szCs w:val="19"/>
        </w:rPr>
        <w:t xml:space="preserve">Add scanner entry points: Lot detail “Attach evidence”, QC Audit primary capture, Contract create “Scan first”.</w:t>
      </w:r>
    </w:p>
    <w:p>
      <w:pPr>
        <w:pStyle w:val="ListParagraph"/>
        <w:numPr>
          <w:ilvl w:val="0"/>
          <w:numId w:val="4"/>
        </w:numPr>
        <w:spacing w:after="55"/>
      </w:pPr>
      <w:r>
        <w:rPr>
          <w:rFonts w:ascii="Arial" w:cs="Arial" w:eastAsia="Arial" w:hAnsi="Arial"/>
          <w:sz w:val="19"/>
          <w:szCs w:val="19"/>
        </w:rPr>
        <w:t xml:space="preserve">Polish Review pane aesthetics to Museum Folio (confidence badges, side-by-side, primary/secondary CTAs).</w:t>
      </w:r>
    </w:p>
    <w:p>
      <w:pPr>
        <w:pStyle w:val="ListParagraph"/>
        <w:numPr>
          <w:ilvl w:val="0"/>
          <w:numId w:val="4"/>
        </w:numPr>
        <w:spacing w:after="55"/>
      </w:pPr>
      <w:r>
        <w:rPr>
          <w:rFonts w:ascii="Arial" w:cs="Arial" w:eastAsia="Arial" w:hAnsi="Arial"/>
          <w:sz w:val="19"/>
          <w:szCs w:val="19"/>
        </w:rPr>
        <w:t xml:space="preserve">Add policy gates for Provisional / At Risk and document-density ranking signal in Navigator.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sz w:val="19"/>
          <w:szCs w:val="19"/>
        </w:rPr>
        <w:t xml:space="preserve">Golden-path tests: upload → accept → Trust delta; double-accept idempotency; band visual regression.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4362F"/>
          <w:sz w:val="30"/>
          <w:szCs w:val="30"/>
        </w:rPr>
        <w:t xml:space="preserve">9. Success Metrics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% of sourced lots that have ≥1 accepted verification document within 7 days of listing.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Correlation of Trust Score with later dispute rate / chargeback rate (should be inverse).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Operator time on Review pane (target: median &lt; 90 s for a clean SCA report).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Zero Trust updates without an evidence event or explicit admin override (audited).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19"/>
          <w:szCs w:val="19"/>
        </w:rPr>
        <w:t xml:space="preserve">Design-system compliance: zero arbitrary colors in Trust / Scanner components (CI token check).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4362F"/>
          <w:sz w:val="30"/>
          <w:szCs w:val="30"/>
        </w:rPr>
        <w:t xml:space="preserve">10. Closing</w:t>
      </w:r>
    </w:p>
    <w:p>
      <w:pPr>
        <w:spacing w:after="110" w:before="0"/>
      </w:pPr>
      <w:r>
        <w:rPr>
          <w:rFonts w:ascii="Arial" w:cs="Arial" w:eastAsia="Arial" w:hAnsi="Arial"/>
          <w:color w:val="221E1B"/>
          <w:sz w:val="19"/>
          <w:szCs w:val="19"/>
        </w:rPr>
        <w:t xml:space="preserve">Trust Score turns the existing docintake pipeline into a durable honesty layer that travels with every Roaster, Supplier, and Lot profile. It respects Auctum’s human-in-the-loop rule, reuses the Museum Folio language already defined for cup-score badges and lot cards, and gives operators and buyers a single, legible signal of how much evidence stands behind a claim.</w:t>
      </w:r>
    </w:p>
    <w:p>
      <w:pPr>
        <w:spacing w:after="110" w:before="0"/>
      </w:pPr>
      <w:r>
        <w:rPr>
          <w:rFonts w:ascii="Arial" w:cs="Arial" w:eastAsia="Arial" w:hAnsi="Arial"/>
          <w:color w:val="221E1B"/>
          <w:sz w:val="19"/>
          <w:szCs w:val="19"/>
        </w:rPr>
        <w:t xml:space="preserve">OCR is not a side feature; it is the primary evidence intake for Trust, surfaced exactly where commercial decisions are made—lot detail, QC, contract creation, and counterparty profiles—while staying invisible on pure marketing surfaces.</w:t>
      </w:r>
    </w:p>
    <w:p>
      <w:pPr>
        <w:spacing w:after="110" w:before="0"/>
      </w:pPr>
      <w:r>
        <w:rPr>
          <w:rFonts w:ascii="Arial" w:cs="Arial" w:eastAsia="Arial" w:hAnsi="Arial"/>
          <w:i/>
          <w:iCs/>
          <w:color w:val="5C5546"/>
          <w:sz w:val="17"/>
          <w:szCs w:val="17"/>
        </w:rPr>
        <w:t xml:space="preserve">Implement in the order above; the first visible win is the TrustBadge on the lot card fed by the first accepted SCA report.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272"/>
        <w:sz w:val="15"/>
        <w:szCs w:val="15"/>
      </w:rPr>
      <w:t xml:space="preserve">Museum Folio  ·  Verified, From Origin  ·  Page </w:t>
    </w:r>
    <w:r>
      <w:rPr>
        <w:rFonts w:ascii="Arial" w:cs="Arial" w:eastAsia="Arial" w:hAnsi="Arial"/>
        <w:color w:val="8A82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4362F" w:sz="6" w:space="4"/>
      </w:pBdr>
    </w:pPr>
    <w:r>
      <w:rPr>
        <w:rFonts w:ascii="Arial" w:cs="Arial" w:eastAsia="Arial" w:hAnsi="Arial"/>
        <w:color w:val="5C5546"/>
        <w:sz w:val="15"/>
        <w:szCs w:val="15"/>
      </w:rPr>
      <w:t xml:space="preserve">Auctum Ledger  ·  Trust Score + Document Scanner UI</w:t>
    </w:r>
    <w:r>
      <w:rPr>
        <w:rFonts w:ascii="Arial" w:cs="Arial" w:eastAsia="Arial" w:hAnsi="Arial"/>
        <w:b/>
        <w:bCs/>
        <w:color w:val="74362F"/>
        <w:sz w:val="15"/>
        <w:szCs w:val="15"/>
      </w:rPr>
      <w:t xml:space="preserve">  · 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4362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E2B2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21E1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2026-08-31T22:25:17.593Z</dcterms:created>
  <dcterms:modified xsi:type="dcterms:W3CDTF">2026-08-31T22:25:17.593Z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