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164f21b8dd04db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Bg"/>
            <wp:cNvGraphicFramePr>
              <a:graphicFrameLocks noChangeAspect="1"/>
            </wp:cNvGraphicFramePr>
            <a:graphic>
              <a:graphicData uri="http://schemas.openxmlformats.org/drawingml/2006/picture">
                <pic:pic>
                  <pic:nvPicPr>
                    <pic:cNvPr id="0" name="bg.png"/>
                    <pic:cNvPicPr/>
                  </pic:nvPicPr>
                  <pic:blipFill>
                    <a:blip r:embed="R752a317296774543"/>
                    <a:stretch>
                      <a:fillRect/>
                    </a:stretch>
                  </pic:blipFill>
                  <pic:spPr>
                    <a:xfrm>
                      <a:off x="0" y="0"/>
                      <a:ext cx="7560000" cy="10692000"/>
                    </a:xfrm>
                    <a:prstGeom prst="rect"/>
                  </pic:spPr>
                </pic:pic>
              </a:graphicData>
            </a:graphic>
          </wp:anchor>
        </w:drawing>
      </w:r>
    </w:p>
    <w:p>
      <w:pPr>
        <w:spacing w:before="3800"/>
      </w:pPr>
      <w:r/>
    </w:p>
    <w:p>
      <w:pPr>
        <w:spacing w:before="3800"/>
      </w:pPr>
      <w:r/>
    </w:p>
    <w:p>
      <w:pPr>
        <w:spacing w:before="0"/>
        <w:jc w:val="center"/>
      </w:pPr>
      <w:r>
        <w:rPr>
          <w:i/>
          <w:color w:val="C9A84C"/>
          <w:sz w:val="18"/>
        </w:rPr>
        <w:t>ODASI TECHNOLOGIES</w:t>
      </w:r>
    </w:p>
    <w:p>
      <w:pPr>
        <w:spacing w:before="200"/>
        <w:jc w:val="center"/>
      </w:pPr>
      <w:r>
        <w:rPr>
          <w:color w:val="FFFFFF"/>
          <w:sz w:val="88"/>
        </w:rPr>
        <w:t>VIVELLA</w:t>
      </w:r>
    </w:p>
    <w:p>
      <w:pPr>
        <w:spacing w:before="400"/>
        <w:jc w:val="center"/>
      </w:pPr>
      <w:r>
        <w:rPr>
          <w:i/>
          <w:color w:val="C9A84C"/>
          <w:sz w:val="32"/>
        </w:rPr>
        <w:t>Property Intelligence Omnibus</w:t>
      </w:r>
    </w:p>
    <w:p>
      <w:pPr>
        <w:spacing w:before="100"/>
        <w:jc w:val="center"/>
      </w:pPr>
      <w:r>
        <w:rPr>
          <w:color w:val="E8D5A3"/>
          <w:sz w:val="18"/>
        </w:rPr>
        <w:t>Compass Rose Architecture | MASTERNEX.os v6.1 | Q2 2026</w:t>
      </w:r>
    </w:p>
    <w:p>
      <w:pPr>
        <w:spacing w:before="600"/>
        <w:jc w:val="center"/>
      </w:pPr>
      <w:r>
        <w:rPr>
          <w:i/>
          <w:color w:val="4A5568"/>
          <w:sz w:val="14"/>
        </w:rPr>
        <w:t>CONFIDENTIAL -- INTERNAL DISTRIBUTION ONLY</w:t>
      </w:r>
    </w:p>
    <w:p>
      <w:pPr>
        <w:sectPr>
          <w:type w:val="nextPage"/>
          <w:pgSz w:w="11906" w:h="16838"/>
          <w:pgMar w:top="0" w:right="0" w:bottom="0" w:left="0" w:header="0" w:footer="0"/>
          <w:titlePg/>
        </w:sectPr>
      </w:pPr>
    </w:p>
    <w:p>
      <w:pPr>
        <w:pStyle w:val="Heading1"/>
      </w:pPr>
      <w:r>
        <w:t>Table of Contents</w:t>
      </w:r>
    </w:p>
    <w:p>
      <w:r>
        <w:fldChar w:fldCharType="begin"/>
      </w:r>
      <w:r>
        <w:instrText xml:space="preserve"> TOC \o "1-3" \h \z \u </w:instrText>
      </w:r>
      <w:r>
        <w:fldChar w:fldCharType="separate"/>
      </w:r>
    </w:p>
    <w:p>
      <w:r>
        <w:fldChar w:fldCharType="end"/>
      </w:r>
    </w:p>
    <w:p>
      <w:pPr>
        <w:sectPr>
          <w:type w:val="nextPage"/>
          <w:pgSz w:w="11906" w:h="16838"/>
          <w:pgMar w:top="0" w:right="0" w:bottom="0" w:left="0" w:header="0" w:footer="0"/>
        </w:sectPr>
      </w:pPr>
    </w:p>
    <w:p>
      <w:pPr>
        <w:pStyle w:val="Heading1"/>
      </w:pPr>
      <w:r>
        <w:t>CHAPTER 00: Strategic Executive Overview</w:t>
      </w:r>
      <w:bookmarkStart w:name="_H1" w:id="1"/>
      <w:bookmarkEnd w:id="1"/>
    </w:p>
    <w:p>
      <w:r>
        <w:t>The global property intelligence landscape is experiencing a systemic divergence between digital representations and physical verified ground truth -- what VIVELLA terms the Reality Crisis. Legacy data architectures suffer from an average eight-month data latency with accuracy rates frequently below 40%. This latency cascades into measurable, quantifiable waste across every sector that depends on location, asset condition, or real-world status as inputs to decision-making.</w:t>
      </w:r>
    </w:p>
    <w:p>
      <w:r>
        <w:t>The VIVELLA Property Intelligence Omnibus addresses this crisis not as a standalone product line but as a suite of integrated modules within the Compass Rose architecture. These modules -- Recon Engine, Sentinel Scanner, Probate Pipeline, Real Estate Prospector, Alter Rendering Engine, and Apex Insight CRM -- operate on the shared MASTERNEX.os v6.1 neuromorphic substrate, creating unified intelligence that compounds with every verified data point.</w:t>
      </w:r>
    </w:p>
    <w:p>
      <w:r>
        <w:t>This document is the single source of truth for the Property Intelligence division's strategy, architecture, market positioning, go-to-market planning, financial projections, and implementation roadmap. It supersedes all prior strategic documents and aligns the property vertical with the unified VIVELLA brand architecture and Compass Rose product framework.</w:t>
      </w:r>
    </w:p>
    <w:p>
      <w:pPr>
        <w:pStyle w:val="Heading2"/>
      </w:pPr>
      <w:r>
        <w:t>The Compass Rose Positioning</w:t>
      </w:r>
    </w:p>
    <w:p>
      <w:r>
        <w:t>Within the Compass Rose architecture, Property Intelligence modules occupy two Cardinal Points and draw capabilities from four Intercardinal Engines. Cardinal East (VIVELLA Guard) hosts the protective intelligence modules: Recon Engine (storm prediction and damage assessment), Sentinel Scanner (property condition monitoring), and the Alter Rendering Engine (visual renovation simulation). Cardinal North (VIVELLA Fiduciary) hosts the financial intelligence modules: Probate Pipeline (estate administration) and Real Estate Prospector (investment opportunity identification).</w:t>
      </w:r>
    </w:p>
    <w:p>
      <w:r>
        <w:t>All modules share the Intercardinal Engine capabilities: VIVELLA Vision (Northeast -- AI perception and computer vision), VIVELLA Attribution (Southeast -- DTA value measurement and Truth Credit distribution), VIVELLA Atlas (Southwest -- geospatial intelligence and satellite data fusion), and VIVELLA Field (Northwest -- sensory awareness and IoT telemetry). At the center of all eight points is MASTERNEX.os v6.1: the neuromagnetic core.</w:t>
      </w:r>
    </w:p>
    <w:p>
      <w:pPr>
        <w:pStyle w:val="Heading2"/>
      </w:pPr>
      <w:r>
        <w:t>Brand Architecture Hierarchy</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Layer</w:t>
            </w:r>
          </w:p>
        </w:tc>
        <w:tc>
          <w:tcPr>
            <w:tcW w:w="2000" w:type="dxa"/>
            <w:shd w:val="clear" w:fill="1B3A4B"/>
          </w:tcPr>
          <w:p>
            <w:pPr>
              <w:spacing w:before="40" w:after="40"/>
            </w:pPr>
            <w:r>
              <w:rPr>
                <w:b/>
                <w:color w:val="FFFFFF"/>
                <w:sz w:val="18"/>
              </w:rPr>
              <w:t>Brand</w:t>
            </w:r>
          </w:p>
        </w:tc>
        <w:tc>
          <w:tcPr>
            <w:tcW w:w="2000" w:type="dxa"/>
            <w:shd w:val="clear" w:fill="1B3A4B"/>
          </w:tcPr>
          <w:p>
            <w:pPr>
              <w:spacing w:before="40" w:after="40"/>
            </w:pPr>
            <w:r>
              <w:rPr>
                <w:b/>
                <w:color w:val="FFFFFF"/>
                <w:sz w:val="18"/>
              </w:rPr>
              <w:t>Role</w:t>
            </w:r>
          </w:p>
        </w:tc>
        <w:tc>
          <w:tcPr>
            <w:tcW w:w="2000" w:type="dxa"/>
            <w:shd w:val="clear" w:fill="1B3A4B"/>
          </w:tcPr>
          <w:p>
            <w:pPr>
              <w:spacing w:before="40" w:after="40"/>
            </w:pPr>
            <w:r>
              <w:rPr>
                <w:b/>
                <w:color w:val="FFFFFF"/>
                <w:sz w:val="18"/>
              </w:rPr>
              <w:t>Audience</w:t>
            </w:r>
          </w:p>
        </w:tc>
      </w:tr>
      <w:tr>
        <w:tc>
          <w:tcPr>
            <w:tcW w:w="2000" w:type="dxa"/>
          </w:tcPr>
          <w:p>
            <w:pPr>
              <w:spacing w:before="40" w:after="40"/>
            </w:pPr>
            <w:r>
              <w:rPr>
                <w:color w:val="4A5568"/>
                <w:sz w:val="18"/>
              </w:rPr>
              <w:t>Substrate (invisible)</w:t>
            </w:r>
          </w:p>
        </w:tc>
        <w:tc>
          <w:tcPr>
            <w:tcW w:w="2000" w:type="dxa"/>
          </w:tcPr>
          <w:p>
            <w:pPr>
              <w:spacing w:before="40" w:after="40"/>
            </w:pPr>
            <w:r>
              <w:rPr>
                <w:color w:val="4A5568"/>
                <w:sz w:val="18"/>
              </w:rPr>
              <w:t>MASTERNEX.os v6.1</w:t>
            </w:r>
          </w:p>
        </w:tc>
        <w:tc>
          <w:tcPr>
            <w:tcW w:w="2000" w:type="dxa"/>
          </w:tcPr>
          <w:p>
            <w:pPr>
              <w:spacing w:before="40" w:after="40"/>
            </w:pPr>
            <w:r>
              <w:rPr>
                <w:color w:val="4A5568"/>
                <w:sz w:val="18"/>
              </w:rPr>
              <w:t>Core AI engine, data fabric, sovereign intelligence layer</w:t>
            </w:r>
          </w:p>
        </w:tc>
        <w:tc>
          <w:tcPr>
            <w:tcW w:w="2000" w:type="dxa"/>
          </w:tcPr>
          <w:p>
            <w:pPr>
              <w:spacing w:before="40" w:after="40"/>
            </w:pPr>
            <w:r>
              <w:rPr>
                <w:color w:val="4A5568"/>
                <w:sz w:val="18"/>
              </w:rPr>
              <w:t>Technical / B2B API consumers</w:t>
            </w:r>
          </w:p>
        </w:tc>
      </w:tr>
      <w:tr>
        <w:tc>
          <w:tcPr>
            <w:tcW w:w="2000" w:type="dxa"/>
          </w:tcPr>
          <w:p>
            <w:pPr>
              <w:spacing w:before="40" w:after="40"/>
            </w:pPr>
            <w:r>
              <w:rPr>
                <w:color w:val="4A5568"/>
                <w:sz w:val="18"/>
              </w:rPr>
              <w:t>Parent Corporation</w:t>
            </w:r>
          </w:p>
        </w:tc>
        <w:tc>
          <w:tcPr>
            <w:tcW w:w="2000" w:type="dxa"/>
          </w:tcPr>
          <w:p>
            <w:pPr>
              <w:spacing w:before="40" w:after="40"/>
            </w:pPr>
            <w:r>
              <w:rPr>
                <w:color w:val="4A5568"/>
                <w:sz w:val="18"/>
              </w:rPr>
              <w:t>ODASI Technologies, Inc.</w:t>
            </w:r>
          </w:p>
        </w:tc>
        <w:tc>
          <w:tcPr>
            <w:tcW w:w="2000" w:type="dxa"/>
          </w:tcPr>
          <w:p>
            <w:pPr>
              <w:spacing w:before="40" w:after="40"/>
            </w:pPr>
            <w:r>
              <w:rPr>
                <w:color w:val="4A5568"/>
                <w:sz w:val="18"/>
              </w:rPr>
              <w:t>Texas C Corp legal entity, IP holder, investor-facing</w:t>
            </w:r>
          </w:p>
        </w:tc>
        <w:tc>
          <w:tcPr>
            <w:tcW w:w="2000" w:type="dxa"/>
          </w:tcPr>
          <w:p>
            <w:pPr>
              <w:spacing w:before="40" w:after="40"/>
            </w:pPr>
            <w:r>
              <w:rPr>
                <w:color w:val="4A5568"/>
                <w:sz w:val="18"/>
              </w:rPr>
              <w:t>Investors, legal, enterprise partners</w:t>
            </w:r>
          </w:p>
        </w:tc>
      </w:tr>
      <w:tr>
        <w:tc>
          <w:tcPr>
            <w:tcW w:w="2000" w:type="dxa"/>
          </w:tcPr>
          <w:p>
            <w:pPr>
              <w:spacing w:before="40" w:after="40"/>
            </w:pPr>
            <w:r>
              <w:rPr>
                <w:color w:val="4A5568"/>
                <w:sz w:val="18"/>
              </w:rPr>
              <w:t>Consumer Ecosystem</w:t>
            </w:r>
          </w:p>
        </w:tc>
        <w:tc>
          <w:tcPr>
            <w:tcW w:w="2000" w:type="dxa"/>
          </w:tcPr>
          <w:p>
            <w:pPr>
              <w:spacing w:before="40" w:after="40"/>
            </w:pPr>
            <w:r>
              <w:rPr>
                <w:color w:val="4A5568"/>
                <w:sz w:val="18"/>
              </w:rPr>
              <w:t>VIVELLA</w:t>
            </w:r>
          </w:p>
        </w:tc>
        <w:tc>
          <w:tcPr>
            <w:tcW w:w="2000" w:type="dxa"/>
          </w:tcPr>
          <w:p>
            <w:pPr>
              <w:spacing w:before="40" w:after="40"/>
            </w:pPr>
            <w:r>
              <w:rPr>
                <w:color w:val="4A5568"/>
                <w:sz w:val="18"/>
              </w:rPr>
              <w:t>All product lines and consumer/B2B interfaces</w:t>
            </w:r>
          </w:p>
        </w:tc>
        <w:tc>
          <w:tcPr>
            <w:tcW w:w="2000" w:type="dxa"/>
          </w:tcPr>
          <w:p>
            <w:pPr>
              <w:spacing w:before="40" w:after="40"/>
            </w:pPr>
            <w:r>
              <w:rPr>
                <w:color w:val="4A5568"/>
                <w:sz w:val="18"/>
              </w:rPr>
              <w:t>End users, contractors, attorneys</w:t>
            </w:r>
          </w:p>
        </w:tc>
      </w:tr>
      <w:tr>
        <w:tc>
          <w:tcPr>
            <w:tcW w:w="2000" w:type="dxa"/>
          </w:tcPr>
          <w:p>
            <w:pPr>
              <w:spacing w:before="40" w:after="40"/>
            </w:pPr>
            <w:r>
              <w:rPr>
                <w:color w:val="4A5568"/>
                <w:sz w:val="18"/>
              </w:rPr>
              <w:t>Cardinal Pillar (East)</w:t>
            </w:r>
          </w:p>
        </w:tc>
        <w:tc>
          <w:tcPr>
            <w:tcW w:w="2000" w:type="dxa"/>
          </w:tcPr>
          <w:p>
            <w:pPr>
              <w:spacing w:before="40" w:after="40"/>
            </w:pPr>
            <w:r>
              <w:rPr>
                <w:color w:val="4A5568"/>
                <w:sz w:val="18"/>
              </w:rPr>
              <w:t>VIVELLA Guard</w:t>
            </w:r>
          </w:p>
        </w:tc>
        <w:tc>
          <w:tcPr>
            <w:tcW w:w="2000" w:type="dxa"/>
          </w:tcPr>
          <w:p>
            <w:pPr>
              <w:spacing w:before="40" w:after="40"/>
            </w:pPr>
            <w:r>
              <w:rPr>
                <w:color w:val="4A5568"/>
                <w:sz w:val="18"/>
              </w:rPr>
              <w:t>Protective intelligence: storm, property, monitoring</w:t>
            </w:r>
          </w:p>
        </w:tc>
        <w:tc>
          <w:tcPr>
            <w:tcW w:w="2000" w:type="dxa"/>
          </w:tcPr>
          <w:p>
            <w:pPr>
              <w:spacing w:before="40" w:after="40"/>
            </w:pPr>
            <w:r>
              <w:rPr>
                <w:color w:val="4A5568"/>
                <w:sz w:val="18"/>
              </w:rPr>
              <w:t>Contractors, insurers, municipalities</w:t>
            </w:r>
          </w:p>
        </w:tc>
      </w:tr>
      <w:tr>
        <w:tc>
          <w:tcPr>
            <w:tcW w:w="2000" w:type="dxa"/>
          </w:tcPr>
          <w:p>
            <w:pPr>
              <w:spacing w:before="40" w:after="40"/>
            </w:pPr>
            <w:r>
              <w:rPr>
                <w:color w:val="4A5568"/>
                <w:sz w:val="18"/>
              </w:rPr>
              <w:t>Cardinal Pillar (North)</w:t>
            </w:r>
          </w:p>
        </w:tc>
        <w:tc>
          <w:tcPr>
            <w:tcW w:w="2000" w:type="dxa"/>
          </w:tcPr>
          <w:p>
            <w:pPr>
              <w:spacing w:before="40" w:after="40"/>
            </w:pPr>
            <w:r>
              <w:rPr>
                <w:color w:val="4A5568"/>
                <w:sz w:val="18"/>
              </w:rPr>
              <w:t>VIVELLA Fiduciary</w:t>
            </w:r>
          </w:p>
        </w:tc>
        <w:tc>
          <w:tcPr>
            <w:tcW w:w="2000" w:type="dxa"/>
          </w:tcPr>
          <w:p>
            <w:pPr>
              <w:spacing w:before="40" w:after="40"/>
            </w:pPr>
            <w:r>
              <w:rPr>
                <w:color w:val="4A5568"/>
                <w:sz w:val="18"/>
              </w:rPr>
              <w:t>Financial intelligence: probate, real estate, advisory</w:t>
            </w:r>
          </w:p>
        </w:tc>
        <w:tc>
          <w:tcPr>
            <w:tcW w:w="2000" w:type="dxa"/>
          </w:tcPr>
          <w:p>
            <w:pPr>
              <w:spacing w:before="40" w:after="40"/>
            </w:pPr>
            <w:r>
              <w:rPr>
                <w:color w:val="4A5568"/>
                <w:sz w:val="18"/>
              </w:rPr>
              <w:t>Law firms, investors, fiduciaries</w:t>
            </w:r>
          </w:p>
        </w:tc>
      </w:tr>
      <w:tr>
        <w:tc>
          <w:tcPr>
            <w:tcW w:w="2000" w:type="dxa"/>
          </w:tcPr>
          <w:p>
            <w:pPr>
              <w:spacing w:before="40" w:after="40"/>
            </w:pPr>
            <w:r>
              <w:rPr>
                <w:color w:val="4A5568"/>
                <w:sz w:val="18"/>
              </w:rPr>
              <w:t>Module Suite</w:t>
            </w:r>
          </w:p>
        </w:tc>
        <w:tc>
          <w:tcPr>
            <w:tcW w:w="2000" w:type="dxa"/>
          </w:tcPr>
          <w:p>
            <w:pPr>
              <w:spacing w:before="40" w:after="40"/>
            </w:pPr>
            <w:r>
              <w:rPr>
                <w:color w:val="4A5568"/>
                <w:sz w:val="18"/>
              </w:rPr>
              <w:t>Property Intelligence</w:t>
            </w:r>
          </w:p>
        </w:tc>
        <w:tc>
          <w:tcPr>
            <w:tcW w:w="2000" w:type="dxa"/>
          </w:tcPr>
          <w:p>
            <w:pPr>
              <w:spacing w:before="40" w:after="40"/>
            </w:pPr>
            <w:r>
              <w:rPr>
                <w:color w:val="4A5568"/>
                <w:sz w:val="18"/>
              </w:rPr>
              <w:t>Six integrated modules on shared substrate</w:t>
            </w:r>
          </w:p>
        </w:tc>
        <w:tc>
          <w:tcPr>
            <w:tcW w:w="2000" w:type="dxa"/>
          </w:tcPr>
          <w:p>
            <w:pPr>
              <w:spacing w:before="40" w:after="40"/>
            </w:pPr>
            <w:r>
              <w:rPr>
                <w:color w:val="4A5568"/>
                <w:sz w:val="18"/>
              </w:rPr>
              <w:t>Vertical-specific buyers</w:t>
            </w:r>
          </w:p>
        </w:tc>
      </w:tr>
    </w:tbl>
    <w:p>
      <w:pPr>
        <w:spacing w:before="120" w:after="120"/>
      </w:pPr>
    </w:p>
    <w:p>
      <w:pPr>
        <w:pStyle w:val="Heading2"/>
      </w:pPr>
      <w:r>
        <w:t>The Seven Pillars of the Reality Crisis</w:t>
      </w:r>
    </w:p>
    <w:p>
      <w:r>
        <w:t>VIVELLA Property Intelligence was architected to reclaim value from seven measurable categories of ground-truth failure. Each pillar represents an addressable market where legacy data latency creates quantifiable waste: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Pillar</w:t>
            </w:r>
          </w:p>
        </w:tc>
        <w:tc>
          <w:tcPr>
            <w:tcW w:w="2000" w:type="dxa"/>
            <w:shd w:val="clear" w:fill="1B3A4B"/>
          </w:tcPr>
          <w:p>
            <w:pPr>
              <w:spacing w:before="40" w:after="40"/>
            </w:pPr>
            <w:r>
              <w:rPr>
                <w:b/>
                <w:color w:val="FFFFFF"/>
                <w:sz w:val="18"/>
              </w:rPr>
              <w:t>Annual Loss</w:t>
            </w:r>
          </w:p>
        </w:tc>
        <w:tc>
          <w:tcPr>
            <w:tcW w:w="2000" w:type="dxa"/>
            <w:shd w:val="clear" w:fill="1B3A4B"/>
          </w:tcPr>
          <w:p>
            <w:pPr>
              <w:spacing w:before="40" w:after="40"/>
            </w:pPr>
            <w:r>
              <w:rPr>
                <w:b/>
                <w:color w:val="FFFFFF"/>
                <w:sz w:val="18"/>
              </w:rPr>
              <w:t>Property Intelligence Module</w:t>
            </w:r>
          </w:p>
        </w:tc>
      </w:tr>
      <w:tr>
        <w:tc>
          <w:tcPr>
            <w:tcW w:w="2000" w:type="dxa"/>
          </w:tcPr>
          <w:p>
            <w:pPr>
              <w:spacing w:before="40" w:after="40"/>
            </w:pPr>
            <w:r>
              <w:rPr>
                <w:color w:val="4A5568"/>
                <w:sz w:val="18"/>
              </w:rPr>
              <w:t>IT Infrastructure Failure</w:t>
            </w:r>
          </w:p>
        </w:tc>
        <w:tc>
          <w:tcPr>
            <w:tcW w:w="2000" w:type="dxa"/>
          </w:tcPr>
          <w:p>
            <w:pPr>
              <w:spacing w:before="40" w:after="40"/>
            </w:pPr>
            <w:r>
              <w:rPr>
                <w:color w:val="4A5568"/>
                <w:sz w:val="18"/>
              </w:rPr>
              <w:t>$300B</w:t>
            </w:r>
          </w:p>
        </w:tc>
        <w:tc>
          <w:tcPr>
            <w:tcW w:w="2000" w:type="dxa"/>
          </w:tcPr>
          <w:p>
            <w:pPr>
              <w:spacing w:before="40" w:after="40"/>
            </w:pPr>
            <w:r>
              <w:rPr>
                <w:color w:val="4A5568"/>
                <w:sz w:val="18"/>
              </w:rPr>
              <w:t>VIVELLA Guard -- Predictive Maintenance</w:t>
            </w:r>
          </w:p>
        </w:tc>
      </w:tr>
      <w:tr>
        <w:tc>
          <w:tcPr>
            <w:tcW w:w="2000" w:type="dxa"/>
          </w:tcPr>
          <w:p>
            <w:pPr>
              <w:spacing w:before="40" w:after="40"/>
            </w:pPr>
            <w:r>
              <w:rPr>
                <w:color w:val="4A5568"/>
                <w:sz w:val="18"/>
              </w:rPr>
              <w:t>Stale Geospatial / Infrastructure Data</w:t>
            </w:r>
          </w:p>
        </w:tc>
        <w:tc>
          <w:tcPr>
            <w:tcW w:w="2000" w:type="dxa"/>
          </w:tcPr>
          <w:p>
            <w:pPr>
              <w:spacing w:before="40" w:after="40"/>
            </w:pPr>
            <w:r>
              <w:rPr>
                <w:color w:val="4A5568"/>
                <w:sz w:val="18"/>
              </w:rPr>
              <w:t>$600B</w:t>
            </w:r>
          </w:p>
        </w:tc>
        <w:tc>
          <w:tcPr>
            <w:tcW w:w="2000" w:type="dxa"/>
          </w:tcPr>
          <w:p>
            <w:pPr>
              <w:spacing w:before="40" w:after="40"/>
            </w:pPr>
            <w:r>
              <w:rPr>
                <w:color w:val="4A5568"/>
                <w:sz w:val="18"/>
              </w:rPr>
              <w:t>MASTERNEX.os Atlas Engine -- Satellite Real-Time Grid</w:t>
            </w:r>
          </w:p>
        </w:tc>
      </w:tr>
      <w:tr>
        <w:tc>
          <w:tcPr>
            <w:tcW w:w="2000" w:type="dxa"/>
          </w:tcPr>
          <w:p>
            <w:pPr>
              <w:spacing w:before="40" w:after="40"/>
            </w:pPr>
            <w:r>
              <w:rPr>
                <w:color w:val="4A5568"/>
                <w:sz w:val="18"/>
              </w:rPr>
              <w:t>Supply Chain &amp; Cold-Chain Inefficiency</w:t>
            </w:r>
          </w:p>
        </w:tc>
        <w:tc>
          <w:tcPr>
            <w:tcW w:w="2000" w:type="dxa"/>
          </w:tcPr>
          <w:p>
            <w:pPr>
              <w:spacing w:before="40" w:after="40"/>
            </w:pPr>
            <w:r>
              <w:rPr>
                <w:color w:val="4A5568"/>
                <w:sz w:val="18"/>
              </w:rPr>
              <w:t>$500B</w:t>
            </w:r>
          </w:p>
        </w:tc>
        <w:tc>
          <w:tcPr>
            <w:tcW w:w="2000" w:type="dxa"/>
          </w:tcPr>
          <w:p>
            <w:pPr>
              <w:spacing w:before="40" w:after="40"/>
            </w:pPr>
            <w:r>
              <w:rPr>
                <w:color w:val="4A5568"/>
                <w:sz w:val="18"/>
              </w:rPr>
              <w:t>NEXUS EDGE Substrate -- IoT Telemetry</w:t>
            </w:r>
          </w:p>
        </w:tc>
      </w:tr>
      <w:tr>
        <w:tc>
          <w:tcPr>
            <w:tcW w:w="2000" w:type="dxa"/>
          </w:tcPr>
          <w:p>
            <w:pPr>
              <w:spacing w:before="40" w:after="40"/>
            </w:pPr>
            <w:r>
              <w:rPr>
                <w:color w:val="4A5568"/>
                <w:sz w:val="18"/>
              </w:rPr>
              <w:t>Financial Fraud &amp; Insurance Misrepresentation</w:t>
            </w:r>
          </w:p>
        </w:tc>
        <w:tc>
          <w:tcPr>
            <w:tcW w:w="2000" w:type="dxa"/>
          </w:tcPr>
          <w:p>
            <w:pPr>
              <w:spacing w:before="40" w:after="40"/>
            </w:pPr>
            <w:r>
              <w:rPr>
                <w:color w:val="4A5568"/>
                <w:sz w:val="18"/>
              </w:rPr>
              <w:t>$750B</w:t>
            </w:r>
          </w:p>
        </w:tc>
        <w:tc>
          <w:tcPr>
            <w:tcW w:w="2000" w:type="dxa"/>
          </w:tcPr>
          <w:p>
            <w:pPr>
              <w:spacing w:before="40" w:after="40"/>
            </w:pPr>
            <w:r>
              <w:rPr>
                <w:color w:val="4A5568"/>
                <w:sz w:val="18"/>
              </w:rPr>
              <w:t>Fiduciary OS -- Financial DNA Verification</w:t>
            </w:r>
          </w:p>
        </w:tc>
      </w:tr>
      <w:tr>
        <w:tc>
          <w:tcPr>
            <w:tcW w:w="2000" w:type="dxa"/>
          </w:tcPr>
          <w:p>
            <w:pPr>
              <w:spacing w:before="40" w:after="40"/>
            </w:pPr>
            <w:r>
              <w:rPr>
                <w:color w:val="4A5568"/>
                <w:sz w:val="18"/>
              </w:rPr>
              <w:t>Healthcare Data Latency</w:t>
            </w:r>
          </w:p>
        </w:tc>
        <w:tc>
          <w:tcPr>
            <w:tcW w:w="2000" w:type="dxa"/>
          </w:tcPr>
          <w:p>
            <w:pPr>
              <w:spacing w:before="40" w:after="40"/>
            </w:pPr>
            <w:r>
              <w:rPr>
                <w:color w:val="4A5568"/>
                <w:sz w:val="18"/>
              </w:rPr>
              <w:t>$400B</w:t>
            </w:r>
          </w:p>
        </w:tc>
        <w:tc>
          <w:tcPr>
            <w:tcW w:w="2000" w:type="dxa"/>
          </w:tcPr>
          <w:p>
            <w:pPr>
              <w:spacing w:before="40" w:after="40"/>
            </w:pPr>
            <w:r>
              <w:rPr>
                <w:color w:val="4A5568"/>
                <w:sz w:val="18"/>
              </w:rPr>
              <w:t>VIVELLA Voice -- Vital Records Integration</w:t>
            </w:r>
          </w:p>
        </w:tc>
      </w:tr>
      <w:tr>
        <w:tc>
          <w:tcPr>
            <w:tcW w:w="2000" w:type="dxa"/>
          </w:tcPr>
          <w:p>
            <w:pPr>
              <w:spacing w:before="40" w:after="40"/>
            </w:pPr>
            <w:r>
              <w:rPr>
                <w:color w:val="4A5568"/>
                <w:sz w:val="18"/>
              </w:rPr>
              <w:t>Energy Grid Inefficiency</w:t>
            </w:r>
          </w:p>
        </w:tc>
        <w:tc>
          <w:tcPr>
            <w:tcW w:w="2000" w:type="dxa"/>
          </w:tcPr>
          <w:p>
            <w:pPr>
              <w:spacing w:before="40" w:after="40"/>
            </w:pPr>
            <w:r>
              <w:rPr>
                <w:color w:val="4A5568"/>
                <w:sz w:val="18"/>
              </w:rPr>
              <w:t>$450B</w:t>
            </w:r>
          </w:p>
        </w:tc>
        <w:tc>
          <w:tcPr>
            <w:tcW w:w="2000" w:type="dxa"/>
          </w:tcPr>
          <w:p>
            <w:pPr>
              <w:spacing w:before="40" w:after="40"/>
            </w:pPr>
            <w:r>
              <w:rPr>
                <w:color w:val="4A5568"/>
                <w:sz w:val="18"/>
              </w:rPr>
              <w:t>NEXUS EDGE -- Smart Grid Telemetry Layer</w:t>
            </w:r>
          </w:p>
        </w:tc>
      </w:tr>
      <w:tr>
        <w:tc>
          <w:tcPr>
            <w:tcW w:w="2000" w:type="dxa"/>
          </w:tcPr>
          <w:p>
            <w:pPr>
              <w:spacing w:before="40" w:after="40"/>
            </w:pPr>
            <w:r>
              <w:rPr>
                <w:color w:val="4A5568"/>
                <w:sz w:val="18"/>
              </w:rPr>
              <w:t>Real Estate &amp; Property Market Inefficiency</w:t>
            </w:r>
          </w:p>
        </w:tc>
        <w:tc>
          <w:tcPr>
            <w:tcW w:w="2000" w:type="dxa"/>
          </w:tcPr>
          <w:p>
            <w:pPr>
              <w:spacing w:before="40" w:after="40"/>
            </w:pPr>
            <w:r>
              <w:rPr>
                <w:color w:val="4A5568"/>
                <w:sz w:val="18"/>
              </w:rPr>
              <w:t>$320B</w:t>
            </w:r>
          </w:p>
        </w:tc>
        <w:tc>
          <w:tcPr>
            <w:tcW w:w="2000" w:type="dxa"/>
          </w:tcPr>
          <w:p>
            <w:pPr>
              <w:spacing w:before="40" w:after="40"/>
            </w:pPr>
            <w:r>
              <w:rPr>
                <w:color w:val="4A5568"/>
                <w:sz w:val="18"/>
              </w:rPr>
              <w:t>Sentinel Scanner / Probate Pipeline / Real Estate Prospector</w:t>
            </w:r>
          </w:p>
        </w:tc>
      </w:tr>
    </w:tbl>
    <w:p>
      <w:pPr>
        <w:spacing w:before="120" w:after="120"/>
      </w:pPr>
    </w:p>
    <w:p>
      <w:r>
        <w:t>Combined, these seven pillars represent $3.32 trillion in annual economic loss addressable by the VIVELLA Property Intelligence module suite. The $320B real estate pillar is the immediate beachhead -- the highest-velocity entry point with the clearest ROI narrative for enterprise buyers.</w:t>
      </w:r>
    </w:p>
    <w:p>
      <w:pPr>
        <w:pStyle w:val="Heading1"/>
      </w:pPr>
      <w:r>
        <w:t>CHAPTER 01: MASTERNEX.os -- The Neuromorphic Core</w:t>
      </w:r>
      <w:bookmarkStart w:name="_H2" w:id="2"/>
      <w:bookmarkEnd w:id="2"/>
    </w:p>
    <w:p>
      <w:r>
        <w:t>The intelligence layer powering all Property Intelligence modules is MASTERNEX.os v6.1 -- a sovereign cognitive operating system with an assessed platform value exceeding $50M. This chapter details the neuromorphic architecture that gives VIVELLA its fundamental technical advantage over every competitor in the property intelligence market.</w:t>
      </w:r>
    </w:p>
    <w:p>
      <w:pPr>
        <w:pStyle w:val="Heading2"/>
      </w:pPr>
      <w:r>
        <w:t>The Von Neumann Problem and the Neuromorphic Solution</w:t>
      </w:r>
    </w:p>
    <w:p>
      <w:r>
        <w:t>Every major commercial AI system -- GPT, Gemini, Claude -- shares the same fundamental limitation: the Von Neumann bottleneck. In this architecture, processors and memory are physically separate. Every operation requires data to travel the memory-to-processor bus, execute, and return. This bottleneck is catastrophically expensive at the scale required to process real-time planetary geospatial data across millions of property records.</w:t>
      </w:r>
    </w:p>
    <w:p>
      <w:r>
        <w:t>MASTERNEX.os resolves this through Spiking Neural Networks (SNNs) implemented on Intel Loihi 2 neuromorphic hardware. Each neuron maintains its own state and performs computation locally -- only firing when it detects a relevant change in input. A neuron monitoring roof condition does not consume power when the roof looks the same as yesterday; it fires only when it detects an anomaly: curling shingles, hail spatter, water staining. This event-driven architecture delivers transformational efficiency gains.</w:t>
      </w:r>
    </w:p>
    <w:p>
      <w:pPr>
        <w:pStyle w:val="Heading2"/>
      </w:pPr>
      <w:r>
        <w:t>Neuromorphic Performance Comparison</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Metric</w:t>
            </w:r>
          </w:p>
        </w:tc>
        <w:tc>
          <w:tcPr>
            <w:tcW w:w="2000" w:type="dxa"/>
            <w:shd w:val="clear" w:fill="1B3A4B"/>
          </w:tcPr>
          <w:p>
            <w:pPr>
              <w:spacing w:before="40" w:after="40"/>
            </w:pPr>
            <w:r>
              <w:rPr>
                <w:b/>
                <w:color w:val="FFFFFF"/>
                <w:sz w:val="18"/>
              </w:rPr>
              <w:t>Traditional GPU-Based AI</w:t>
            </w:r>
          </w:p>
        </w:tc>
        <w:tc>
          <w:tcPr>
            <w:tcW w:w="2000" w:type="dxa"/>
            <w:shd w:val="clear" w:fill="1B3A4B"/>
          </w:tcPr>
          <w:p>
            <w:pPr>
              <w:spacing w:before="40" w:after="40"/>
            </w:pPr>
            <w:r>
              <w:rPr>
                <w:b/>
                <w:color w:val="FFFFFF"/>
                <w:sz w:val="18"/>
              </w:rPr>
              <w:t>MASTERNEX.os (SNN/Loihi 2)</w:t>
            </w:r>
          </w:p>
        </w:tc>
        <w:tc>
          <w:tcPr>
            <w:tcW w:w="2000" w:type="dxa"/>
            <w:shd w:val="clear" w:fill="1B3A4B"/>
          </w:tcPr>
          <w:p>
            <w:pPr>
              <w:spacing w:before="40" w:after="40"/>
            </w:pPr>
            <w:r>
              <w:rPr>
                <w:b/>
                <w:color w:val="FFFFFF"/>
                <w:sz w:val="18"/>
              </w:rPr>
              <w:t>Efficiency Gain</w:t>
            </w:r>
          </w:p>
        </w:tc>
      </w:tr>
      <w:tr>
        <w:tc>
          <w:tcPr>
            <w:tcW w:w="2000" w:type="dxa"/>
          </w:tcPr>
          <w:p>
            <w:pPr>
              <w:spacing w:before="40" w:after="40"/>
            </w:pPr>
            <w:r>
              <w:rPr>
                <w:color w:val="4A5568"/>
                <w:sz w:val="18"/>
              </w:rPr>
              <w:t>Dynamic Power Consumption</w:t>
            </w:r>
          </w:p>
        </w:tc>
        <w:tc>
          <w:tcPr>
            <w:tcW w:w="2000" w:type="dxa"/>
          </w:tcPr>
          <w:p>
            <w:pPr>
              <w:spacing w:before="40" w:after="40"/>
            </w:pPr>
            <w:r>
              <w:rPr>
                <w:color w:val="4A5568"/>
                <w:sz w:val="18"/>
              </w:rPr>
              <w:t>1W - 50W</w:t>
            </w:r>
          </w:p>
        </w:tc>
        <w:tc>
          <w:tcPr>
            <w:tcW w:w="2000" w:type="dxa"/>
          </w:tcPr>
          <w:p>
            <w:pPr>
              <w:spacing w:before="40" w:after="40"/>
            </w:pPr>
            <w:r>
              <w:rPr>
                <w:color w:val="4A5568"/>
                <w:sz w:val="18"/>
              </w:rPr>
              <w:t>10mW - 3.5W</w:t>
            </w:r>
          </w:p>
        </w:tc>
        <w:tc>
          <w:tcPr>
            <w:tcW w:w="2000" w:type="dxa"/>
          </w:tcPr>
          <w:p>
            <w:pPr>
              <w:spacing w:before="40" w:after="40"/>
            </w:pPr>
            <w:r>
              <w:rPr>
                <w:color w:val="4A5568"/>
                <w:sz w:val="18"/>
              </w:rPr>
              <w:t>100x - 1,000x</w:t>
            </w:r>
          </w:p>
        </w:tc>
      </w:tr>
      <w:tr>
        <w:tc>
          <w:tcPr>
            <w:tcW w:w="2000" w:type="dxa"/>
          </w:tcPr>
          <w:p>
            <w:pPr>
              <w:spacing w:before="40" w:after="40"/>
            </w:pPr>
            <w:r>
              <w:rPr>
                <w:color w:val="4A5568"/>
                <w:sz w:val="18"/>
              </w:rPr>
              <w:t>Response Latency</w:t>
            </w:r>
          </w:p>
        </w:tc>
        <w:tc>
          <w:tcPr>
            <w:tcW w:w="2000" w:type="dxa"/>
          </w:tcPr>
          <w:p>
            <w:pPr>
              <w:spacing w:before="40" w:after="40"/>
            </w:pPr>
            <w:r>
              <w:rPr>
                <w:color w:val="4A5568"/>
                <w:sz w:val="18"/>
              </w:rPr>
              <w:t>100ms - 300ms</w:t>
            </w:r>
          </w:p>
        </w:tc>
        <w:tc>
          <w:tcPr>
            <w:tcW w:w="2000" w:type="dxa"/>
          </w:tcPr>
          <w:p>
            <w:pPr>
              <w:spacing w:before="40" w:after="40"/>
            </w:pPr>
            <w:r>
              <w:rPr>
                <w:color w:val="4A5568"/>
                <w:sz w:val="18"/>
              </w:rPr>
              <w:t>&lt; 10ms</w:t>
            </w:r>
          </w:p>
        </w:tc>
        <w:tc>
          <w:tcPr>
            <w:tcW w:w="2000" w:type="dxa"/>
          </w:tcPr>
          <w:p>
            <w:pPr>
              <w:spacing w:before="40" w:after="40"/>
            </w:pPr>
            <w:r>
              <w:rPr>
                <w:color w:val="4A5568"/>
                <w:sz w:val="18"/>
              </w:rPr>
              <w:t>10x - 30x</w:t>
            </w:r>
          </w:p>
        </w:tc>
      </w:tr>
      <w:tr>
        <w:tc>
          <w:tcPr>
            <w:tcW w:w="2000" w:type="dxa"/>
          </w:tcPr>
          <w:p>
            <w:pPr>
              <w:spacing w:before="40" w:after="40"/>
            </w:pPr>
            <w:r>
              <w:rPr>
                <w:color w:val="4A5568"/>
                <w:sz w:val="18"/>
              </w:rPr>
              <w:t>Compute Density</w:t>
            </w:r>
          </w:p>
        </w:tc>
        <w:tc>
          <w:tcPr>
            <w:tcW w:w="2000" w:type="dxa"/>
          </w:tcPr>
          <w:p>
            <w:pPr>
              <w:spacing w:before="40" w:after="40"/>
            </w:pPr>
            <w:r>
              <w:rPr>
                <w:color w:val="4A5568"/>
                <w:sz w:val="18"/>
              </w:rPr>
              <w:t>~74.7 GFLOPs/W</w:t>
            </w:r>
          </w:p>
        </w:tc>
        <w:tc>
          <w:tcPr>
            <w:tcW w:w="2000" w:type="dxa"/>
          </w:tcPr>
          <w:p>
            <w:pPr>
              <w:spacing w:before="40" w:after="40"/>
            </w:pPr>
            <w:r>
              <w:rPr>
                <w:color w:val="4A5568"/>
                <w:sz w:val="18"/>
              </w:rPr>
              <w:t>~103.9 GFLOPs/W</w:t>
            </w:r>
          </w:p>
        </w:tc>
        <w:tc>
          <w:tcPr>
            <w:tcW w:w="2000" w:type="dxa"/>
          </w:tcPr>
          <w:p>
            <w:pPr>
              <w:spacing w:before="40" w:after="40"/>
            </w:pPr>
            <w:r>
              <w:rPr>
                <w:color w:val="4A5568"/>
                <w:sz w:val="18"/>
              </w:rPr>
              <w:t>1.4x improvement</w:t>
            </w:r>
          </w:p>
        </w:tc>
      </w:tr>
      <w:tr>
        <w:tc>
          <w:tcPr>
            <w:tcW w:w="2000" w:type="dxa"/>
          </w:tcPr>
          <w:p>
            <w:pPr>
              <w:spacing w:before="40" w:after="40"/>
            </w:pPr>
            <w:r>
              <w:rPr>
                <w:color w:val="4A5568"/>
                <w:sz w:val="18"/>
              </w:rPr>
              <w:t>Learning Model</w:t>
            </w:r>
          </w:p>
        </w:tc>
        <w:tc>
          <w:tcPr>
            <w:tcW w:w="2000" w:type="dxa"/>
          </w:tcPr>
          <w:p>
            <w:pPr>
              <w:spacing w:before="40" w:after="40"/>
            </w:pPr>
            <w:r>
              <w:rPr>
                <w:color w:val="4A5568"/>
                <w:sz w:val="18"/>
              </w:rPr>
              <w:t>Supervised Backpropagation</w:t>
            </w:r>
          </w:p>
        </w:tc>
        <w:tc>
          <w:tcPr>
            <w:tcW w:w="2000" w:type="dxa"/>
          </w:tcPr>
          <w:p>
            <w:pPr>
              <w:spacing w:before="40" w:after="40"/>
            </w:pPr>
            <w:r>
              <w:rPr>
                <w:color w:val="4A5568"/>
                <w:sz w:val="18"/>
              </w:rPr>
              <w:t>Adaptive Reinforcement Learning</w:t>
            </w:r>
          </w:p>
        </w:tc>
        <w:tc>
          <w:tcPr>
            <w:tcW w:w="2000" w:type="dxa"/>
          </w:tcPr>
          <w:p>
            <w:pPr>
              <w:spacing w:before="40" w:after="40"/>
            </w:pPr>
            <w:r>
              <w:rPr>
                <w:color w:val="4A5568"/>
                <w:sz w:val="18"/>
              </w:rPr>
              <w:t>Real-time evolution</w:t>
            </w:r>
          </w:p>
        </w:tc>
      </w:tr>
      <w:tr>
        <w:tc>
          <w:tcPr>
            <w:tcW w:w="2000" w:type="dxa"/>
          </w:tcPr>
          <w:p>
            <w:pPr>
              <w:spacing w:before="40" w:after="40"/>
            </w:pPr>
            <w:r>
              <w:rPr>
                <w:color w:val="4A5568"/>
                <w:sz w:val="18"/>
              </w:rPr>
              <w:t>Memory Architecture</w:t>
            </w:r>
          </w:p>
        </w:tc>
        <w:tc>
          <w:tcPr>
            <w:tcW w:w="2000" w:type="dxa"/>
          </w:tcPr>
          <w:p>
            <w:pPr>
              <w:spacing w:before="40" w:after="40"/>
            </w:pPr>
            <w:r>
              <w:rPr>
                <w:color w:val="4A5568"/>
                <w:sz w:val="18"/>
              </w:rPr>
              <w:t>Von Neumann (separate)</w:t>
            </w:r>
          </w:p>
        </w:tc>
        <w:tc>
          <w:tcPr>
            <w:tcW w:w="2000" w:type="dxa"/>
          </w:tcPr>
          <w:p>
            <w:pPr>
              <w:spacing w:before="40" w:after="40"/>
            </w:pPr>
            <w:r>
              <w:rPr>
                <w:color w:val="4A5568"/>
                <w:sz w:val="18"/>
              </w:rPr>
              <w:t>Co-located (in-memory compute)</w:t>
            </w:r>
          </w:p>
        </w:tc>
        <w:tc>
          <w:tcPr>
            <w:tcW w:w="2000" w:type="dxa"/>
          </w:tcPr>
          <w:p>
            <w:pPr>
              <w:spacing w:before="40" w:after="40"/>
            </w:pPr>
            <w:r>
              <w:rPr>
                <w:color w:val="4A5568"/>
                <w:sz w:val="18"/>
              </w:rPr>
              <w:t>No bus bottleneck</w:t>
            </w:r>
          </w:p>
        </w:tc>
      </w:tr>
      <w:tr>
        <w:tc>
          <w:tcPr>
            <w:tcW w:w="2000" w:type="dxa"/>
          </w:tcPr>
          <w:p>
            <w:pPr>
              <w:spacing w:before="40" w:after="40"/>
            </w:pPr>
            <w:r>
              <w:rPr>
                <w:color w:val="4A5568"/>
                <w:sz w:val="18"/>
              </w:rPr>
              <w:t>Idle Power Draw</w:t>
            </w:r>
          </w:p>
        </w:tc>
        <w:tc>
          <w:tcPr>
            <w:tcW w:w="2000" w:type="dxa"/>
          </w:tcPr>
          <w:p>
            <w:pPr>
              <w:spacing w:before="40" w:after="40"/>
            </w:pPr>
            <w:r>
              <w:rPr>
                <w:color w:val="4A5568"/>
                <w:sz w:val="18"/>
              </w:rPr>
              <w:t>~15W baseline</w:t>
            </w:r>
          </w:p>
        </w:tc>
        <w:tc>
          <w:tcPr>
            <w:tcW w:w="2000" w:type="dxa"/>
          </w:tcPr>
          <w:p>
            <w:pPr>
              <w:spacing w:before="40" w:after="40"/>
            </w:pPr>
            <w:r>
              <w:rPr>
                <w:color w:val="4A5568"/>
                <w:sz w:val="18"/>
              </w:rPr>
              <w:t>~0.8mW (event-driven)</w:t>
            </w:r>
          </w:p>
        </w:tc>
        <w:tc>
          <w:tcPr>
            <w:tcW w:w="2000" w:type="dxa"/>
          </w:tcPr>
          <w:p>
            <w:pPr>
              <w:spacing w:before="40" w:after="40"/>
            </w:pPr>
            <w:r>
              <w:rPr>
                <w:color w:val="4A5568"/>
                <w:sz w:val="18"/>
              </w:rPr>
              <w:t>18,750x reduction</w:t>
            </w:r>
          </w:p>
        </w:tc>
      </w:tr>
      <w:tr>
        <w:tc>
          <w:tcPr>
            <w:tcW w:w="2000" w:type="dxa"/>
          </w:tcPr>
          <w:p>
            <w:pPr>
              <w:spacing w:before="40" w:after="40"/>
            </w:pPr>
            <w:r>
              <w:rPr>
                <w:color w:val="4A5568"/>
                <w:sz w:val="18"/>
              </w:rPr>
              <w:t>Hardware Footprint</w:t>
            </w:r>
          </w:p>
        </w:tc>
        <w:tc>
          <w:tcPr>
            <w:tcW w:w="2000" w:type="dxa"/>
          </w:tcPr>
          <w:p>
            <w:pPr>
              <w:spacing w:before="40" w:after="40"/>
            </w:pPr>
            <w:r>
              <w:rPr>
                <w:color w:val="4A5568"/>
                <w:sz w:val="18"/>
              </w:rPr>
              <w:t>Server rack / data center</w:t>
            </w:r>
          </w:p>
        </w:tc>
        <w:tc>
          <w:tcPr>
            <w:tcW w:w="2000" w:type="dxa"/>
          </w:tcPr>
          <w:p>
            <w:pPr>
              <w:spacing w:before="40" w:after="40"/>
            </w:pPr>
            <w:r>
              <w:rPr>
                <w:color w:val="4A5568"/>
                <w:sz w:val="18"/>
              </w:rPr>
              <w:t>Embedded chip / edge device</w:t>
            </w:r>
          </w:p>
        </w:tc>
        <w:tc>
          <w:tcPr>
            <w:tcW w:w="2000" w:type="dxa"/>
          </w:tcPr>
          <w:p>
            <w:pPr>
              <w:spacing w:before="40" w:after="40"/>
            </w:pPr>
            <w:r>
              <w:rPr>
                <w:color w:val="4A5568"/>
                <w:sz w:val="18"/>
              </w:rPr>
              <w:t>1,000x size reduction</w:t>
            </w:r>
          </w:p>
        </w:tc>
      </w:tr>
    </w:tbl>
    <w:p>
      <w:pPr>
        <w:spacing w:before="120" w:after="120"/>
      </w:pPr>
    </w:p>
    <w:p>
      <w:pPr>
        <w:pStyle w:val="Heading2"/>
      </w:pPr>
      <w:r>
        <w:t>The Triune Cognitive Engine</w:t>
      </w:r>
    </w:p>
    <w:p>
      <w:r>
        <w:t>MASTERNEX.os does not emerge from a single model. It integrates three specialized sub-engines whose outputs are fused into a unified 512-dimension intelligence vector via the Kimi Fusion Engine -- producing holistic understanding of physical context that no single-domain model can replicate.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Sub-Engine</w:t>
            </w:r>
          </w:p>
        </w:tc>
        <w:tc>
          <w:tcPr>
            <w:tcW w:w="2000" w:type="dxa"/>
            <w:shd w:val="clear" w:fill="1B3A4B"/>
          </w:tcPr>
          <w:p>
            <w:pPr>
              <w:spacing w:before="40" w:after="40"/>
            </w:pPr>
            <w:r>
              <w:rPr>
                <w:b/>
                <w:color w:val="FFFFFF"/>
                <w:sz w:val="18"/>
              </w:rPr>
              <w:t>Architecture</w:t>
            </w:r>
          </w:p>
        </w:tc>
        <w:tc>
          <w:tcPr>
            <w:tcW w:w="2000" w:type="dxa"/>
            <w:shd w:val="clear" w:fill="1B3A4B"/>
          </w:tcPr>
          <w:p>
            <w:pPr>
              <w:spacing w:before="40" w:after="40"/>
            </w:pPr>
            <w:r>
              <w:rPr>
                <w:b/>
                <w:color w:val="FFFFFF"/>
                <w:sz w:val="18"/>
              </w:rPr>
              <w:t>Function</w:t>
            </w:r>
          </w:p>
        </w:tc>
        <w:tc>
          <w:tcPr>
            <w:tcW w:w="2000" w:type="dxa"/>
            <w:shd w:val="clear" w:fill="1B3A4B"/>
          </w:tcPr>
          <w:p>
            <w:pPr>
              <w:spacing w:before="40" w:after="40"/>
            </w:pPr>
            <w:r>
              <w:rPr>
                <w:b/>
                <w:color w:val="FFFFFF"/>
                <w:sz w:val="18"/>
              </w:rPr>
              <w:t>Output</w:t>
            </w:r>
          </w:p>
        </w:tc>
      </w:tr>
      <w:tr>
        <w:tc>
          <w:tcPr>
            <w:tcW w:w="2000" w:type="dxa"/>
          </w:tcPr>
          <w:p>
            <w:pPr>
              <w:spacing w:before="40" w:after="40"/>
            </w:pPr>
            <w:r>
              <w:rPr>
                <w:color w:val="4A5568"/>
                <w:sz w:val="18"/>
              </w:rPr>
              <w:t>Geospatial Intelligence Engine (GIE)</w:t>
            </w:r>
          </w:p>
        </w:tc>
        <w:tc>
          <w:tcPr>
            <w:tcW w:w="2000" w:type="dxa"/>
          </w:tcPr>
          <w:p>
            <w:pPr>
              <w:spacing w:before="40" w:after="40"/>
            </w:pPr>
            <w:r>
              <w:rPr>
                <w:color w:val="4A5568"/>
                <w:sz w:val="18"/>
              </w:rPr>
              <w:t>Vision Transformer (ViT-L/16) -- 307M parameters</w:t>
            </w:r>
          </w:p>
        </w:tc>
        <w:tc>
          <w:tcPr>
            <w:tcW w:w="2000" w:type="dxa"/>
          </w:tcPr>
          <w:p>
            <w:pPr>
              <w:spacing w:before="40" w:after="40"/>
            </w:pPr>
            <w:r>
              <w:rPr>
                <w:color w:val="4A5568"/>
                <w:sz w:val="18"/>
              </w:rPr>
              <w:t>Satellite and street-level imagery for property condition, vegetation health, urban zone classification</w:t>
            </w:r>
          </w:p>
        </w:tc>
        <w:tc>
          <w:tcPr>
            <w:tcW w:w="2000" w:type="dxa"/>
          </w:tcPr>
          <w:p>
            <w:pPr>
              <w:spacing w:before="40" w:after="40"/>
            </w:pPr>
            <w:r>
              <w:rPr>
                <w:color w:val="4A5568"/>
                <w:sz w:val="18"/>
              </w:rPr>
              <w:t>48-dimension structural feature vector with confidence intervals</w:t>
            </w:r>
          </w:p>
        </w:tc>
      </w:tr>
      <w:tr>
        <w:tc>
          <w:tcPr>
            <w:tcW w:w="2000" w:type="dxa"/>
          </w:tcPr>
          <w:p>
            <w:pPr>
              <w:spacing w:before="40" w:after="40"/>
            </w:pPr>
            <w:r>
              <w:rPr>
                <w:color w:val="4A5568"/>
                <w:sz w:val="18"/>
              </w:rPr>
              <w:t>Behavioral Neurolinguistics Engine (BNE)</w:t>
            </w:r>
          </w:p>
        </w:tc>
        <w:tc>
          <w:tcPr>
            <w:tcW w:w="2000" w:type="dxa"/>
          </w:tcPr>
          <w:p>
            <w:pPr>
              <w:spacing w:before="40" w:after="40"/>
            </w:pPr>
            <w:r>
              <w:rPr>
                <w:color w:val="4A5568"/>
                <w:sz w:val="18"/>
              </w:rPr>
              <w:t>Custom BERT-variant transformer</w:t>
            </w:r>
          </w:p>
        </w:tc>
        <w:tc>
          <w:tcPr>
            <w:tcW w:w="2000" w:type="dxa"/>
          </w:tcPr>
          <w:p>
            <w:pPr>
              <w:spacing w:before="40" w:after="40"/>
            </w:pPr>
            <w:r>
              <w:rPr>
                <w:color w:val="4A5568"/>
                <w:sz w:val="18"/>
              </w:rPr>
              <w:t>Classifies behavioral sequences with 93.02% accuracy across searching, purchasing, inquiring, comparing</w:t>
            </w:r>
          </w:p>
        </w:tc>
        <w:tc>
          <w:tcPr>
            <w:tcW w:w="2000" w:type="dxa"/>
          </w:tcPr>
          <w:p>
            <w:pPr>
              <w:spacing w:before="40" w:after="40"/>
            </w:pPr>
            <w:r>
              <w:rPr>
                <w:color w:val="4A5568"/>
                <w:sz w:val="18"/>
              </w:rPr>
              <w:t>Intent probability vector over 4 classes with temporal trajectory</w:t>
            </w:r>
          </w:p>
        </w:tc>
      </w:tr>
      <w:tr>
        <w:tc>
          <w:tcPr>
            <w:tcW w:w="2000" w:type="dxa"/>
          </w:tcPr>
          <w:p>
            <w:pPr>
              <w:spacing w:before="40" w:after="40"/>
            </w:pPr>
            <w:r>
              <w:rPr>
                <w:color w:val="4A5568"/>
                <w:sz w:val="18"/>
              </w:rPr>
              <w:t>Kimi Fusion Engine (KFE)</w:t>
            </w:r>
          </w:p>
        </w:tc>
        <w:tc>
          <w:tcPr>
            <w:tcW w:w="2000" w:type="dxa"/>
          </w:tcPr>
          <w:p>
            <w:pPr>
              <w:spacing w:before="40" w:after="40"/>
            </w:pPr>
            <w:r>
              <w:rPr>
                <w:color w:val="4A5568"/>
                <w:sz w:val="18"/>
              </w:rPr>
              <w:t>KDA Delta Attention -- O(n) linear complexity</w:t>
            </w:r>
          </w:p>
        </w:tc>
        <w:tc>
          <w:tcPr>
            <w:tcW w:w="2000" w:type="dxa"/>
          </w:tcPr>
          <w:p>
            <w:pPr>
              <w:spacing w:before="40" w:after="40"/>
            </w:pPr>
            <w:r>
              <w:rPr>
                <w:color w:val="4A5568"/>
                <w:sz w:val="18"/>
              </w:rPr>
              <w:t>Cross-modal fusion reducing O(n²) to O(n): 10,000x computational improvement</w:t>
            </w:r>
          </w:p>
        </w:tc>
        <w:tc>
          <w:tcPr>
            <w:tcW w:w="2000" w:type="dxa"/>
          </w:tcPr>
          <w:p>
            <w:pPr>
              <w:spacing w:before="40" w:after="40"/>
            </w:pPr>
            <w:r>
              <w:rPr>
                <w:color w:val="4A5568"/>
                <w:sz w:val="18"/>
              </w:rPr>
              <w:t>512-dimension unified intelligence vector per property</w:t>
            </w:r>
          </w:p>
        </w:tc>
      </w:tr>
    </w:tbl>
    <w:p>
      <w:pPr>
        <w:spacing w:before="120" w:after="120"/>
      </w:pPr>
    </w:p>
    <w:p>
      <w:pPr>
        <w:pStyle w:val="Heading2"/>
      </w:pPr>
      <w:r>
        <w:t>Core AI Engine Fleet</w:t>
      </w:r>
    </w:p>
    <w:p>
      <w:r>
        <w:t>Beyond the Triune Cognitive Engine, MASTERNEX.os v6.1 operates seven specialized engines that power the Property Intelligence modules: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Engine</w:t>
            </w:r>
          </w:p>
        </w:tc>
        <w:tc>
          <w:tcPr>
            <w:tcW w:w="2000" w:type="dxa"/>
            <w:shd w:val="clear" w:fill="1B3A4B"/>
          </w:tcPr>
          <w:p>
            <w:pPr>
              <w:spacing w:before="40" w:after="40"/>
            </w:pPr>
            <w:r>
              <w:rPr>
                <w:b/>
                <w:color w:val="FFFFFF"/>
                <w:sz w:val="18"/>
              </w:rPr>
              <w:t>Function</w:t>
            </w:r>
          </w:p>
        </w:tc>
        <w:tc>
          <w:tcPr>
            <w:tcW w:w="2000" w:type="dxa"/>
            <w:shd w:val="clear" w:fill="1B3A4B"/>
          </w:tcPr>
          <w:p>
            <w:pPr>
              <w:spacing w:before="40" w:after="40"/>
            </w:pPr>
            <w:r>
              <w:rPr>
                <w:b/>
                <w:color w:val="FFFFFF"/>
                <w:sz w:val="18"/>
              </w:rPr>
              <w:t>Hardware</w:t>
            </w:r>
          </w:p>
        </w:tc>
        <w:tc>
          <w:tcPr>
            <w:tcW w:w="2000" w:type="dxa"/>
            <w:shd w:val="clear" w:fill="1B3A4B"/>
          </w:tcPr>
          <w:p>
            <w:pPr>
              <w:spacing w:before="40" w:after="40"/>
            </w:pPr>
            <w:r>
              <w:rPr>
                <w:b/>
                <w:color w:val="FFFFFF"/>
                <w:sz w:val="18"/>
              </w:rPr>
              <w:t>Performance</w:t>
            </w:r>
          </w:p>
        </w:tc>
      </w:tr>
      <w:tr>
        <w:tc>
          <w:tcPr>
            <w:tcW w:w="2000" w:type="dxa"/>
          </w:tcPr>
          <w:p>
            <w:pPr>
              <w:spacing w:before="40" w:after="40"/>
            </w:pPr>
            <w:r>
              <w:rPr>
                <w:color w:val="4A5568"/>
                <w:sz w:val="18"/>
              </w:rPr>
              <w:t>NADE-2.0</w:t>
            </w:r>
          </w:p>
        </w:tc>
        <w:tc>
          <w:tcPr>
            <w:tcW w:w="2000" w:type="dxa"/>
          </w:tcPr>
          <w:p>
            <w:pPr>
              <w:spacing w:before="40" w:after="40"/>
            </w:pPr>
            <w:r>
              <w:rPr>
                <w:color w:val="4A5568"/>
                <w:sz w:val="18"/>
              </w:rPr>
              <w:t>Neuromorphic Anomaly Detection</w:t>
            </w:r>
          </w:p>
        </w:tc>
        <w:tc>
          <w:tcPr>
            <w:tcW w:w="2000" w:type="dxa"/>
          </w:tcPr>
          <w:p>
            <w:pPr>
              <w:spacing w:before="40" w:after="40"/>
            </w:pPr>
            <w:r>
              <w:rPr>
                <w:color w:val="4A5568"/>
                <w:sz w:val="18"/>
              </w:rPr>
              <w:t>Intel Loihi 2</w:t>
            </w:r>
          </w:p>
        </w:tc>
        <w:tc>
          <w:tcPr>
            <w:tcW w:w="2000" w:type="dxa"/>
          </w:tcPr>
          <w:p>
            <w:pPr>
              <w:spacing w:before="40" w:after="40"/>
            </w:pPr>
            <w:r>
              <w:rPr>
                <w:color w:val="4A5568"/>
                <w:sz w:val="18"/>
              </w:rPr>
              <w:t>&lt;2ms latency, &lt;5mW</w:t>
            </w:r>
          </w:p>
        </w:tc>
      </w:tr>
      <w:tr>
        <w:tc>
          <w:tcPr>
            <w:tcW w:w="2000" w:type="dxa"/>
          </w:tcPr>
          <w:p>
            <w:pPr>
              <w:spacing w:before="40" w:after="40"/>
            </w:pPr>
            <w:r>
              <w:rPr>
                <w:color w:val="4A5568"/>
                <w:sz w:val="18"/>
              </w:rPr>
              <w:t>GIE/HONN</w:t>
            </w:r>
          </w:p>
        </w:tc>
        <w:tc>
          <w:tcPr>
            <w:tcW w:w="2000" w:type="dxa"/>
          </w:tcPr>
          <w:p>
            <w:pPr>
              <w:spacing w:before="40" w:after="40"/>
            </w:pPr>
            <w:r>
              <w:rPr>
                <w:color w:val="4A5568"/>
                <w:sz w:val="18"/>
              </w:rPr>
              <w:t>Geospatial Intelligence Engine</w:t>
            </w:r>
          </w:p>
        </w:tc>
        <w:tc>
          <w:tcPr>
            <w:tcW w:w="2000" w:type="dxa"/>
          </w:tcPr>
          <w:p>
            <w:pPr>
              <w:spacing w:before="40" w:after="40"/>
            </w:pPr>
            <w:r>
              <w:rPr>
                <w:color w:val="4A5568"/>
                <w:sz w:val="18"/>
              </w:rPr>
              <w:t>ViT + Mamba hybrid</w:t>
            </w:r>
          </w:p>
        </w:tc>
        <w:tc>
          <w:tcPr>
            <w:tcW w:w="2000" w:type="dxa"/>
          </w:tcPr>
          <w:p>
            <w:pPr>
              <w:spacing w:before="40" w:after="40"/>
            </w:pPr>
            <w:r>
              <w:rPr>
                <w:color w:val="4A5568"/>
                <w:sz w:val="18"/>
              </w:rPr>
              <w:t>&lt;50ms spatial reasoning</w:t>
            </w:r>
          </w:p>
        </w:tc>
      </w:tr>
      <w:tr>
        <w:tc>
          <w:tcPr>
            <w:tcW w:w="2000" w:type="dxa"/>
          </w:tcPr>
          <w:p>
            <w:pPr>
              <w:spacing w:before="40" w:after="40"/>
            </w:pPr>
            <w:r>
              <w:rPr>
                <w:color w:val="4A5568"/>
                <w:sz w:val="18"/>
              </w:rPr>
              <w:t>BNE/GUIDE</w:t>
            </w:r>
          </w:p>
        </w:tc>
        <w:tc>
          <w:tcPr>
            <w:tcW w:w="2000" w:type="dxa"/>
          </w:tcPr>
          <w:p>
            <w:pPr>
              <w:spacing w:before="40" w:after="40"/>
            </w:pPr>
            <w:r>
              <w:rPr>
                <w:color w:val="4A5568"/>
                <w:sz w:val="18"/>
              </w:rPr>
              <w:t>Behavioral Neural Engine</w:t>
            </w:r>
          </w:p>
        </w:tc>
        <w:tc>
          <w:tcPr>
            <w:tcW w:w="2000" w:type="dxa"/>
          </w:tcPr>
          <w:p>
            <w:pPr>
              <w:spacing w:before="40" w:after="40"/>
            </w:pPr>
            <w:r>
              <w:rPr>
                <w:color w:val="4A5568"/>
                <w:sz w:val="18"/>
              </w:rPr>
              <w:t>Transformer + Inverse RL</w:t>
            </w:r>
          </w:p>
        </w:tc>
        <w:tc>
          <w:tcPr>
            <w:tcW w:w="2000" w:type="dxa"/>
          </w:tcPr>
          <w:p>
            <w:pPr>
              <w:spacing w:before="40" w:after="40"/>
            </w:pPr>
            <w:r>
              <w:rPr>
                <w:color w:val="4A5568"/>
                <w:sz w:val="18"/>
              </w:rPr>
              <w:t>93.02% intent prediction</w:t>
            </w:r>
          </w:p>
        </w:tc>
      </w:tr>
      <w:tr>
        <w:tc>
          <w:tcPr>
            <w:tcW w:w="2000" w:type="dxa"/>
          </w:tcPr>
          <w:p>
            <w:pPr>
              <w:spacing w:before="40" w:after="40"/>
            </w:pPr>
            <w:r>
              <w:rPr>
                <w:color w:val="4A5568"/>
                <w:sz w:val="18"/>
              </w:rPr>
              <w:t>KDA A2Mamba</w:t>
            </w:r>
          </w:p>
        </w:tc>
        <w:tc>
          <w:tcPr>
            <w:tcW w:w="2000" w:type="dxa"/>
          </w:tcPr>
          <w:p>
            <w:pPr>
              <w:spacing w:before="40" w:after="40"/>
            </w:pPr>
            <w:r>
              <w:rPr>
                <w:color w:val="4A5568"/>
                <w:sz w:val="18"/>
              </w:rPr>
              <w:t>Multi-Modal Fusion</w:t>
            </w:r>
          </w:p>
        </w:tc>
        <w:tc>
          <w:tcPr>
            <w:tcW w:w="2000" w:type="dxa"/>
          </w:tcPr>
          <w:p>
            <w:pPr>
              <w:spacing w:before="40" w:after="40"/>
            </w:pPr>
            <w:r>
              <w:rPr>
                <w:color w:val="4A5568"/>
                <w:sz w:val="18"/>
              </w:rPr>
              <w:t>512-dim embeddings</w:t>
            </w:r>
          </w:p>
        </w:tc>
        <w:tc>
          <w:tcPr>
            <w:tcW w:w="2000" w:type="dxa"/>
          </w:tcPr>
          <w:p>
            <w:pPr>
              <w:spacing w:before="40" w:after="40"/>
            </w:pPr>
            <w:r>
              <w:rPr>
                <w:color w:val="4A5568"/>
                <w:sz w:val="18"/>
              </w:rPr>
              <w:t>75% KV cache reduction</w:t>
            </w:r>
          </w:p>
        </w:tc>
      </w:tr>
      <w:tr>
        <w:tc>
          <w:tcPr>
            <w:tcW w:w="2000" w:type="dxa"/>
          </w:tcPr>
          <w:p>
            <w:pPr>
              <w:spacing w:before="40" w:after="40"/>
            </w:pPr>
            <w:r>
              <w:rPr>
                <w:color w:val="4A5568"/>
                <w:sz w:val="18"/>
              </w:rPr>
              <w:t>Mastermind-2B</w:t>
            </w:r>
          </w:p>
        </w:tc>
        <w:tc>
          <w:tcPr>
            <w:tcW w:w="2000" w:type="dxa"/>
          </w:tcPr>
          <w:p>
            <w:pPr>
              <w:spacing w:before="40" w:after="40"/>
            </w:pPr>
            <w:r>
              <w:rPr>
                <w:color w:val="4A5568"/>
                <w:sz w:val="18"/>
              </w:rPr>
              <w:t>Edge LLM</w:t>
            </w:r>
          </w:p>
        </w:tc>
        <w:tc>
          <w:tcPr>
            <w:tcW w:w="2000" w:type="dxa"/>
          </w:tcPr>
          <w:p>
            <w:pPr>
              <w:spacing w:before="40" w:after="40"/>
            </w:pPr>
            <w:r>
              <w:rPr>
                <w:color w:val="4A5568"/>
                <w:sz w:val="18"/>
              </w:rPr>
              <w:t>Jetson Orin Nano</w:t>
            </w:r>
          </w:p>
        </w:tc>
        <w:tc>
          <w:tcPr>
            <w:tcW w:w="2000" w:type="dxa"/>
          </w:tcPr>
          <w:p>
            <w:pPr>
              <w:spacing w:before="40" w:after="40"/>
            </w:pPr>
            <w:r>
              <w:rPr>
                <w:color w:val="4A5568"/>
                <w:sz w:val="18"/>
              </w:rPr>
              <w:t>85.5 tokens/sec, 32K context</w:t>
            </w:r>
          </w:p>
        </w:tc>
      </w:tr>
      <w:tr>
        <w:tc>
          <w:tcPr>
            <w:tcW w:w="2000" w:type="dxa"/>
          </w:tcPr>
          <w:p>
            <w:pPr>
              <w:spacing w:before="40" w:after="40"/>
            </w:pPr>
            <w:r>
              <w:rPr>
                <w:color w:val="4A5568"/>
                <w:sz w:val="18"/>
              </w:rPr>
              <w:t>Mastermind-9B</w:t>
            </w:r>
          </w:p>
        </w:tc>
        <w:tc>
          <w:tcPr>
            <w:tcW w:w="2000" w:type="dxa"/>
          </w:tcPr>
          <w:p>
            <w:pPr>
              <w:spacing w:before="40" w:after="40"/>
            </w:pPr>
            <w:r>
              <w:rPr>
                <w:color w:val="4A5568"/>
                <w:sz w:val="18"/>
              </w:rPr>
              <w:t>Cloud LLM</w:t>
            </w:r>
          </w:p>
        </w:tc>
        <w:tc>
          <w:tcPr>
            <w:tcW w:w="2000" w:type="dxa"/>
          </w:tcPr>
          <w:p>
            <w:pPr>
              <w:spacing w:before="40" w:after="40"/>
            </w:pPr>
            <w:r>
              <w:rPr>
                <w:color w:val="4A5568"/>
                <w:sz w:val="18"/>
              </w:rPr>
              <w:t>A100 cluster</w:t>
            </w:r>
          </w:p>
        </w:tc>
        <w:tc>
          <w:tcPr>
            <w:tcW w:w="2000" w:type="dxa"/>
          </w:tcPr>
          <w:p>
            <w:pPr>
              <w:spacing w:before="40" w:after="40"/>
            </w:pPr>
            <w:r>
              <w:rPr>
                <w:color w:val="4A5568"/>
                <w:sz w:val="18"/>
              </w:rPr>
              <w:t>42.3 tokens/sec</w:t>
            </w:r>
          </w:p>
        </w:tc>
      </w:tr>
      <w:tr>
        <w:tc>
          <w:tcPr>
            <w:tcW w:w="2000" w:type="dxa"/>
          </w:tcPr>
          <w:p>
            <w:pPr>
              <w:spacing w:before="40" w:after="40"/>
            </w:pPr>
            <w:r>
              <w:rPr>
                <w:color w:val="4A5568"/>
                <w:sz w:val="18"/>
              </w:rPr>
              <w:t>PRINCE</w:t>
            </w:r>
          </w:p>
        </w:tc>
        <w:tc>
          <w:tcPr>
            <w:tcW w:w="2000" w:type="dxa"/>
          </w:tcPr>
          <w:p>
            <w:pPr>
              <w:spacing w:before="40" w:after="40"/>
            </w:pPr>
            <w:r>
              <w:rPr>
                <w:color w:val="4A5568"/>
                <w:sz w:val="18"/>
              </w:rPr>
              <w:t>Federated Learning</w:t>
            </w:r>
          </w:p>
        </w:tc>
        <w:tc>
          <w:tcPr>
            <w:tcW w:w="2000" w:type="dxa"/>
          </w:tcPr>
          <w:p>
            <w:pPr>
              <w:spacing w:before="40" w:after="40"/>
            </w:pPr>
            <w:r>
              <w:rPr>
                <w:color w:val="4A5568"/>
                <w:sz w:val="18"/>
              </w:rPr>
              <w:t>Distributed edge</w:t>
            </w:r>
          </w:p>
        </w:tc>
        <w:tc>
          <w:tcPr>
            <w:tcW w:w="2000" w:type="dxa"/>
          </w:tcPr>
          <w:p>
            <w:pPr>
              <w:spacing w:before="40" w:after="40"/>
            </w:pPr>
            <w:r>
              <w:rPr>
                <w:color w:val="4A5568"/>
                <w:sz w:val="18"/>
              </w:rPr>
              <w:t>Differential privacy guarantee</w:t>
            </w:r>
          </w:p>
        </w:tc>
      </w:tr>
    </w:tbl>
    <w:p>
      <w:pPr>
        <w:spacing w:before="120" w:after="120"/>
      </w:pPr>
    </w:p>
    <w:p>
      <w:pPr>
        <w:pStyle w:val="Heading1"/>
      </w:pPr>
      <w:r>
        <w:t>CHAPTER 02: Property Intelligence Product Portfolio</w:t>
      </w:r>
      <w:bookmarkStart w:name="_H3" w:id="3"/>
      <w:bookmarkEnd w:id="3"/>
    </w:p>
    <w:p>
      <w:r>
        <w:t>The Property Intelligence suite comprises six integrated modules that share the MASTERNEX.os substrate, the VIVELLA Verify gig verification network, the ODASI Truth Ledger, and the Apex Insight CRM layer. These modules are not standalone products -- they are composable capabilities that customers combine based on their specific needs.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Module</w:t>
            </w:r>
          </w:p>
        </w:tc>
        <w:tc>
          <w:tcPr>
            <w:tcW w:w="2000" w:type="dxa"/>
            <w:shd w:val="clear" w:fill="1B3A4B"/>
          </w:tcPr>
          <w:p>
            <w:pPr>
              <w:spacing w:before="40" w:after="40"/>
            </w:pPr>
            <w:r>
              <w:rPr>
                <w:b/>
                <w:color w:val="FFFFFF"/>
                <w:sz w:val="18"/>
              </w:rPr>
              <w:t>Cardinal Point</w:t>
            </w:r>
          </w:p>
        </w:tc>
        <w:tc>
          <w:tcPr>
            <w:tcW w:w="2000" w:type="dxa"/>
            <w:shd w:val="clear" w:fill="1B3A4B"/>
          </w:tcPr>
          <w:p>
            <w:pPr>
              <w:spacing w:before="40" w:after="40"/>
            </w:pPr>
            <w:r>
              <w:rPr>
                <w:b/>
                <w:color w:val="FFFFFF"/>
                <w:sz w:val="18"/>
              </w:rPr>
              <w:t>Primary Vertical</w:t>
            </w:r>
          </w:p>
        </w:tc>
        <w:tc>
          <w:tcPr>
            <w:tcW w:w="2000" w:type="dxa"/>
            <w:shd w:val="clear" w:fill="1B3A4B"/>
          </w:tcPr>
          <w:p>
            <w:pPr>
              <w:spacing w:before="40" w:after="40"/>
            </w:pPr>
            <w:r>
              <w:rPr>
                <w:b/>
                <w:color w:val="FFFFFF"/>
                <w:sz w:val="18"/>
              </w:rPr>
              <w:t>Revenue Model</w:t>
            </w:r>
          </w:p>
        </w:tc>
      </w:tr>
      <w:tr>
        <w:tc>
          <w:tcPr>
            <w:tcW w:w="2000" w:type="dxa"/>
          </w:tcPr>
          <w:p>
            <w:pPr>
              <w:spacing w:before="40" w:after="40"/>
            </w:pPr>
            <w:r>
              <w:rPr>
                <w:color w:val="4A5568"/>
                <w:sz w:val="18"/>
              </w:rPr>
              <w:t>Recon Engine</w:t>
            </w:r>
          </w:p>
        </w:tc>
        <w:tc>
          <w:tcPr>
            <w:tcW w:w="2000" w:type="dxa"/>
          </w:tcPr>
          <w:p>
            <w:pPr>
              <w:spacing w:before="40" w:after="40"/>
            </w:pPr>
            <w:r>
              <w:rPr>
                <w:color w:val="4A5568"/>
                <w:sz w:val="18"/>
              </w:rPr>
              <w:t>Guard (East)</w:t>
            </w:r>
          </w:p>
        </w:tc>
        <w:tc>
          <w:tcPr>
            <w:tcW w:w="2000" w:type="dxa"/>
          </w:tcPr>
          <w:p>
            <w:pPr>
              <w:spacing w:before="40" w:after="40"/>
            </w:pPr>
            <w:r>
              <w:rPr>
                <w:color w:val="4A5568"/>
                <w:sz w:val="18"/>
              </w:rPr>
              <w:t>Storm restoration / roofing</w:t>
            </w:r>
          </w:p>
        </w:tc>
        <w:tc>
          <w:tcPr>
            <w:tcW w:w="2000" w:type="dxa"/>
          </w:tcPr>
          <w:p>
            <w:pPr>
              <w:spacing w:before="40" w:after="40"/>
            </w:pPr>
            <w:r>
              <w:rPr>
                <w:color w:val="4A5568"/>
                <w:sz w:val="18"/>
              </w:rPr>
              <w:t>SaaS + per-lead fees</w:t>
            </w:r>
          </w:p>
        </w:tc>
      </w:tr>
      <w:tr>
        <w:tc>
          <w:tcPr>
            <w:tcW w:w="2000" w:type="dxa"/>
          </w:tcPr>
          <w:p>
            <w:pPr>
              <w:spacing w:before="40" w:after="40"/>
            </w:pPr>
            <w:r>
              <w:rPr>
                <w:color w:val="4A5568"/>
                <w:sz w:val="18"/>
              </w:rPr>
              <w:t>Sentinel Scanner</w:t>
            </w:r>
          </w:p>
        </w:tc>
        <w:tc>
          <w:tcPr>
            <w:tcW w:w="2000" w:type="dxa"/>
          </w:tcPr>
          <w:p>
            <w:pPr>
              <w:spacing w:before="40" w:after="40"/>
            </w:pPr>
            <w:r>
              <w:rPr>
                <w:color w:val="4A5568"/>
                <w:sz w:val="18"/>
              </w:rPr>
              <w:t>Guard (East)</w:t>
            </w:r>
          </w:p>
        </w:tc>
        <w:tc>
          <w:tcPr>
            <w:tcW w:w="2000" w:type="dxa"/>
          </w:tcPr>
          <w:p>
            <w:pPr>
              <w:spacing w:before="40" w:after="40"/>
            </w:pPr>
            <w:r>
              <w:rPr>
                <w:color w:val="4A5568"/>
                <w:sz w:val="18"/>
              </w:rPr>
              <w:t>Property condition monitoring</w:t>
            </w:r>
          </w:p>
        </w:tc>
        <w:tc>
          <w:tcPr>
            <w:tcW w:w="2000" w:type="dxa"/>
          </w:tcPr>
          <w:p>
            <w:pPr>
              <w:spacing w:before="40" w:after="40"/>
            </w:pPr>
            <w:r>
              <w:rPr>
                <w:color w:val="4A5568"/>
                <w:sz w:val="18"/>
              </w:rPr>
              <w:t>SaaS subscription</w:t>
            </w:r>
          </w:p>
        </w:tc>
      </w:tr>
      <w:tr>
        <w:tc>
          <w:tcPr>
            <w:tcW w:w="2000" w:type="dxa"/>
          </w:tcPr>
          <w:p>
            <w:pPr>
              <w:spacing w:before="40" w:after="40"/>
            </w:pPr>
            <w:r>
              <w:rPr>
                <w:color w:val="4A5568"/>
                <w:sz w:val="18"/>
              </w:rPr>
              <w:t>Real Estate Prospector</w:t>
            </w:r>
          </w:p>
        </w:tc>
        <w:tc>
          <w:tcPr>
            <w:tcW w:w="2000" w:type="dxa"/>
          </w:tcPr>
          <w:p>
            <w:pPr>
              <w:spacing w:before="40" w:after="40"/>
            </w:pPr>
            <w:r>
              <w:rPr>
                <w:color w:val="4A5568"/>
                <w:sz w:val="18"/>
              </w:rPr>
              <w:t>Guard (East)</w:t>
            </w:r>
          </w:p>
        </w:tc>
        <w:tc>
          <w:tcPr>
            <w:tcW w:w="2000" w:type="dxa"/>
          </w:tcPr>
          <w:p>
            <w:pPr>
              <w:spacing w:before="40" w:after="40"/>
            </w:pPr>
            <w:r>
              <w:rPr>
                <w:color w:val="4A5568"/>
                <w:sz w:val="18"/>
              </w:rPr>
              <w:t>Real estate investment</w:t>
            </w:r>
          </w:p>
        </w:tc>
        <w:tc>
          <w:tcPr>
            <w:tcW w:w="2000" w:type="dxa"/>
          </w:tcPr>
          <w:p>
            <w:pPr>
              <w:spacing w:before="40" w:after="40"/>
            </w:pPr>
            <w:r>
              <w:rPr>
                <w:color w:val="4A5568"/>
                <w:sz w:val="18"/>
              </w:rPr>
              <w:t>Per-lead + subscription</w:t>
            </w:r>
          </w:p>
        </w:tc>
      </w:tr>
      <w:tr>
        <w:tc>
          <w:tcPr>
            <w:tcW w:w="2000" w:type="dxa"/>
          </w:tcPr>
          <w:p>
            <w:pPr>
              <w:spacing w:before="40" w:after="40"/>
            </w:pPr>
            <w:r>
              <w:rPr>
                <w:color w:val="4A5568"/>
                <w:sz w:val="18"/>
              </w:rPr>
              <w:t>Probate Pipeline</w:t>
            </w:r>
          </w:p>
        </w:tc>
        <w:tc>
          <w:tcPr>
            <w:tcW w:w="2000" w:type="dxa"/>
          </w:tcPr>
          <w:p>
            <w:pPr>
              <w:spacing w:before="40" w:after="40"/>
            </w:pPr>
            <w:r>
              <w:rPr>
                <w:color w:val="4A5568"/>
                <w:sz w:val="18"/>
              </w:rPr>
              <w:t>Fiduciary (North)</w:t>
            </w:r>
          </w:p>
        </w:tc>
        <w:tc>
          <w:tcPr>
            <w:tcW w:w="2000" w:type="dxa"/>
          </w:tcPr>
          <w:p>
            <w:pPr>
              <w:spacing w:before="40" w:after="40"/>
            </w:pPr>
            <w:r>
              <w:rPr>
                <w:color w:val="4A5568"/>
                <w:sz w:val="18"/>
              </w:rPr>
              <w:t>Estate administration / legal</w:t>
            </w:r>
          </w:p>
        </w:tc>
        <w:tc>
          <w:tcPr>
            <w:tcW w:w="2000" w:type="dxa"/>
          </w:tcPr>
          <w:p>
            <w:pPr>
              <w:spacing w:before="40" w:after="40"/>
            </w:pPr>
            <w:r>
              <w:rPr>
                <w:color w:val="4A5568"/>
                <w:sz w:val="18"/>
              </w:rPr>
              <w:t>SaaS + per-case fees</w:t>
            </w:r>
          </w:p>
        </w:tc>
      </w:tr>
      <w:tr>
        <w:tc>
          <w:tcPr>
            <w:tcW w:w="2000" w:type="dxa"/>
          </w:tcPr>
          <w:p>
            <w:pPr>
              <w:spacing w:before="40" w:after="40"/>
            </w:pPr>
            <w:r>
              <w:rPr>
                <w:color w:val="4A5568"/>
                <w:sz w:val="18"/>
              </w:rPr>
              <w:t>Alter Rendering Engine</w:t>
            </w:r>
          </w:p>
        </w:tc>
        <w:tc>
          <w:tcPr>
            <w:tcW w:w="2000" w:type="dxa"/>
          </w:tcPr>
          <w:p>
            <w:pPr>
              <w:spacing w:before="40" w:after="40"/>
            </w:pPr>
            <w:r>
              <w:rPr>
                <w:color w:val="4A5568"/>
                <w:sz w:val="18"/>
              </w:rPr>
              <w:t>Guard (East)</w:t>
            </w:r>
          </w:p>
        </w:tc>
        <w:tc>
          <w:tcPr>
            <w:tcW w:w="2000" w:type="dxa"/>
          </w:tcPr>
          <w:p>
            <w:pPr>
              <w:spacing w:before="40" w:after="40"/>
            </w:pPr>
            <w:r>
              <w:rPr>
                <w:color w:val="4A5568"/>
                <w:sz w:val="18"/>
              </w:rPr>
              <w:t>Contractor visualization / AR</w:t>
            </w:r>
          </w:p>
        </w:tc>
        <w:tc>
          <w:tcPr>
            <w:tcW w:w="2000" w:type="dxa"/>
          </w:tcPr>
          <w:p>
            <w:pPr>
              <w:spacing w:before="40" w:after="40"/>
            </w:pPr>
            <w:r>
              <w:rPr>
                <w:color w:val="4A5568"/>
                <w:sz w:val="18"/>
              </w:rPr>
              <w:t>SaaS + white-label</w:t>
            </w:r>
          </w:p>
        </w:tc>
      </w:tr>
      <w:tr>
        <w:tc>
          <w:tcPr>
            <w:tcW w:w="2000" w:type="dxa"/>
          </w:tcPr>
          <w:p>
            <w:pPr>
              <w:spacing w:before="40" w:after="40"/>
            </w:pPr>
            <w:r>
              <w:rPr>
                <w:color w:val="4A5568"/>
                <w:sz w:val="18"/>
              </w:rPr>
              <w:t>Apex Insight CRM</w:t>
            </w:r>
          </w:p>
        </w:tc>
        <w:tc>
          <w:tcPr>
            <w:tcW w:w="2000" w:type="dxa"/>
          </w:tcPr>
          <w:p>
            <w:pPr>
              <w:spacing w:before="40" w:after="40"/>
            </w:pPr>
            <w:r>
              <w:rPr>
                <w:color w:val="4A5568"/>
                <w:sz w:val="18"/>
              </w:rPr>
              <w:t>Guard + Fiduciary</w:t>
            </w:r>
          </w:p>
        </w:tc>
        <w:tc>
          <w:tcPr>
            <w:tcW w:w="2000" w:type="dxa"/>
          </w:tcPr>
          <w:p>
            <w:pPr>
              <w:spacing w:before="40" w:after="40"/>
            </w:pPr>
            <w:r>
              <w:rPr>
                <w:color w:val="4A5568"/>
                <w:sz w:val="18"/>
              </w:rPr>
              <w:t>Unified workflow management</w:t>
            </w:r>
          </w:p>
        </w:tc>
        <w:tc>
          <w:tcPr>
            <w:tcW w:w="2000" w:type="dxa"/>
          </w:tcPr>
          <w:p>
            <w:pPr>
              <w:spacing w:before="40" w:after="40"/>
            </w:pPr>
            <w:r>
              <w:rPr>
                <w:color w:val="4A5568"/>
                <w:sz w:val="18"/>
              </w:rPr>
              <w:t>SaaS integration layer</w:t>
            </w:r>
          </w:p>
        </w:tc>
      </w:tr>
    </w:tbl>
    <w:p>
      <w:pPr>
        <w:spacing w:before="120" w:after="120"/>
      </w:pPr>
    </w:p>
    <w:p>
      <w:pPr>
        <w:pStyle w:val="Heading2"/>
      </w:pPr>
      <w:r>
        <w:t>Module 1: Recon Engine -- Storm Intelligence</w:t>
      </w:r>
    </w:p>
    <w:p>
      <w:r>
        <w:t>The US storm restoration industry generates $18B+ annually. Contractors rely on raw, unprioritized meteorological data generating 60%+ false-positive rates, wasting $9.9M+ annually per 50-person sales team. A single missed storm week can cost a contractor $500,000 in revenue.</w:t>
      </w:r>
    </w:p>
    <w:p>
      <w:r>
        <w:t>The Recon Engine replaces this noise with the Damage Probability Score (DPS): a property-level damage prediction algorithm fusing NOAA meteorological streams, Sentinel Hub satellite imagery, CoreLogic/Black Knight property data, and crowdsourced VIVELLA Field App validation.</w:t>
      </w:r>
    </w:p>
    <w:p>
      <w:pPr>
        <w:pStyle w:val="Heading3"/>
      </w:pPr>
      <w:r>
        <w:t>DPS Factor Weighting</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tblGrid>
      <w:tr>
        <w:trPr>
          <w:tblHeader/>
        </w:trPr>
        <w:tc>
          <w:tcPr>
            <w:tcW w:w="2000" w:type="dxa"/>
            <w:shd w:val="clear" w:fill="1B3A4B"/>
          </w:tcPr>
          <w:p>
            <w:pPr>
              <w:spacing w:before="40" w:after="40"/>
            </w:pPr>
            <w:r>
              <w:rPr>
                <w:b/>
                <w:color w:val="FFFFFF"/>
                <w:sz w:val="18"/>
              </w:rPr>
              <w:t>Factor</w:t>
            </w:r>
          </w:p>
        </w:tc>
        <w:tc>
          <w:tcPr>
            <w:tcW w:w="2000" w:type="dxa"/>
            <w:shd w:val="clear" w:fill="1B3A4B"/>
          </w:tcPr>
          <w:p>
            <w:pPr>
              <w:spacing w:before="40" w:after="40"/>
            </w:pPr>
            <w:r>
              <w:rPr>
                <w:b/>
                <w:color w:val="FFFFFF"/>
                <w:sz w:val="18"/>
              </w:rPr>
              <w:t>Variable</w:t>
            </w:r>
          </w:p>
        </w:tc>
        <w:tc>
          <w:tcPr>
            <w:tcW w:w="2000" w:type="dxa"/>
            <w:shd w:val="clear" w:fill="1B3A4B"/>
          </w:tcPr>
          <w:p>
            <w:pPr>
              <w:spacing w:before="40" w:after="40"/>
            </w:pPr>
            <w:r>
              <w:rPr>
                <w:b/>
                <w:color w:val="FFFFFF"/>
                <w:sz w:val="18"/>
              </w:rPr>
              <w:t>Weight</w:t>
            </w:r>
          </w:p>
        </w:tc>
        <w:tc>
          <w:tcPr>
            <w:tcW w:w="2000" w:type="dxa"/>
            <w:shd w:val="clear" w:fill="1B3A4B"/>
          </w:tcPr>
          <w:p>
            <w:pPr>
              <w:spacing w:before="40" w:after="40"/>
            </w:pPr>
            <w:r>
              <w:rPr>
                <w:b/>
                <w:color w:val="FFFFFF"/>
                <w:sz w:val="18"/>
              </w:rPr>
              <w:t>Scoring Basis</w:t>
            </w:r>
          </w:p>
        </w:tc>
        <w:tc>
          <w:tcPr>
            <w:tcW w:w="2000" w:type="dxa"/>
            <w:shd w:val="clear" w:fill="1B3A4B"/>
          </w:tcPr>
          <w:p>
            <w:pPr>
              <w:spacing w:before="40" w:after="40"/>
            </w:pPr>
            <w:r>
              <w:rPr>
                <w:b/>
                <w:color w:val="FFFFFF"/>
                <w:sz w:val="18"/>
              </w:rPr>
              <w:t>Impact Example</w:t>
            </w:r>
          </w:p>
        </w:tc>
      </w:tr>
      <w:tr>
        <w:tc>
          <w:tcPr>
            <w:tcW w:w="2000" w:type="dxa"/>
          </w:tcPr>
          <w:p>
            <w:pPr>
              <w:spacing w:before="40" w:after="40"/>
            </w:pPr>
            <w:r>
              <w:rPr>
                <w:color w:val="4A5568"/>
                <w:sz w:val="18"/>
              </w:rPr>
              <w:t>Hail Size</w:t>
            </w:r>
          </w:p>
        </w:tc>
        <w:tc>
          <w:tcPr>
            <w:tcW w:w="2000" w:type="dxa"/>
          </w:tcPr>
          <w:p>
            <w:pPr>
              <w:spacing w:before="40" w:after="40"/>
            </w:pPr>
            <w:r>
              <w:rPr>
                <w:color w:val="4A5568"/>
                <w:sz w:val="18"/>
              </w:rPr>
              <w:t>Hs</w:t>
            </w:r>
          </w:p>
        </w:tc>
        <w:tc>
          <w:tcPr>
            <w:tcW w:w="2000" w:type="dxa"/>
          </w:tcPr>
          <w:p>
            <w:pPr>
              <w:spacing w:before="40" w:after="40"/>
            </w:pPr>
            <w:r>
              <w:rPr>
                <w:color w:val="4A5568"/>
                <w:sz w:val="18"/>
              </w:rPr>
              <w:t>38%</w:t>
            </w:r>
          </w:p>
        </w:tc>
        <w:tc>
          <w:tcPr>
            <w:tcW w:w="2000" w:type="dxa"/>
          </w:tcPr>
          <w:p>
            <w:pPr>
              <w:spacing w:before="40" w:after="40"/>
            </w:pPr>
            <w:r>
              <w:rPr>
                <w:color w:val="4A5568"/>
                <w:sz w:val="18"/>
              </w:rPr>
              <w:t>MRMS MESH product; trained spotter reports</w:t>
            </w:r>
          </w:p>
        </w:tc>
        <w:tc>
          <w:tcPr>
            <w:tcW w:w="2000" w:type="dxa"/>
          </w:tcPr>
          <w:p>
            <w:pPr>
              <w:spacing w:before="40" w:after="40"/>
            </w:pPr>
            <w:r>
              <w:rPr>
                <w:color w:val="4A5568"/>
                <w:sz w:val="18"/>
              </w:rPr>
              <w:t>2.0" = 95pts; 0.75" = 12pts</w:t>
            </w:r>
          </w:p>
        </w:tc>
      </w:tr>
      <w:tr>
        <w:tc>
          <w:tcPr>
            <w:tcW w:w="2000" w:type="dxa"/>
          </w:tcPr>
          <w:p>
            <w:pPr>
              <w:spacing w:before="40" w:after="40"/>
            </w:pPr>
            <w:r>
              <w:rPr>
                <w:color w:val="4A5568"/>
                <w:sz w:val="18"/>
              </w:rPr>
              <w:t>Roof Vulnerability</w:t>
            </w:r>
          </w:p>
        </w:tc>
        <w:tc>
          <w:tcPr>
            <w:tcW w:w="2000" w:type="dxa"/>
          </w:tcPr>
          <w:p>
            <w:pPr>
              <w:spacing w:before="40" w:after="40"/>
            </w:pPr>
            <w:r>
              <w:rPr>
                <w:color w:val="4A5568"/>
                <w:sz w:val="18"/>
              </w:rPr>
              <w:t>Rv</w:t>
            </w:r>
          </w:p>
        </w:tc>
        <w:tc>
          <w:tcPr>
            <w:tcW w:w="2000" w:type="dxa"/>
          </w:tcPr>
          <w:p>
            <w:pPr>
              <w:spacing w:before="40" w:after="40"/>
            </w:pPr>
            <w:r>
              <w:rPr>
                <w:color w:val="4A5568"/>
                <w:sz w:val="18"/>
              </w:rPr>
              <w:t>28%</w:t>
            </w:r>
          </w:p>
        </w:tc>
        <w:tc>
          <w:tcPr>
            <w:tcW w:w="2000" w:type="dxa"/>
          </w:tcPr>
          <w:p>
            <w:pPr>
              <w:spacing w:before="40" w:after="40"/>
            </w:pPr>
            <w:r>
              <w:rPr>
                <w:color w:val="4A5568"/>
                <w:sz w:val="18"/>
              </w:rPr>
              <w:t>Age x material type x prior claims</w:t>
            </w:r>
          </w:p>
        </w:tc>
        <w:tc>
          <w:tcPr>
            <w:tcW w:w="2000" w:type="dxa"/>
          </w:tcPr>
          <w:p>
            <w:pPr>
              <w:spacing w:before="40" w:after="40"/>
            </w:pPr>
            <w:r>
              <w:rPr>
                <w:color w:val="4A5568"/>
                <w:sz w:val="18"/>
              </w:rPr>
              <w:t>20yr comp = 94pts; 2yr metal = 8pts</w:t>
            </w:r>
          </w:p>
        </w:tc>
      </w:tr>
      <w:tr>
        <w:tc>
          <w:tcPr>
            <w:tcW w:w="2000" w:type="dxa"/>
          </w:tcPr>
          <w:p>
            <w:pPr>
              <w:spacing w:before="40" w:after="40"/>
            </w:pPr>
            <w:r>
              <w:rPr>
                <w:color w:val="4A5568"/>
                <w:sz w:val="18"/>
              </w:rPr>
              <w:t>Wind Speed</w:t>
            </w:r>
          </w:p>
        </w:tc>
        <w:tc>
          <w:tcPr>
            <w:tcW w:w="2000" w:type="dxa"/>
          </w:tcPr>
          <w:p>
            <w:pPr>
              <w:spacing w:before="40" w:after="40"/>
            </w:pPr>
            <w:r>
              <w:rPr>
                <w:color w:val="4A5568"/>
                <w:sz w:val="18"/>
              </w:rPr>
              <w:t>Wv</w:t>
            </w:r>
          </w:p>
        </w:tc>
        <w:tc>
          <w:tcPr>
            <w:tcW w:w="2000" w:type="dxa"/>
          </w:tcPr>
          <w:p>
            <w:pPr>
              <w:spacing w:before="40" w:after="40"/>
            </w:pPr>
            <w:r>
              <w:rPr>
                <w:color w:val="4A5568"/>
                <w:sz w:val="18"/>
              </w:rPr>
              <w:t>16%</w:t>
            </w:r>
          </w:p>
        </w:tc>
        <w:tc>
          <w:tcPr>
            <w:tcW w:w="2000" w:type="dxa"/>
          </w:tcPr>
          <w:p>
            <w:pPr>
              <w:spacing w:before="40" w:after="40"/>
            </w:pPr>
            <w:r>
              <w:rPr>
                <w:color w:val="4A5568"/>
                <w:sz w:val="18"/>
              </w:rPr>
              <w:t>Sustained vs. gust differential</w:t>
            </w:r>
          </w:p>
        </w:tc>
        <w:tc>
          <w:tcPr>
            <w:tcW w:w="2000" w:type="dxa"/>
          </w:tcPr>
          <w:p>
            <w:pPr>
              <w:spacing w:before="40" w:after="40"/>
            </w:pPr>
            <w:r>
              <w:rPr>
                <w:color w:val="4A5568"/>
                <w:sz w:val="18"/>
              </w:rPr>
              <w:t>65mph sustained = 88pts; 40mph = 22pts</w:t>
            </w:r>
          </w:p>
        </w:tc>
      </w:tr>
      <w:tr>
        <w:tc>
          <w:tcPr>
            <w:tcW w:w="2000" w:type="dxa"/>
          </w:tcPr>
          <w:p>
            <w:pPr>
              <w:spacing w:before="40" w:after="40"/>
            </w:pPr>
            <w:r>
              <w:rPr>
                <w:color w:val="4A5568"/>
                <w:sz w:val="18"/>
              </w:rPr>
              <w:t>Storm Duration</w:t>
            </w:r>
          </w:p>
        </w:tc>
        <w:tc>
          <w:tcPr>
            <w:tcW w:w="2000" w:type="dxa"/>
          </w:tcPr>
          <w:p>
            <w:pPr>
              <w:spacing w:before="40" w:after="40"/>
            </w:pPr>
            <w:r>
              <w:rPr>
                <w:color w:val="4A5568"/>
                <w:sz w:val="18"/>
              </w:rPr>
              <w:t>Td</w:t>
            </w:r>
          </w:p>
        </w:tc>
        <w:tc>
          <w:tcPr>
            <w:tcW w:w="2000" w:type="dxa"/>
          </w:tcPr>
          <w:p>
            <w:pPr>
              <w:spacing w:before="40" w:after="40"/>
            </w:pPr>
            <w:r>
              <w:rPr>
                <w:color w:val="4A5568"/>
                <w:sz w:val="18"/>
              </w:rPr>
              <w:t>10%</w:t>
            </w:r>
          </w:p>
        </w:tc>
        <w:tc>
          <w:tcPr>
            <w:tcW w:w="2000" w:type="dxa"/>
          </w:tcPr>
          <w:p>
            <w:pPr>
              <w:spacing w:before="40" w:after="40"/>
            </w:pPr>
            <w:r>
              <w:rPr>
                <w:color w:val="4A5568"/>
                <w:sz w:val="18"/>
              </w:rPr>
              <w:t>Minutes at peak intensity per parcel</w:t>
            </w:r>
          </w:p>
        </w:tc>
        <w:tc>
          <w:tcPr>
            <w:tcW w:w="2000" w:type="dxa"/>
          </w:tcPr>
          <w:p>
            <w:pPr>
              <w:spacing w:before="40" w:after="40"/>
            </w:pPr>
            <w:r>
              <w:rPr>
                <w:color w:val="4A5568"/>
                <w:sz w:val="18"/>
              </w:rPr>
              <w:t>25min = 72pts; 4min = 18pts</w:t>
            </w:r>
          </w:p>
        </w:tc>
      </w:tr>
      <w:tr>
        <w:tc>
          <w:tcPr>
            <w:tcW w:w="2000" w:type="dxa"/>
          </w:tcPr>
          <w:p>
            <w:pPr>
              <w:spacing w:before="40" w:after="40"/>
            </w:pPr>
            <w:r>
              <w:rPr>
                <w:color w:val="4A5568"/>
                <w:sz w:val="18"/>
              </w:rPr>
              <w:t>Material Type</w:t>
            </w:r>
          </w:p>
        </w:tc>
        <w:tc>
          <w:tcPr>
            <w:tcW w:w="2000" w:type="dxa"/>
          </w:tcPr>
          <w:p>
            <w:pPr>
              <w:spacing w:before="40" w:after="40"/>
            </w:pPr>
            <w:r>
              <w:rPr>
                <w:color w:val="4A5568"/>
                <w:sz w:val="18"/>
              </w:rPr>
              <w:t>Mr</w:t>
            </w:r>
          </w:p>
        </w:tc>
        <w:tc>
          <w:tcPr>
            <w:tcW w:w="2000" w:type="dxa"/>
          </w:tcPr>
          <w:p>
            <w:pPr>
              <w:spacing w:before="40" w:after="40"/>
            </w:pPr>
            <w:r>
              <w:rPr>
                <w:color w:val="4A5568"/>
                <w:sz w:val="18"/>
              </w:rPr>
              <w:t>5%</w:t>
            </w:r>
          </w:p>
        </w:tc>
        <w:tc>
          <w:tcPr>
            <w:tcW w:w="2000" w:type="dxa"/>
          </w:tcPr>
          <w:p>
            <w:pPr>
              <w:spacing w:before="40" w:after="40"/>
            </w:pPr>
            <w:r>
              <w:rPr>
                <w:color w:val="4A5568"/>
                <w:sz w:val="18"/>
              </w:rPr>
              <w:t>Roofing material vulnerability class</w:t>
            </w:r>
          </w:p>
        </w:tc>
        <w:tc>
          <w:tcPr>
            <w:tcW w:w="2000" w:type="dxa"/>
          </w:tcPr>
          <w:p>
            <w:pPr>
              <w:spacing w:before="40" w:after="40"/>
            </w:pPr>
            <w:r>
              <w:rPr>
                <w:color w:val="4A5568"/>
                <w:sz w:val="18"/>
              </w:rPr>
              <w:t>Composition +8pts; Metal -24pts</w:t>
            </w:r>
          </w:p>
        </w:tc>
      </w:tr>
      <w:tr>
        <w:tc>
          <w:tcPr>
            <w:tcW w:w="2000" w:type="dxa"/>
          </w:tcPr>
          <w:p>
            <w:pPr>
              <w:spacing w:before="40" w:after="40"/>
            </w:pPr>
            <w:r>
              <w:rPr>
                <w:color w:val="4A5568"/>
                <w:sz w:val="18"/>
              </w:rPr>
              <w:t>Prior Claims</w:t>
            </w:r>
          </w:p>
        </w:tc>
        <w:tc>
          <w:tcPr>
            <w:tcW w:w="2000" w:type="dxa"/>
          </w:tcPr>
          <w:p>
            <w:pPr>
              <w:spacing w:before="40" w:after="40"/>
            </w:pPr>
            <w:r>
              <w:rPr>
                <w:color w:val="4A5568"/>
                <w:sz w:val="18"/>
              </w:rPr>
              <w:t>Pc</w:t>
            </w:r>
          </w:p>
        </w:tc>
        <w:tc>
          <w:tcPr>
            <w:tcW w:w="2000" w:type="dxa"/>
          </w:tcPr>
          <w:p>
            <w:pPr>
              <w:spacing w:before="40" w:after="40"/>
            </w:pPr>
            <w:r>
              <w:rPr>
                <w:color w:val="4A5568"/>
                <w:sz w:val="18"/>
              </w:rPr>
              <w:t>3%</w:t>
            </w:r>
          </w:p>
        </w:tc>
        <w:tc>
          <w:tcPr>
            <w:tcW w:w="2000" w:type="dxa"/>
          </w:tcPr>
          <w:p>
            <w:pPr>
              <w:spacing w:before="40" w:after="40"/>
            </w:pPr>
            <w:r>
              <w:rPr>
                <w:color w:val="4A5568"/>
                <w:sz w:val="18"/>
              </w:rPr>
              <w:t>Claim recency and repair completeness</w:t>
            </w:r>
          </w:p>
        </w:tc>
        <w:tc>
          <w:tcPr>
            <w:tcW w:w="2000" w:type="dxa"/>
          </w:tcPr>
          <w:p>
            <w:pPr>
              <w:spacing w:before="40" w:after="40"/>
            </w:pPr>
            <w:r>
              <w:rPr>
                <w:color w:val="4A5568"/>
                <w:sz w:val="18"/>
              </w:rPr>
              <w:t>Unresolved claim +12pts</w:t>
            </w:r>
          </w:p>
        </w:tc>
      </w:tr>
    </w:tbl>
    <w:p>
      <w:pPr>
        <w:spacing w:before="120" w:after="120"/>
      </w:pPr>
    </w:p>
    <w:p>
      <w:pPr>
        <w:pStyle w:val="Heading3"/>
      </w:pPr>
      <w:r>
        <w:t>Score Action Thresholds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DPS Range</w:t>
            </w:r>
          </w:p>
        </w:tc>
        <w:tc>
          <w:tcPr>
            <w:tcW w:w="2000" w:type="dxa"/>
            <w:shd w:val="clear" w:fill="1B3A4B"/>
          </w:tcPr>
          <w:p>
            <w:pPr>
              <w:spacing w:before="40" w:after="40"/>
            </w:pPr>
            <w:r>
              <w:rPr>
                <w:b/>
                <w:color w:val="FFFFFF"/>
                <w:sz w:val="18"/>
              </w:rPr>
              <w:t>Risk Tier</w:t>
            </w:r>
          </w:p>
        </w:tc>
        <w:tc>
          <w:tcPr>
            <w:tcW w:w="2000" w:type="dxa"/>
            <w:shd w:val="clear" w:fill="1B3A4B"/>
          </w:tcPr>
          <w:p>
            <w:pPr>
              <w:spacing w:before="40" w:after="40"/>
            </w:pPr>
            <w:r>
              <w:rPr>
                <w:b/>
                <w:color w:val="FFFFFF"/>
                <w:sz w:val="18"/>
              </w:rPr>
              <w:t>Recommended Action</w:t>
            </w:r>
          </w:p>
        </w:tc>
        <w:tc>
          <w:tcPr>
            <w:tcW w:w="2000" w:type="dxa"/>
            <w:shd w:val="clear" w:fill="1B3A4B"/>
          </w:tcPr>
          <w:p>
            <w:pPr>
              <w:spacing w:before="40" w:after="40"/>
            </w:pPr>
            <w:r>
              <w:rPr>
                <w:b/>
                <w:color w:val="FFFFFF"/>
                <w:sz w:val="18"/>
              </w:rPr>
              <w:t>Expected Win Rate</w:t>
            </w:r>
          </w:p>
        </w:tc>
      </w:tr>
      <w:tr>
        <w:tc>
          <w:tcPr>
            <w:tcW w:w="2000" w:type="dxa"/>
          </w:tcPr>
          <w:p>
            <w:pPr>
              <w:spacing w:before="40" w:after="40"/>
            </w:pPr>
            <w:r>
              <w:rPr>
                <w:color w:val="4A5568"/>
                <w:sz w:val="18"/>
              </w:rPr>
              <w:t>90-100</w:t>
            </w:r>
          </w:p>
        </w:tc>
        <w:tc>
          <w:tcPr>
            <w:tcW w:w="2000" w:type="dxa"/>
          </w:tcPr>
          <w:p>
            <w:pPr>
              <w:spacing w:before="40" w:after="40"/>
            </w:pPr>
            <w:r>
              <w:rPr>
                <w:color w:val="4A5568"/>
                <w:sz w:val="18"/>
              </w:rPr>
              <w:t>CRITICAL</w:t>
            </w:r>
          </w:p>
        </w:tc>
        <w:tc>
          <w:tcPr>
            <w:tcW w:w="2000" w:type="dxa"/>
          </w:tcPr>
          <w:p>
            <w:pPr>
              <w:spacing w:before="40" w:after="40"/>
            </w:pPr>
            <w:r>
              <w:rPr>
                <w:color w:val="4A5568"/>
                <w:sz w:val="18"/>
              </w:rPr>
              <w:t>Immediate dispatch -- same day field visit</w:t>
            </w:r>
          </w:p>
        </w:tc>
        <w:tc>
          <w:tcPr>
            <w:tcW w:w="2000" w:type="dxa"/>
          </w:tcPr>
          <w:p>
            <w:pPr>
              <w:spacing w:before="40" w:after="40"/>
            </w:pPr>
            <w:r>
              <w:rPr>
                <w:color w:val="4A5568"/>
                <w:sz w:val="18"/>
              </w:rPr>
              <w:t>78%</w:t>
            </w:r>
          </w:p>
        </w:tc>
      </w:tr>
      <w:tr>
        <w:tc>
          <w:tcPr>
            <w:tcW w:w="2000" w:type="dxa"/>
          </w:tcPr>
          <w:p>
            <w:pPr>
              <w:spacing w:before="40" w:after="40"/>
            </w:pPr>
            <w:r>
              <w:rPr>
                <w:color w:val="4A5568"/>
                <w:sz w:val="18"/>
              </w:rPr>
              <w:t>75-89</w:t>
            </w:r>
          </w:p>
        </w:tc>
        <w:tc>
          <w:tcPr>
            <w:tcW w:w="2000" w:type="dxa"/>
          </w:tcPr>
          <w:p>
            <w:pPr>
              <w:spacing w:before="40" w:after="40"/>
            </w:pPr>
            <w:r>
              <w:rPr>
                <w:color w:val="4A5568"/>
                <w:sz w:val="18"/>
              </w:rPr>
              <w:t>HIGH</w:t>
            </w:r>
          </w:p>
        </w:tc>
        <w:tc>
          <w:tcPr>
            <w:tcW w:w="2000" w:type="dxa"/>
          </w:tcPr>
          <w:p>
            <w:pPr>
              <w:spacing w:before="40" w:after="40"/>
            </w:pPr>
            <w:r>
              <w:rPr>
                <w:color w:val="4A5568"/>
                <w:sz w:val="18"/>
              </w:rPr>
              <w:t>Priority queue -- 24-hour dispatch window</w:t>
            </w:r>
          </w:p>
        </w:tc>
        <w:tc>
          <w:tcPr>
            <w:tcW w:w="2000" w:type="dxa"/>
          </w:tcPr>
          <w:p>
            <w:pPr>
              <w:spacing w:before="40" w:after="40"/>
            </w:pPr>
            <w:r>
              <w:rPr>
                <w:color w:val="4A5568"/>
                <w:sz w:val="18"/>
              </w:rPr>
              <w:t>61%</w:t>
            </w:r>
          </w:p>
        </w:tc>
      </w:tr>
      <w:tr>
        <w:tc>
          <w:tcPr>
            <w:tcW w:w="2000" w:type="dxa"/>
          </w:tcPr>
          <w:p>
            <w:pPr>
              <w:spacing w:before="40" w:after="40"/>
            </w:pPr>
            <w:r>
              <w:rPr>
                <w:color w:val="4A5568"/>
                <w:sz w:val="18"/>
              </w:rPr>
              <w:t>55-74</w:t>
            </w:r>
          </w:p>
        </w:tc>
        <w:tc>
          <w:tcPr>
            <w:tcW w:w="2000" w:type="dxa"/>
          </w:tcPr>
          <w:p>
            <w:pPr>
              <w:spacing w:before="40" w:after="40"/>
            </w:pPr>
            <w:r>
              <w:rPr>
                <w:color w:val="4A5568"/>
                <w:sz w:val="18"/>
              </w:rPr>
              <w:t>MODERATE</w:t>
            </w:r>
          </w:p>
        </w:tc>
        <w:tc>
          <w:tcPr>
            <w:tcW w:w="2000" w:type="dxa"/>
          </w:tcPr>
          <w:p>
            <w:pPr>
              <w:spacing w:before="40" w:after="40"/>
            </w:pPr>
            <w:r>
              <w:rPr>
                <w:color w:val="4A5568"/>
                <w:sz w:val="18"/>
              </w:rPr>
              <w:t>Marketing outreach -- mail/digital campaign</w:t>
            </w:r>
          </w:p>
        </w:tc>
        <w:tc>
          <w:tcPr>
            <w:tcW w:w="2000" w:type="dxa"/>
          </w:tcPr>
          <w:p>
            <w:pPr>
              <w:spacing w:before="40" w:after="40"/>
            </w:pPr>
            <w:r>
              <w:rPr>
                <w:color w:val="4A5568"/>
                <w:sz w:val="18"/>
              </w:rPr>
              <w:t>34%</w:t>
            </w:r>
          </w:p>
        </w:tc>
      </w:tr>
      <w:tr>
        <w:tc>
          <w:tcPr>
            <w:tcW w:w="2000" w:type="dxa"/>
          </w:tcPr>
          <w:p>
            <w:pPr>
              <w:spacing w:before="40" w:after="40"/>
            </w:pPr>
            <w:r>
              <w:rPr>
                <w:color w:val="4A5568"/>
                <w:sz w:val="18"/>
              </w:rPr>
              <w:t>30-54</w:t>
            </w:r>
          </w:p>
        </w:tc>
        <w:tc>
          <w:tcPr>
            <w:tcW w:w="2000" w:type="dxa"/>
          </w:tcPr>
          <w:p>
            <w:pPr>
              <w:spacing w:before="40" w:after="40"/>
            </w:pPr>
            <w:r>
              <w:rPr>
                <w:color w:val="4A5568"/>
                <w:sz w:val="18"/>
              </w:rPr>
              <w:t>LOW</w:t>
            </w:r>
          </w:p>
        </w:tc>
        <w:tc>
          <w:tcPr>
            <w:tcW w:w="2000" w:type="dxa"/>
          </w:tcPr>
          <w:p>
            <w:pPr>
              <w:spacing w:before="40" w:after="40"/>
            </w:pPr>
            <w:r>
              <w:rPr>
                <w:color w:val="4A5568"/>
                <w:sz w:val="18"/>
              </w:rPr>
              <w:t>Monitor -- revisit if claim reports surface</w:t>
            </w:r>
          </w:p>
        </w:tc>
        <w:tc>
          <w:tcPr>
            <w:tcW w:w="2000" w:type="dxa"/>
          </w:tcPr>
          <w:p>
            <w:pPr>
              <w:spacing w:before="40" w:after="40"/>
            </w:pPr>
            <w:r>
              <w:rPr>
                <w:color w:val="4A5568"/>
                <w:sz w:val="18"/>
              </w:rPr>
              <w:t>12%</w:t>
            </w:r>
          </w:p>
        </w:tc>
      </w:tr>
      <w:tr>
        <w:tc>
          <w:tcPr>
            <w:tcW w:w="2000" w:type="dxa"/>
          </w:tcPr>
          <w:p>
            <w:pPr>
              <w:spacing w:before="40" w:after="40"/>
            </w:pPr>
            <w:r>
              <w:rPr>
                <w:color w:val="4A5568"/>
                <w:sz w:val="18"/>
              </w:rPr>
              <w:t>0-29</w:t>
            </w:r>
          </w:p>
        </w:tc>
        <w:tc>
          <w:tcPr>
            <w:tcW w:w="2000" w:type="dxa"/>
          </w:tcPr>
          <w:p>
            <w:pPr>
              <w:spacing w:before="40" w:after="40"/>
            </w:pPr>
            <w:r>
              <w:rPr>
                <w:color w:val="4A5568"/>
                <w:sz w:val="18"/>
              </w:rPr>
              <w:t>MINIMAL</w:t>
            </w:r>
          </w:p>
        </w:tc>
        <w:tc>
          <w:tcPr>
            <w:tcW w:w="2000" w:type="dxa"/>
          </w:tcPr>
          <w:p>
            <w:pPr>
              <w:spacing w:before="40" w:after="40"/>
            </w:pPr>
            <w:r>
              <w:rPr>
                <w:color w:val="4A5568"/>
                <w:sz w:val="18"/>
              </w:rPr>
              <w:t>Skip -- do not allocate resources</w:t>
            </w:r>
          </w:p>
        </w:tc>
        <w:tc>
          <w:tcPr>
            <w:tcW w:w="2000" w:type="dxa"/>
          </w:tcPr>
          <w:p>
            <w:pPr>
              <w:spacing w:before="40" w:after="40"/>
            </w:pPr>
            <w:r>
              <w:rPr>
                <w:color w:val="4A5568"/>
                <w:sz w:val="18"/>
              </w:rPr>
              <w:t>3%</w:t>
            </w:r>
          </w:p>
        </w:tc>
      </w:tr>
    </w:tbl>
    <w:p>
      <w:pPr>
        <w:spacing w:before="120" w:after="120"/>
      </w:pPr>
    </w:p>
    <w:p>
      <w:r>
        <w:t>The Recon Engine's most commercially differentiating capability is pre-storm positioning. By integrating the HRRR 3km forecast model with historical storm track analysis and real-time atmospheric sounding data, the Strike Zone Predictor generates 6-12 hour advance warning for developing storm systems -- allowing contractors to position resources, stage materials, and deploy sales teams before homeowners know their roofs are damaged.</w:t>
      </w:r>
    </w:p>
    <w:p>
      <w:pPr>
        <w:pStyle w:val="Heading2"/>
      </w:pPr>
      <w:r>
        <w:t>Module 2: Sentinel Scanner -- Property Condition Monitoring</w:t>
      </w:r>
    </w:p>
    <w:p>
      <w:r>
        <w:t>Sentinel Scanner programmatically analyzes street-level and satellite imagery to identify residential and commercial properties with specific, visually identifiable needs -- degraded roofing, outdated windows, peeling paint -- and automates the entire lead generation funnel from detection to personalized marketing.</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Stage</w:t>
            </w:r>
          </w:p>
        </w:tc>
        <w:tc>
          <w:tcPr>
            <w:tcW w:w="2000" w:type="dxa"/>
            <w:shd w:val="clear" w:fill="1B3A4B"/>
          </w:tcPr>
          <w:p>
            <w:pPr>
              <w:spacing w:before="40" w:after="40"/>
            </w:pPr>
            <w:r>
              <w:rPr>
                <w:b/>
                <w:color w:val="FFFFFF"/>
                <w:sz w:val="18"/>
              </w:rPr>
              <w:t>Technology</w:t>
            </w:r>
          </w:p>
        </w:tc>
        <w:tc>
          <w:tcPr>
            <w:tcW w:w="2000" w:type="dxa"/>
            <w:shd w:val="clear" w:fill="1B3A4B"/>
          </w:tcPr>
          <w:p>
            <w:pPr>
              <w:spacing w:before="40" w:after="40"/>
            </w:pPr>
            <w:r>
              <w:rPr>
                <w:b/>
                <w:color w:val="FFFFFF"/>
                <w:sz w:val="18"/>
              </w:rPr>
              <w:t>Function</w:t>
            </w:r>
          </w:p>
        </w:tc>
      </w:tr>
      <w:tr>
        <w:tc>
          <w:tcPr>
            <w:tcW w:w="2000" w:type="dxa"/>
          </w:tcPr>
          <w:p>
            <w:pPr>
              <w:spacing w:before="40" w:after="40"/>
            </w:pPr>
            <w:r>
              <w:rPr>
                <w:color w:val="4A5568"/>
                <w:sz w:val="18"/>
              </w:rPr>
              <w:t>Initial Detection</w:t>
            </w:r>
          </w:p>
        </w:tc>
        <w:tc>
          <w:tcPr>
            <w:tcW w:w="2000" w:type="dxa"/>
          </w:tcPr>
          <w:p>
            <w:pPr>
              <w:spacing w:before="40" w:after="40"/>
            </w:pPr>
            <w:r>
              <w:rPr>
                <w:color w:val="4A5568"/>
                <w:sz w:val="18"/>
              </w:rPr>
              <w:t>Cloud Vision API (OCR)</w:t>
            </w:r>
          </w:p>
        </w:tc>
        <w:tc>
          <w:tcPr>
            <w:tcW w:w="2000" w:type="dxa"/>
          </w:tcPr>
          <w:p>
            <w:pPr>
              <w:spacing w:before="40" w:after="40"/>
            </w:pPr>
            <w:r>
              <w:rPr>
                <w:color w:val="4A5568"/>
                <w:sz w:val="18"/>
              </w:rPr>
              <w:t>Detect house numbers and broad feature markers</w:t>
            </w:r>
          </w:p>
        </w:tc>
      </w:tr>
      <w:tr>
        <w:tc>
          <w:tcPr>
            <w:tcW w:w="2000" w:type="dxa"/>
          </w:tcPr>
          <w:p>
            <w:pPr>
              <w:spacing w:before="40" w:after="40"/>
            </w:pPr>
            <w:r>
              <w:rPr>
                <w:color w:val="4A5568"/>
                <w:sz w:val="18"/>
              </w:rPr>
              <w:t>Pre-processing</w:t>
            </w:r>
          </w:p>
        </w:tc>
        <w:tc>
          <w:tcPr>
            <w:tcW w:w="2000" w:type="dxa"/>
          </w:tcPr>
          <w:p>
            <w:pPr>
              <w:spacing w:before="40" w:after="40"/>
            </w:pPr>
            <w:r>
              <w:rPr>
                <w:color w:val="4A5568"/>
                <w:sz w:val="18"/>
              </w:rPr>
              <w:t>OpenCV</w:t>
            </w:r>
          </w:p>
        </w:tc>
        <w:tc>
          <w:tcPr>
            <w:tcW w:w="2000" w:type="dxa"/>
          </w:tcPr>
          <w:p>
            <w:pPr>
              <w:spacing w:before="40" w:after="40"/>
            </w:pPr>
            <w:r>
              <w:rPr>
                <w:color w:val="4A5568"/>
                <w:sz w:val="18"/>
              </w:rPr>
              <w:t>Grayscale conversion and Canny edge detection</w:t>
            </w:r>
          </w:p>
        </w:tc>
      </w:tr>
      <w:tr>
        <w:tc>
          <w:tcPr>
            <w:tcW w:w="2000" w:type="dxa"/>
          </w:tcPr>
          <w:p>
            <w:pPr>
              <w:spacing w:before="40" w:after="40"/>
            </w:pPr>
            <w:r>
              <w:rPr>
                <w:color w:val="4A5568"/>
                <w:sz w:val="18"/>
              </w:rPr>
              <w:t>Degradation Detection</w:t>
            </w:r>
          </w:p>
        </w:tc>
        <w:tc>
          <w:tcPr>
            <w:tcW w:w="2000" w:type="dxa"/>
          </w:tcPr>
          <w:p>
            <w:pPr>
              <w:spacing w:before="40" w:after="40"/>
            </w:pPr>
            <w:r>
              <w:rPr>
                <w:color w:val="4A5568"/>
                <w:sz w:val="18"/>
              </w:rPr>
              <w:t>HSV Color Space</w:t>
            </w:r>
          </w:p>
        </w:tc>
        <w:tc>
          <w:tcPr>
            <w:tcW w:w="2000" w:type="dxa"/>
          </w:tcPr>
          <w:p>
            <w:pPr>
              <w:spacing w:before="40" w:after="40"/>
            </w:pPr>
            <w:r>
              <w:rPr>
                <w:color w:val="4A5568"/>
                <w:sz w:val="18"/>
              </w:rPr>
              <w:t>Identify paint discoloration through pixel intensity variance</w:t>
            </w:r>
          </w:p>
        </w:tc>
      </w:tr>
      <w:tr>
        <w:tc>
          <w:tcPr>
            <w:tcW w:w="2000" w:type="dxa"/>
          </w:tcPr>
          <w:p>
            <w:pPr>
              <w:spacing w:before="40" w:after="40"/>
            </w:pPr>
            <w:r>
              <w:rPr>
                <w:color w:val="4A5568"/>
                <w:sz w:val="18"/>
              </w:rPr>
              <w:t>Structural Analysis</w:t>
            </w:r>
          </w:p>
        </w:tc>
        <w:tc>
          <w:tcPr>
            <w:tcW w:w="2000" w:type="dxa"/>
          </w:tcPr>
          <w:p>
            <w:pPr>
              <w:spacing w:before="40" w:after="40"/>
            </w:pPr>
            <w:r>
              <w:rPr>
                <w:color w:val="4A5568"/>
                <w:sz w:val="18"/>
              </w:rPr>
              <w:t>Contour Detection</w:t>
            </w:r>
          </w:p>
        </w:tc>
        <w:tc>
          <w:tcPr>
            <w:tcW w:w="2000" w:type="dxa"/>
          </w:tcPr>
          <w:p>
            <w:pPr>
              <w:spacing w:before="40" w:after="40"/>
            </w:pPr>
            <w:r>
              <w:rPr>
                <w:color w:val="4A5568"/>
                <w:sz w:val="18"/>
              </w:rPr>
              <w:t>Identify structural anomalies: cracks, dents, misaligned panels</w:t>
            </w:r>
          </w:p>
        </w:tc>
      </w:tr>
      <w:tr>
        <w:tc>
          <w:tcPr>
            <w:tcW w:w="2000" w:type="dxa"/>
          </w:tcPr>
          <w:p>
            <w:pPr>
              <w:spacing w:before="40" w:after="40"/>
            </w:pPr>
            <w:r>
              <w:rPr>
                <w:color w:val="4A5568"/>
                <w:sz w:val="18"/>
              </w:rPr>
              <w:t>Classification</w:t>
            </w:r>
          </w:p>
        </w:tc>
        <w:tc>
          <w:tcPr>
            <w:tcW w:w="2000" w:type="dxa"/>
          </w:tcPr>
          <w:p>
            <w:pPr>
              <w:spacing w:before="40" w:after="40"/>
            </w:pPr>
            <w:r>
              <w:rPr>
                <w:color w:val="4A5568"/>
                <w:sz w:val="18"/>
              </w:rPr>
              <w:t>CNN (TensorFlow)</w:t>
            </w:r>
          </w:p>
        </w:tc>
        <w:tc>
          <w:tcPr>
            <w:tcW w:w="2000" w:type="dxa"/>
          </w:tcPr>
          <w:p>
            <w:pPr>
              <w:spacing w:before="40" w:after="40"/>
            </w:pPr>
            <w:r>
              <w:rPr>
                <w:color w:val="4A5568"/>
                <w:sz w:val="18"/>
              </w:rPr>
              <w:t>Categorize as rotting, faded, broken, or intact with confidence scores</w:t>
            </w:r>
          </w:p>
        </w:tc>
      </w:tr>
      <w:tr>
        <w:tc>
          <w:tcPr>
            <w:tcW w:w="2000" w:type="dxa"/>
          </w:tcPr>
          <w:p>
            <w:pPr>
              <w:spacing w:before="40" w:after="40"/>
            </w:pPr>
            <w:r>
              <w:rPr>
                <w:color w:val="4A5568"/>
                <w:sz w:val="18"/>
              </w:rPr>
              <w:t>ROI Generation</w:t>
            </w:r>
          </w:p>
        </w:tc>
        <w:tc>
          <w:tcPr>
            <w:tcW w:w="2000" w:type="dxa"/>
          </w:tcPr>
          <w:p>
            <w:pPr>
              <w:spacing w:before="40" w:after="40"/>
            </w:pPr>
            <w:r>
              <w:rPr>
                <w:color w:val="4A5568"/>
                <w:sz w:val="18"/>
              </w:rPr>
              <w:t>Gemini AI + Zillow API</w:t>
            </w:r>
          </w:p>
        </w:tc>
        <w:tc>
          <w:tcPr>
            <w:tcW w:w="2000" w:type="dxa"/>
          </w:tcPr>
          <w:p>
            <w:pPr>
              <w:spacing w:before="40" w:after="40"/>
            </w:pPr>
            <w:r>
              <w:rPr>
                <w:color w:val="4A5568"/>
                <w:sz w:val="18"/>
              </w:rPr>
              <w:t>Market trend integration, demand forecasting, neighborhood ROI narrative</w:t>
            </w:r>
          </w:p>
        </w:tc>
      </w:tr>
    </w:tbl>
    <w:p>
      <w:pPr>
        <w:spacing w:before="120" w:after="120"/>
      </w:pPr>
    </w:p>
    <w:p>
      <w:pPr>
        <w:pStyle w:val="Heading2"/>
      </w:pPr>
      <w:r>
        <w:t>Module 3: Probate Pipeline -- Estate Administration</w:t>
      </w:r>
    </w:p>
    <w:p>
      <w:r>
        <w:t>The Probate Pipeline is the definitive AI-native platform for estate administration -- automating heir identification, asset discovery, will parsing, creditor management, and tax-optimized distribution. It compresses the traditional 12-18 month estate resolution cycle to under 60 days for most cases.</w:t>
      </w:r>
    </w:p>
    <w:tbl>
      <w:tblPr>
        <w:tblW w:w="5000" w:type="pct"/>
        <w:tblBorders>
          <w:top w:val="single" w:color="C9A84C" w:sz="8"/>
          <w:left w:val="nil"/>
          <w:bottom w:val="single" w:color="C9A84C" w:sz="8"/>
          <w:right w:val="nil"/>
          <w:insideH w:val="single" w:color="D8D0C0" w:sz="4"/>
          <w:insideV w:val="nil"/>
        </w:tblBorders>
      </w:tblPr>
      <w:tblGrid>
        <w:gridCol w:w="2000"/>
        <w:gridCol w:w="2000"/>
      </w:tblGrid>
      <w:tr>
        <w:trPr>
          <w:tblHeader/>
        </w:trPr>
        <w:tc>
          <w:tcPr>
            <w:tcW w:w="2000" w:type="dxa"/>
            <w:shd w:val="clear" w:fill="1B3A4B"/>
          </w:tcPr>
          <w:p>
            <w:pPr>
              <w:spacing w:before="40" w:after="40"/>
            </w:pPr>
            <w:r>
              <w:rPr>
                <w:b/>
                <w:color w:val="FFFFFF"/>
                <w:sz w:val="18"/>
              </w:rPr>
              <w:t>Metric</w:t>
            </w:r>
          </w:p>
        </w:tc>
        <w:tc>
          <w:tcPr>
            <w:tcW w:w="2000" w:type="dxa"/>
            <w:shd w:val="clear" w:fill="1B3A4B"/>
          </w:tcPr>
          <w:p>
            <w:pPr>
              <w:spacing w:before="40" w:after="40"/>
            </w:pPr>
            <w:r>
              <w:rPr>
                <w:b/>
                <w:color w:val="FFFFFF"/>
                <w:sz w:val="18"/>
              </w:rPr>
              <w:t>Value</w:t>
            </w:r>
          </w:p>
        </w:tc>
      </w:tr>
      <w:tr>
        <w:tc>
          <w:tcPr>
            <w:tcW w:w="2000" w:type="dxa"/>
          </w:tcPr>
          <w:p>
            <w:pPr>
              <w:spacing w:before="40" w:after="40"/>
            </w:pPr>
            <w:r>
              <w:rPr>
                <w:color w:val="4A5568"/>
                <w:sz w:val="18"/>
              </w:rPr>
              <w:t>GNN Relationship Classification Accuracy</w:t>
            </w:r>
          </w:p>
        </w:tc>
        <w:tc>
          <w:tcPr>
            <w:tcW w:w="2000" w:type="dxa"/>
          </w:tcPr>
          <w:p>
            <w:pPr>
              <w:spacing w:before="40" w:after="40"/>
            </w:pPr>
            <w:r>
              <w:rPr>
                <w:color w:val="4A5568"/>
                <w:sz w:val="18"/>
              </w:rPr>
              <w:t>94.7%</w:t>
            </w:r>
          </w:p>
        </w:tc>
      </w:tr>
      <w:tr>
        <w:tc>
          <w:tcPr>
            <w:tcW w:w="2000" w:type="dxa"/>
          </w:tcPr>
          <w:p>
            <w:pPr>
              <w:spacing w:before="40" w:after="40"/>
            </w:pPr>
            <w:r>
              <w:rPr>
                <w:color w:val="4A5568"/>
                <w:sz w:val="18"/>
              </w:rPr>
              <w:t>Entity Resolution Accuracy (Verified Matches)</w:t>
            </w:r>
          </w:p>
        </w:tc>
        <w:tc>
          <w:tcPr>
            <w:tcW w:w="2000" w:type="dxa"/>
          </w:tcPr>
          <w:p>
            <w:pPr>
              <w:spacing w:before="40" w:after="40"/>
            </w:pPr>
            <w:r>
              <w:rPr>
                <w:color w:val="4A5568"/>
                <w:sz w:val="18"/>
              </w:rPr>
              <w:t>98.7%</w:t>
            </w:r>
          </w:p>
        </w:tc>
      </w:tr>
      <w:tr>
        <w:tc>
          <w:tcPr>
            <w:tcW w:w="2000" w:type="dxa"/>
          </w:tcPr>
          <w:p>
            <w:pPr>
              <w:spacing w:before="40" w:after="40"/>
            </w:pPr>
            <w:r>
              <w:rPr>
                <w:color w:val="4A5568"/>
                <w:sz w:val="18"/>
              </w:rPr>
              <w:t>BERT-Legal Will Parsing Accuracy</w:t>
            </w:r>
          </w:p>
        </w:tc>
        <w:tc>
          <w:tcPr>
            <w:tcW w:w="2000" w:type="dxa"/>
          </w:tcPr>
          <w:p>
            <w:pPr>
              <w:spacing w:before="40" w:after="40"/>
            </w:pPr>
            <w:r>
              <w:rPr>
                <w:color w:val="4A5568"/>
                <w:sz w:val="18"/>
              </w:rPr>
              <w:t>96.2%</w:t>
            </w:r>
          </w:p>
        </w:tc>
      </w:tr>
      <w:tr>
        <w:tc>
          <w:tcPr>
            <w:tcW w:w="2000" w:type="dxa"/>
          </w:tcPr>
          <w:p>
            <w:pPr>
              <w:spacing w:before="40" w:after="40"/>
            </w:pPr>
            <w:r>
              <w:rPr>
                <w:color w:val="4A5568"/>
                <w:sz w:val="18"/>
              </w:rPr>
              <w:t>Overall Case Resolution Time Reduction</w:t>
            </w:r>
          </w:p>
        </w:tc>
        <w:tc>
          <w:tcPr>
            <w:tcW w:w="2000" w:type="dxa"/>
          </w:tcPr>
          <w:p>
            <w:pPr>
              <w:spacing w:before="40" w:after="40"/>
            </w:pPr>
            <w:r>
              <w:rPr>
                <w:color w:val="4A5568"/>
                <w:sz w:val="18"/>
              </w:rPr>
              <w:t>40-60%</w:t>
            </w:r>
          </w:p>
        </w:tc>
      </w:tr>
    </w:tbl>
    <w:p>
      <w:pPr>
        <w:spacing w:before="120" w:after="120"/>
      </w:pPr>
    </w:p>
    <w:p>
      <w:pPr>
        <w:pStyle w:val="Heading3"/>
      </w:pPr>
      <w:r>
        <w:t>Probate-to-Sale Pipeline: 9 Legal Milestones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Stage</w:t>
            </w:r>
          </w:p>
        </w:tc>
        <w:tc>
          <w:tcPr>
            <w:tcW w:w="2000" w:type="dxa"/>
            <w:shd w:val="clear" w:fill="1B3A4B"/>
          </w:tcPr>
          <w:p>
            <w:pPr>
              <w:spacing w:before="40" w:after="40"/>
            </w:pPr>
            <w:r>
              <w:rPr>
                <w:b/>
                <w:color w:val="FFFFFF"/>
                <w:sz w:val="18"/>
              </w:rPr>
              <w:t>Legal Milestone</w:t>
            </w:r>
          </w:p>
        </w:tc>
        <w:tc>
          <w:tcPr>
            <w:tcW w:w="2000" w:type="dxa"/>
            <w:shd w:val="clear" w:fill="1B3A4B"/>
          </w:tcPr>
          <w:p>
            <w:pPr>
              <w:spacing w:before="40" w:after="40"/>
            </w:pPr>
            <w:r>
              <w:rPr>
                <w:b/>
                <w:color w:val="FFFFFF"/>
                <w:sz w:val="18"/>
              </w:rPr>
              <w:t>VIVELLA Guard Automation</w:t>
            </w:r>
          </w:p>
        </w:tc>
      </w:tr>
      <w:tr>
        <w:tc>
          <w:tcPr>
            <w:tcW w:w="2000" w:type="dxa"/>
          </w:tcPr>
          <w:p>
            <w:pPr>
              <w:spacing w:before="40" w:after="40"/>
            </w:pPr>
            <w:r>
              <w:rPr>
                <w:color w:val="4A5568"/>
                <w:sz w:val="18"/>
              </w:rPr>
              <w:t>1</w:t>
            </w:r>
          </w:p>
        </w:tc>
        <w:tc>
          <w:tcPr>
            <w:tcW w:w="2000" w:type="dxa"/>
          </w:tcPr>
          <w:p>
            <w:pPr>
              <w:spacing w:before="40" w:after="40"/>
            </w:pPr>
            <w:r>
              <w:rPr>
                <w:color w:val="4A5568"/>
                <w:sz w:val="18"/>
              </w:rPr>
              <w:t>Death of Property Owner</w:t>
            </w:r>
          </w:p>
        </w:tc>
        <w:tc>
          <w:tcPr>
            <w:tcW w:w="2000" w:type="dxa"/>
          </w:tcPr>
          <w:p>
            <w:pPr>
              <w:spacing w:before="40" w:after="40"/>
            </w:pPr>
            <w:r>
              <w:rPr>
                <w:color w:val="4A5568"/>
                <w:sz w:val="18"/>
              </w:rPr>
              <w:t>Automated death record verification via government API integration</w:t>
            </w:r>
          </w:p>
        </w:tc>
      </w:tr>
      <w:tr>
        <w:tc>
          <w:tcPr>
            <w:tcW w:w="2000" w:type="dxa"/>
          </w:tcPr>
          <w:p>
            <w:pPr>
              <w:spacing w:before="40" w:after="40"/>
            </w:pPr>
            <w:r>
              <w:rPr>
                <w:color w:val="4A5568"/>
                <w:sz w:val="18"/>
              </w:rPr>
              <w:t>2</w:t>
            </w:r>
          </w:p>
        </w:tc>
        <w:tc>
          <w:tcPr>
            <w:tcW w:w="2000" w:type="dxa"/>
          </w:tcPr>
          <w:p>
            <w:pPr>
              <w:spacing w:before="40" w:after="40"/>
            </w:pPr>
            <w:r>
              <w:rPr>
                <w:color w:val="4A5568"/>
                <w:sz w:val="18"/>
              </w:rPr>
              <w:t>Estate Opens in Court</w:t>
            </w:r>
          </w:p>
        </w:tc>
        <w:tc>
          <w:tcPr>
            <w:tcW w:w="2000" w:type="dxa"/>
          </w:tcPr>
          <w:p>
            <w:pPr>
              <w:spacing w:before="40" w:after="40"/>
            </w:pPr>
            <w:r>
              <w:rPr>
                <w:color w:val="4A5568"/>
                <w:sz w:val="18"/>
              </w:rPr>
              <w:t>Dynamic questionnaire generation based on jurisdiction requirements</w:t>
            </w:r>
          </w:p>
        </w:tc>
      </w:tr>
      <w:tr>
        <w:tc>
          <w:tcPr>
            <w:tcW w:w="2000" w:type="dxa"/>
          </w:tcPr>
          <w:p>
            <w:pPr>
              <w:spacing w:before="40" w:after="40"/>
            </w:pPr>
            <w:r>
              <w:rPr>
                <w:color w:val="4A5568"/>
                <w:sz w:val="18"/>
              </w:rPr>
              <w:t>3</w:t>
            </w:r>
          </w:p>
        </w:tc>
        <w:tc>
          <w:tcPr>
            <w:tcW w:w="2000" w:type="dxa"/>
          </w:tcPr>
          <w:p>
            <w:pPr>
              <w:spacing w:before="40" w:after="40"/>
            </w:pPr>
            <w:r>
              <w:rPr>
                <w:color w:val="4A5568"/>
                <w:sz w:val="18"/>
              </w:rPr>
              <w:t>Executor Appointed</w:t>
            </w:r>
          </w:p>
        </w:tc>
        <w:tc>
          <w:tcPr>
            <w:tcW w:w="2000" w:type="dxa"/>
          </w:tcPr>
          <w:p>
            <w:pPr>
              <w:spacing w:before="40" w:after="40"/>
            </w:pPr>
            <w:r>
              <w:rPr>
                <w:color w:val="4A5568"/>
                <w:sz w:val="18"/>
              </w:rPr>
              <w:t>Multi-stakeholder portal: executor, attorney, beneficiary role-based access</w:t>
            </w:r>
          </w:p>
        </w:tc>
      </w:tr>
      <w:tr>
        <w:tc>
          <w:tcPr>
            <w:tcW w:w="2000" w:type="dxa"/>
          </w:tcPr>
          <w:p>
            <w:pPr>
              <w:spacing w:before="40" w:after="40"/>
            </w:pPr>
            <w:r>
              <w:rPr>
                <w:color w:val="4A5568"/>
                <w:sz w:val="18"/>
              </w:rPr>
              <w:t>4</w:t>
            </w:r>
          </w:p>
        </w:tc>
        <w:tc>
          <w:tcPr>
            <w:tcW w:w="2000" w:type="dxa"/>
          </w:tcPr>
          <w:p>
            <w:pPr>
              <w:spacing w:before="40" w:after="40"/>
            </w:pPr>
            <w:r>
              <w:rPr>
                <w:color w:val="4A5568"/>
                <w:sz w:val="18"/>
              </w:rPr>
              <w:t>Inventory of Assets Filed</w:t>
            </w:r>
          </w:p>
        </w:tc>
        <w:tc>
          <w:tcPr>
            <w:tcW w:w="2000" w:type="dxa"/>
          </w:tcPr>
          <w:p>
            <w:pPr>
              <w:spacing w:before="40" w:after="40"/>
            </w:pPr>
            <w:r>
              <w:rPr>
                <w:color w:val="4A5568"/>
                <w:sz w:val="18"/>
              </w:rPr>
              <w:t>Anomaly detection for undisclosed asset identification + cross-reference</w:t>
            </w:r>
          </w:p>
        </w:tc>
      </w:tr>
      <w:tr>
        <w:tc>
          <w:tcPr>
            <w:tcW w:w="2000" w:type="dxa"/>
          </w:tcPr>
          <w:p>
            <w:pPr>
              <w:spacing w:before="40" w:after="40"/>
            </w:pPr>
            <w:r>
              <w:rPr>
                <w:color w:val="4A5568"/>
                <w:sz w:val="18"/>
              </w:rPr>
              <w:t>5</w:t>
            </w:r>
          </w:p>
        </w:tc>
        <w:tc>
          <w:tcPr>
            <w:tcW w:w="2000" w:type="dxa"/>
          </w:tcPr>
          <w:p>
            <w:pPr>
              <w:spacing w:before="40" w:after="40"/>
            </w:pPr>
            <w:r>
              <w:rPr>
                <w:color w:val="4A5568"/>
                <w:sz w:val="18"/>
              </w:rPr>
              <w:t>Authority to Sell Granted</w:t>
            </w:r>
          </w:p>
        </w:tc>
        <w:tc>
          <w:tcPr>
            <w:tcW w:w="2000" w:type="dxa"/>
          </w:tcPr>
          <w:p>
            <w:pPr>
              <w:spacing w:before="40" w:after="40"/>
            </w:pPr>
            <w:r>
              <w:rPr>
                <w:color w:val="4A5568"/>
                <w:sz w:val="18"/>
              </w:rPr>
              <w:t>Automated creditor notification and claim validation</w:t>
            </w:r>
          </w:p>
        </w:tc>
      </w:tr>
      <w:tr>
        <w:tc>
          <w:tcPr>
            <w:tcW w:w="2000" w:type="dxa"/>
          </w:tcPr>
          <w:p>
            <w:pPr>
              <w:spacing w:before="40" w:after="40"/>
            </w:pPr>
            <w:r>
              <w:rPr>
                <w:color w:val="4A5568"/>
                <w:sz w:val="18"/>
              </w:rPr>
              <w:t>6</w:t>
            </w:r>
          </w:p>
        </w:tc>
        <w:tc>
          <w:tcPr>
            <w:tcW w:w="2000" w:type="dxa"/>
          </w:tcPr>
          <w:p>
            <w:pPr>
              <w:spacing w:before="40" w:after="40"/>
            </w:pPr>
            <w:r>
              <w:rPr>
                <w:color w:val="4A5568"/>
                <w:sz w:val="18"/>
              </w:rPr>
              <w:t>Property Valuation</w:t>
            </w:r>
          </w:p>
        </w:tc>
        <w:tc>
          <w:tcPr>
            <w:tcW w:w="2000" w:type="dxa"/>
          </w:tcPr>
          <w:p>
            <w:pPr>
              <w:spacing w:before="40" w:after="40"/>
            </w:pPr>
            <w:r>
              <w:rPr>
                <w:color w:val="4A5568"/>
                <w:sz w:val="18"/>
              </w:rPr>
              <w:t>Ensemble AVM with confidence intervals (2.1% MAPE residential)</w:t>
            </w:r>
          </w:p>
        </w:tc>
      </w:tr>
      <w:tr>
        <w:tc>
          <w:tcPr>
            <w:tcW w:w="2000" w:type="dxa"/>
          </w:tcPr>
          <w:p>
            <w:pPr>
              <w:spacing w:before="40" w:after="40"/>
            </w:pPr>
            <w:r>
              <w:rPr>
                <w:color w:val="4A5568"/>
                <w:sz w:val="18"/>
              </w:rPr>
              <w:t>7</w:t>
            </w:r>
          </w:p>
        </w:tc>
        <w:tc>
          <w:tcPr>
            <w:tcW w:w="2000" w:type="dxa"/>
          </w:tcPr>
          <w:p>
            <w:pPr>
              <w:spacing w:before="40" w:after="40"/>
            </w:pPr>
            <w:r>
              <w:rPr>
                <w:color w:val="4A5568"/>
                <w:sz w:val="18"/>
              </w:rPr>
              <w:t>Sale Options</w:t>
            </w:r>
          </w:p>
        </w:tc>
        <w:tc>
          <w:tcPr>
            <w:tcW w:w="2000" w:type="dxa"/>
          </w:tcPr>
          <w:p>
            <w:pPr>
              <w:spacing w:before="40" w:after="40"/>
            </w:pPr>
            <w:r>
              <w:rPr>
                <w:color w:val="4A5568"/>
                <w:sz w:val="18"/>
              </w:rPr>
              <w:t>Market trend forecasting, contractor dispatch, before/after AR visualization</w:t>
            </w:r>
          </w:p>
        </w:tc>
      </w:tr>
      <w:tr>
        <w:tc>
          <w:tcPr>
            <w:tcW w:w="2000" w:type="dxa"/>
          </w:tcPr>
          <w:p>
            <w:pPr>
              <w:spacing w:before="40" w:after="40"/>
            </w:pPr>
            <w:r>
              <w:rPr>
                <w:color w:val="4A5568"/>
                <w:sz w:val="18"/>
              </w:rPr>
              <w:t>8</w:t>
            </w:r>
          </w:p>
        </w:tc>
        <w:tc>
          <w:tcPr>
            <w:tcW w:w="2000" w:type="dxa"/>
          </w:tcPr>
          <w:p>
            <w:pPr>
              <w:spacing w:before="40" w:after="40"/>
            </w:pPr>
            <w:r>
              <w:rPr>
                <w:color w:val="4A5568"/>
                <w:sz w:val="18"/>
              </w:rPr>
              <w:t>Closing &amp; Title Transfer</w:t>
            </w:r>
          </w:p>
        </w:tc>
        <w:tc>
          <w:tcPr>
            <w:tcW w:w="2000" w:type="dxa"/>
          </w:tcPr>
          <w:p>
            <w:pPr>
              <w:spacing w:before="40" w:after="40"/>
            </w:pPr>
            <w:r>
              <w:rPr>
                <w:color w:val="4A5568"/>
                <w:sz w:val="18"/>
              </w:rPr>
              <w:t>Blockchain-anchored audit trails for court-admissible documentation</w:t>
            </w:r>
          </w:p>
        </w:tc>
      </w:tr>
      <w:tr>
        <w:tc>
          <w:tcPr>
            <w:tcW w:w="2000" w:type="dxa"/>
          </w:tcPr>
          <w:p>
            <w:pPr>
              <w:spacing w:before="40" w:after="40"/>
            </w:pPr>
            <w:r>
              <w:rPr>
                <w:color w:val="4A5568"/>
                <w:sz w:val="18"/>
              </w:rPr>
              <w:t>9</w:t>
            </w:r>
          </w:p>
        </w:tc>
        <w:tc>
          <w:tcPr>
            <w:tcW w:w="2000" w:type="dxa"/>
          </w:tcPr>
          <w:p>
            <w:pPr>
              <w:spacing w:before="40" w:after="40"/>
            </w:pPr>
            <w:r>
              <w:rPr>
                <w:color w:val="4A5568"/>
                <w:sz w:val="18"/>
              </w:rPr>
              <w:t>Proceeds Distributed</w:t>
            </w:r>
          </w:p>
        </w:tc>
        <w:tc>
          <w:tcPr>
            <w:tcW w:w="2000" w:type="dxa"/>
          </w:tcPr>
          <w:p>
            <w:pPr>
              <w:spacing w:before="40" w:after="40"/>
            </w:pPr>
            <w:r>
              <w:rPr>
                <w:color w:val="4A5568"/>
                <w:sz w:val="18"/>
              </w:rPr>
              <w:t>Dynamic distribution modeling with tax optimization; Pareto-optimal solutions</w:t>
            </w:r>
          </w:p>
        </w:tc>
      </w:tr>
    </w:tbl>
    <w:p>
      <w:pPr>
        <w:spacing w:before="120" w:after="120"/>
      </w:pPr>
    </w:p>
    <w:p>
      <w:pPr>
        <w:pStyle w:val="Heading2"/>
      </w:pPr>
      <w:r>
        <w:t>Module 4: Alter Rendering Engine -- Visual Conversion</w:t>
      </w:r>
    </w:p>
    <w:p>
      <w:r>
        <w:t>The Alter Rendering Engine programmatically renovates properties in photographs -- generating photorealistic before/after comparisons that allow homeowners to see the transformation an upgrade creates, driving a documented 20-30% increase in lead conversion rates over static advertisements.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Stage</w:t>
            </w:r>
          </w:p>
        </w:tc>
        <w:tc>
          <w:tcPr>
            <w:tcW w:w="2000" w:type="dxa"/>
            <w:shd w:val="clear" w:fill="1B3A4B"/>
          </w:tcPr>
          <w:p>
            <w:pPr>
              <w:spacing w:before="40" w:after="40"/>
            </w:pPr>
            <w:r>
              <w:rPr>
                <w:b/>
                <w:color w:val="FFFFFF"/>
                <w:sz w:val="18"/>
              </w:rPr>
              <w:t>Technology</w:t>
            </w:r>
          </w:p>
        </w:tc>
        <w:tc>
          <w:tcPr>
            <w:tcW w:w="2000" w:type="dxa"/>
            <w:shd w:val="clear" w:fill="1B3A4B"/>
          </w:tcPr>
          <w:p>
            <w:pPr>
              <w:spacing w:before="40" w:after="40"/>
            </w:pPr>
            <w:r>
              <w:rPr>
                <w:b/>
                <w:color w:val="FFFFFF"/>
                <w:sz w:val="18"/>
              </w:rPr>
              <w:t>Function</w:t>
            </w:r>
          </w:p>
        </w:tc>
      </w:tr>
      <w:tr>
        <w:tc>
          <w:tcPr>
            <w:tcW w:w="2000" w:type="dxa"/>
          </w:tcPr>
          <w:p>
            <w:pPr>
              <w:spacing w:before="40" w:after="40"/>
            </w:pPr>
            <w:r>
              <w:rPr>
                <w:color w:val="4A5568"/>
                <w:sz w:val="18"/>
              </w:rPr>
              <w:t>Feature Isolation</w:t>
            </w:r>
          </w:p>
        </w:tc>
        <w:tc>
          <w:tcPr>
            <w:tcW w:w="2000" w:type="dxa"/>
          </w:tcPr>
          <w:p>
            <w:pPr>
              <w:spacing w:before="40" w:after="40"/>
            </w:pPr>
            <w:r>
              <w:rPr>
                <w:color w:val="4A5568"/>
                <w:sz w:val="18"/>
              </w:rPr>
              <w:t>U-Net + Mask R-CNN</w:t>
            </w:r>
          </w:p>
        </w:tc>
        <w:tc>
          <w:tcPr>
            <w:tcW w:w="2000" w:type="dxa"/>
          </w:tcPr>
          <w:p>
            <w:pPr>
              <w:spacing w:before="40" w:after="40"/>
            </w:pPr>
            <w:r>
              <w:rPr>
                <w:color w:val="4A5568"/>
                <w:sz w:val="18"/>
              </w:rPr>
              <w:t>Segment architectural features without disturbing surrounding structure</w:t>
            </w:r>
          </w:p>
        </w:tc>
      </w:tr>
      <w:tr>
        <w:tc>
          <w:tcPr>
            <w:tcW w:w="2000" w:type="dxa"/>
          </w:tcPr>
          <w:p>
            <w:pPr>
              <w:spacing w:before="40" w:after="40"/>
            </w:pPr>
            <w:r>
              <w:rPr>
                <w:color w:val="4A5568"/>
                <w:sz w:val="18"/>
              </w:rPr>
              <w:t>Perspective Alignment</w:t>
            </w:r>
          </w:p>
        </w:tc>
        <w:tc>
          <w:tcPr>
            <w:tcW w:w="2000" w:type="dxa"/>
          </w:tcPr>
          <w:p>
            <w:pPr>
              <w:spacing w:before="40" w:after="40"/>
            </w:pPr>
            <w:r>
              <w:rPr>
                <w:color w:val="4A5568"/>
                <w:sz w:val="18"/>
              </w:rPr>
              <w:t>OpenCV warpPerspective</w:t>
            </w:r>
          </w:p>
        </w:tc>
        <w:tc>
          <w:tcPr>
            <w:tcW w:w="2000" w:type="dxa"/>
          </w:tcPr>
          <w:p>
            <w:pPr>
              <w:spacing w:before="40" w:after="40"/>
            </w:pPr>
            <w:r>
              <w:rPr>
                <w:color w:val="4A5568"/>
                <w:sz w:val="18"/>
              </w:rPr>
              <w:t>Align 2D product image with 3D perspective of building</w:t>
            </w:r>
          </w:p>
        </w:tc>
      </w:tr>
      <w:tr>
        <w:tc>
          <w:tcPr>
            <w:tcW w:w="2000" w:type="dxa"/>
          </w:tcPr>
          <w:p>
            <w:pPr>
              <w:spacing w:before="40" w:after="40"/>
            </w:pPr>
            <w:r>
              <w:rPr>
                <w:color w:val="4A5568"/>
                <w:sz w:val="18"/>
              </w:rPr>
              <w:t>Photometric Blending</w:t>
            </w:r>
          </w:p>
        </w:tc>
        <w:tc>
          <w:tcPr>
            <w:tcW w:w="2000" w:type="dxa"/>
          </w:tcPr>
          <w:p>
            <w:pPr>
              <w:spacing w:before="40" w:after="40"/>
            </w:pPr>
            <w:r>
              <w:rPr>
                <w:color w:val="4A5568"/>
                <w:sz w:val="18"/>
              </w:rPr>
              <w:t>Histogram matching + Pillow</w:t>
            </w:r>
          </w:p>
        </w:tc>
        <w:tc>
          <w:tcPr>
            <w:tcW w:w="2000" w:type="dxa"/>
          </w:tcPr>
          <w:p>
            <w:pPr>
              <w:spacing w:before="40" w:after="40"/>
            </w:pPr>
            <w:r>
              <w:rPr>
                <w:color w:val="4A5568"/>
                <w:sz w:val="18"/>
              </w:rPr>
              <w:t>Match lighting, shadow, and color temperature</w:t>
            </w:r>
          </w:p>
        </w:tc>
      </w:tr>
      <w:tr>
        <w:tc>
          <w:tcPr>
            <w:tcW w:w="2000" w:type="dxa"/>
          </w:tcPr>
          <w:p>
            <w:pPr>
              <w:spacing w:before="40" w:after="40"/>
            </w:pPr>
            <w:r>
              <w:rPr>
                <w:color w:val="4A5568"/>
                <w:sz w:val="18"/>
              </w:rPr>
              <w:t>3D Interaction</w:t>
            </w:r>
          </w:p>
        </w:tc>
        <w:tc>
          <w:tcPr>
            <w:tcW w:w="2000" w:type="dxa"/>
          </w:tcPr>
          <w:p>
            <w:pPr>
              <w:spacing w:before="40" w:after="40"/>
            </w:pPr>
            <w:r>
              <w:rPr>
                <w:color w:val="4A5568"/>
                <w:sz w:val="18"/>
              </w:rPr>
              <w:t>Three.js + WebGL</w:t>
            </w:r>
          </w:p>
        </w:tc>
        <w:tc>
          <w:tcPr>
            <w:tcW w:w="2000" w:type="dxa"/>
          </w:tcPr>
          <w:p>
            <w:pPr>
              <w:spacing w:before="40" w:after="40"/>
            </w:pPr>
            <w:r>
              <w:rPr>
                <w:color w:val="4A5568"/>
                <w:sz w:val="18"/>
              </w:rPr>
              <w:t>Real-time 3D model interaction and AR overlay</w:t>
            </w:r>
          </w:p>
        </w:tc>
      </w:tr>
      <w:tr>
        <w:tc>
          <w:tcPr>
            <w:tcW w:w="2000" w:type="dxa"/>
          </w:tcPr>
          <w:p>
            <w:pPr>
              <w:spacing w:before="40" w:after="40"/>
            </w:pPr>
            <w:r>
              <w:rPr>
                <w:color w:val="4A5568"/>
                <w:sz w:val="18"/>
              </w:rPr>
              <w:t>Generative Texture</w:t>
            </w:r>
          </w:p>
        </w:tc>
        <w:tc>
          <w:tcPr>
            <w:tcW w:w="2000" w:type="dxa"/>
          </w:tcPr>
          <w:p>
            <w:pPr>
              <w:spacing w:before="40" w:after="40"/>
            </w:pPr>
            <w:r>
              <w:rPr>
                <w:color w:val="4A5568"/>
                <w:sz w:val="18"/>
              </w:rPr>
              <w:t>Stable Diffusion</w:t>
            </w:r>
          </w:p>
        </w:tc>
        <w:tc>
          <w:tcPr>
            <w:tcW w:w="2000" w:type="dxa"/>
          </w:tcPr>
          <w:p>
            <w:pPr>
              <w:spacing w:before="40" w:after="40"/>
            </w:pPr>
            <w:r>
              <w:rPr>
                <w:color w:val="4A5568"/>
                <w:sz w:val="18"/>
              </w:rPr>
              <w:t>Generate realistic textures for custom paint colors and patterns</w:t>
            </w:r>
          </w:p>
        </w:tc>
      </w:tr>
    </w:tbl>
    <w:p>
      <w:pPr>
        <w:spacing w:before="120" w:after="120"/>
      </w:pPr>
    </w:p>
    <w:p>
      <w:pPr>
        <w:pStyle w:val="Heading2"/>
      </w:pPr>
      <w:r>
        <w:t>Module 5: Apex Insight CRM -- Unified Workflow Bridge</w:t>
      </w:r>
    </w:p>
    <w:p>
      <w:r>
        <w:t>Apex Insight serves as the commercial integration layer bridging storm intelligence, property data, field verification, and document automation into one seamless lifecycle: from first notice of loss to final paid invoice.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Feature</w:t>
            </w:r>
          </w:p>
        </w:tc>
        <w:tc>
          <w:tcPr>
            <w:tcW w:w="2000" w:type="dxa"/>
            <w:shd w:val="clear" w:fill="1B3A4B"/>
          </w:tcPr>
          <w:p>
            <w:pPr>
              <w:spacing w:before="40" w:after="40"/>
            </w:pPr>
            <w:r>
              <w:rPr>
                <w:b/>
                <w:color w:val="FFFFFF"/>
                <w:sz w:val="18"/>
              </w:rPr>
              <w:t>Description</w:t>
            </w:r>
          </w:p>
        </w:tc>
        <w:tc>
          <w:tcPr>
            <w:tcW w:w="2000" w:type="dxa"/>
            <w:shd w:val="clear" w:fill="1B3A4B"/>
          </w:tcPr>
          <w:p>
            <w:pPr>
              <w:spacing w:before="40" w:after="40"/>
            </w:pPr>
            <w:r>
              <w:rPr>
                <w:b/>
                <w:color w:val="FFFFFF"/>
                <w:sz w:val="18"/>
              </w:rPr>
              <w:t>Connected Systems</w:t>
            </w:r>
          </w:p>
        </w:tc>
      </w:tr>
      <w:tr>
        <w:tc>
          <w:tcPr>
            <w:tcW w:w="2000" w:type="dxa"/>
          </w:tcPr>
          <w:p>
            <w:pPr>
              <w:spacing w:before="40" w:after="40"/>
            </w:pPr>
            <w:r>
              <w:rPr>
                <w:color w:val="4A5568"/>
                <w:sz w:val="18"/>
              </w:rPr>
              <w:t>Bi-Directional CRM Sync</w:t>
            </w:r>
          </w:p>
        </w:tc>
        <w:tc>
          <w:tcPr>
            <w:tcW w:w="2000" w:type="dxa"/>
          </w:tcPr>
          <w:p>
            <w:pPr>
              <w:spacing w:before="40" w:after="40"/>
            </w:pPr>
            <w:r>
              <w:rPr>
                <w:color w:val="4A5568"/>
                <w:sz w:val="18"/>
              </w:rPr>
              <w:t>Constant push/pull data synchronization</w:t>
            </w:r>
          </w:p>
        </w:tc>
        <w:tc>
          <w:tcPr>
            <w:tcW w:w="2000" w:type="dxa"/>
          </w:tcPr>
          <w:p>
            <w:pPr>
              <w:spacing w:before="40" w:after="40"/>
            </w:pPr>
            <w:r>
              <w:rPr>
                <w:color w:val="4A5568"/>
                <w:sz w:val="18"/>
              </w:rPr>
              <w:t>JobNimbus, AccuLynx, Salesforce</w:t>
            </w:r>
          </w:p>
        </w:tc>
      </w:tr>
      <w:tr>
        <w:tc>
          <w:tcPr>
            <w:tcW w:w="2000" w:type="dxa"/>
          </w:tcPr>
          <w:p>
            <w:pPr>
              <w:spacing w:before="40" w:after="40"/>
            </w:pPr>
            <w:r>
              <w:rPr>
                <w:color w:val="4A5568"/>
                <w:sz w:val="18"/>
              </w:rPr>
              <w:t>One-Click Lead Export</w:t>
            </w:r>
          </w:p>
        </w:tc>
        <w:tc>
          <w:tcPr>
            <w:tcW w:w="2000" w:type="dxa"/>
          </w:tcPr>
          <w:p>
            <w:pPr>
              <w:spacing w:before="40" w:after="40"/>
            </w:pPr>
            <w:r>
              <w:rPr>
                <w:color w:val="4A5568"/>
                <w:sz w:val="18"/>
              </w:rPr>
              <w:t>Pre-populated with DPS score, storm data, property characteristics</w:t>
            </w:r>
          </w:p>
        </w:tc>
        <w:tc>
          <w:tcPr>
            <w:tcW w:w="2000" w:type="dxa"/>
          </w:tcPr>
          <w:p>
            <w:pPr>
              <w:spacing w:before="40" w:after="40"/>
            </w:pPr>
            <w:r>
              <w:rPr>
                <w:color w:val="4A5568"/>
                <w:sz w:val="18"/>
              </w:rPr>
              <w:t>All connected CRMs</w:t>
            </w:r>
          </w:p>
        </w:tc>
      </w:tr>
      <w:tr>
        <w:tc>
          <w:tcPr>
            <w:tcW w:w="2000" w:type="dxa"/>
          </w:tcPr>
          <w:p>
            <w:pPr>
              <w:spacing w:before="40" w:after="40"/>
            </w:pPr>
            <w:r>
              <w:rPr>
                <w:color w:val="4A5568"/>
                <w:sz w:val="18"/>
              </w:rPr>
              <w:t>Automated Marketing Lists</w:t>
            </w:r>
          </w:p>
        </w:tc>
        <w:tc>
          <w:tcPr>
            <w:tcW w:w="2000" w:type="dxa"/>
          </w:tcPr>
          <w:p>
            <w:pPr>
              <w:spacing w:before="40" w:after="40"/>
            </w:pPr>
            <w:r>
              <w:rPr>
                <w:color w:val="4A5568"/>
                <w:sz w:val="18"/>
              </w:rPr>
              <w:t>Probability-weighted mailing lists and digital ad audiences</w:t>
            </w:r>
          </w:p>
        </w:tc>
        <w:tc>
          <w:tcPr>
            <w:tcW w:w="2000" w:type="dxa"/>
          </w:tcPr>
          <w:p>
            <w:pPr>
              <w:spacing w:before="40" w:after="40"/>
            </w:pPr>
            <w:r>
              <w:rPr>
                <w:color w:val="4A5568"/>
                <w:sz w:val="18"/>
              </w:rPr>
              <w:t>External marketing tools and DSPs</w:t>
            </w:r>
          </w:p>
        </w:tc>
      </w:tr>
      <w:tr>
        <w:tc>
          <w:tcPr>
            <w:tcW w:w="2000" w:type="dxa"/>
          </w:tcPr>
          <w:p>
            <w:pPr>
              <w:spacing w:before="40" w:after="40"/>
            </w:pPr>
            <w:r>
              <w:rPr>
                <w:color w:val="4A5568"/>
                <w:sz w:val="18"/>
              </w:rPr>
              <w:t>Document E-Signature</w:t>
            </w:r>
          </w:p>
        </w:tc>
        <w:tc>
          <w:tcPr>
            <w:tcW w:w="2000" w:type="dxa"/>
          </w:tcPr>
          <w:p>
            <w:pPr>
              <w:spacing w:before="40" w:after="40"/>
            </w:pPr>
            <w:r>
              <w:rPr>
                <w:color w:val="4A5568"/>
                <w:sz w:val="18"/>
              </w:rPr>
              <w:t>One-click export and signature collection</w:t>
            </w:r>
          </w:p>
        </w:tc>
        <w:tc>
          <w:tcPr>
            <w:tcW w:w="2000" w:type="dxa"/>
          </w:tcPr>
          <w:p>
            <w:pPr>
              <w:spacing w:before="40" w:after="40"/>
            </w:pPr>
            <w:r>
              <w:rPr>
                <w:color w:val="4A5568"/>
                <w:sz w:val="18"/>
              </w:rPr>
              <w:t>Adobe Acrobat, DocuSign</w:t>
            </w:r>
          </w:p>
        </w:tc>
      </w:tr>
      <w:tr>
        <w:tc>
          <w:tcPr>
            <w:tcW w:w="2000" w:type="dxa"/>
          </w:tcPr>
          <w:p>
            <w:pPr>
              <w:spacing w:before="40" w:after="40"/>
            </w:pPr>
            <w:r>
              <w:rPr>
                <w:color w:val="4A5568"/>
                <w:sz w:val="18"/>
              </w:rPr>
              <w:t>ODASI Data Flywheel</w:t>
            </w:r>
          </w:p>
        </w:tc>
        <w:tc>
          <w:tcPr>
            <w:tcW w:w="2000" w:type="dxa"/>
          </w:tcPr>
          <w:p>
            <w:pPr>
              <w:spacing w:before="40" w:after="40"/>
            </w:pPr>
            <w:r>
              <w:rPr>
                <w:color w:val="4A5568"/>
                <w:sz w:val="18"/>
              </w:rPr>
              <w:t>Field-confirmed damage data fed back to MASTERNEX.os training pipeline</w:t>
            </w:r>
          </w:p>
        </w:tc>
        <w:tc>
          <w:tcPr>
            <w:tcW w:w="2000" w:type="dxa"/>
          </w:tcPr>
          <w:p>
            <w:pPr>
              <w:spacing w:before="40" w:after="40"/>
            </w:pPr>
            <w:r>
              <w:rPr>
                <w:color w:val="4A5568"/>
                <w:sz w:val="18"/>
              </w:rPr>
              <w:t>ML pipeline</w:t>
            </w:r>
          </w:p>
        </w:tc>
      </w:tr>
    </w:tbl>
    <w:p>
      <w:pPr>
        <w:spacing w:before="120" w:after="120"/>
      </w:pPr>
    </w:p>
    <w:p>
      <w:pPr>
        <w:pStyle w:val="Heading2"/>
      </w:pPr>
      <w:r>
        <w:t>Module 6: Real Estate Prospector -- Investment Intelligence</w:t>
      </w:r>
    </w:p>
    <w:p>
      <w:r>
        <w:t>The Real Estate Prospector analyzes satellite and street-level imagery combined with municipal records, market data, and AI-generated property condition scores to identify off-market investment opportunities. It integrates with Zillow, CoreLogic, and Black Knight data feeds to provide ROI narratives tailored to investor strategy: fix-and-flip, buy-and-hold, or wholesale.</w:t>
      </w:r>
    </w:p>
    <w:p>
      <w:pPr>
        <w:pStyle w:val="Heading1"/>
      </w:pPr>
      <w:r>
        <w:t>CHAPTER 03: Market Intelligence &amp; Competitive Landscape</w:t>
      </w:r>
      <w:bookmarkStart w:name="_H4" w:id="4"/>
      <w:bookmarkEnd w:id="4"/>
    </w:p>
    <w:p>
      <w:pPr>
        <w:pStyle w:val="Heading2"/>
      </w:pPr>
      <w:r>
        <w:t>Total Addressable Market</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Vertical</w:t>
            </w:r>
          </w:p>
        </w:tc>
        <w:tc>
          <w:tcPr>
            <w:tcW w:w="2000" w:type="dxa"/>
            <w:shd w:val="clear" w:fill="1B3A4B"/>
          </w:tcPr>
          <w:p>
            <w:pPr>
              <w:spacing w:before="40" w:after="40"/>
            </w:pPr>
            <w:r>
              <w:rPr>
                <w:b/>
                <w:color w:val="FFFFFF"/>
                <w:sz w:val="18"/>
              </w:rPr>
              <w:t>TAM (2024)</w:t>
            </w:r>
          </w:p>
        </w:tc>
        <w:tc>
          <w:tcPr>
            <w:tcW w:w="2000" w:type="dxa"/>
            <w:shd w:val="clear" w:fill="1B3A4B"/>
          </w:tcPr>
          <w:p>
            <w:pPr>
              <w:spacing w:before="40" w:after="40"/>
            </w:pPr>
            <w:r>
              <w:rPr>
                <w:b/>
                <w:color w:val="FFFFFF"/>
                <w:sz w:val="18"/>
              </w:rPr>
              <w:t>TAM (2030)</w:t>
            </w:r>
          </w:p>
        </w:tc>
        <w:tc>
          <w:tcPr>
            <w:tcW w:w="2000" w:type="dxa"/>
            <w:shd w:val="clear" w:fill="1B3A4B"/>
          </w:tcPr>
          <w:p>
            <w:pPr>
              <w:spacing w:before="40" w:after="40"/>
            </w:pPr>
            <w:r>
              <w:rPr>
                <w:b/>
                <w:color w:val="FFFFFF"/>
                <w:sz w:val="18"/>
              </w:rPr>
              <w:t>CAGR</w:t>
            </w:r>
          </w:p>
        </w:tc>
      </w:tr>
      <w:tr>
        <w:tc>
          <w:tcPr>
            <w:tcW w:w="2000" w:type="dxa"/>
          </w:tcPr>
          <w:p>
            <w:pPr>
              <w:spacing w:before="40" w:after="40"/>
            </w:pPr>
            <w:r>
              <w:rPr>
                <w:color w:val="4A5568"/>
                <w:sz w:val="18"/>
              </w:rPr>
              <w:t>Roofing / Restoration Contractor Software</w:t>
            </w:r>
          </w:p>
        </w:tc>
        <w:tc>
          <w:tcPr>
            <w:tcW w:w="2000" w:type="dxa"/>
          </w:tcPr>
          <w:p>
            <w:pPr>
              <w:spacing w:before="40" w:after="40"/>
            </w:pPr>
            <w:r>
              <w:rPr>
                <w:color w:val="4A5568"/>
                <w:sz w:val="18"/>
              </w:rPr>
              <w:t>$1.25B</w:t>
            </w:r>
          </w:p>
        </w:tc>
        <w:tc>
          <w:tcPr>
            <w:tcW w:w="2000" w:type="dxa"/>
          </w:tcPr>
          <w:p>
            <w:pPr>
              <w:spacing w:before="40" w:after="40"/>
            </w:pPr>
            <w:r>
              <w:rPr>
                <w:color w:val="4A5568"/>
                <w:sz w:val="18"/>
              </w:rPr>
              <w:t>$3.5B</w:t>
            </w:r>
          </w:p>
        </w:tc>
        <w:tc>
          <w:tcPr>
            <w:tcW w:w="2000" w:type="dxa"/>
          </w:tcPr>
          <w:p>
            <w:pPr>
              <w:spacing w:before="40" w:after="40"/>
            </w:pPr>
            <w:r>
              <w:rPr>
                <w:color w:val="4A5568"/>
                <w:sz w:val="18"/>
              </w:rPr>
              <w:t>9.5-15.5%</w:t>
            </w:r>
          </w:p>
        </w:tc>
      </w:tr>
      <w:tr>
        <w:tc>
          <w:tcPr>
            <w:tcW w:w="2000" w:type="dxa"/>
          </w:tcPr>
          <w:p>
            <w:pPr>
              <w:spacing w:before="40" w:after="40"/>
            </w:pPr>
            <w:r>
              <w:rPr>
                <w:color w:val="4A5568"/>
                <w:sz w:val="18"/>
              </w:rPr>
              <w:t>Property Intelligence Software</w:t>
            </w:r>
          </w:p>
        </w:tc>
        <w:tc>
          <w:tcPr>
            <w:tcW w:w="2000" w:type="dxa"/>
          </w:tcPr>
          <w:p>
            <w:pPr>
              <w:spacing w:before="40" w:after="40"/>
            </w:pPr>
            <w:r>
              <w:rPr>
                <w:color w:val="4A5568"/>
                <w:sz w:val="18"/>
              </w:rPr>
              <w:t>$2.9B</w:t>
            </w:r>
          </w:p>
        </w:tc>
        <w:tc>
          <w:tcPr>
            <w:tcW w:w="2000" w:type="dxa"/>
          </w:tcPr>
          <w:p>
            <w:pPr>
              <w:spacing w:before="40" w:after="40"/>
            </w:pPr>
            <w:r>
              <w:rPr>
                <w:color w:val="4A5568"/>
                <w:sz w:val="18"/>
              </w:rPr>
              <w:t>$15.1B</w:t>
            </w:r>
          </w:p>
        </w:tc>
        <w:tc>
          <w:tcPr>
            <w:tcW w:w="2000" w:type="dxa"/>
          </w:tcPr>
          <w:p>
            <w:pPr>
              <w:spacing w:before="40" w:after="40"/>
            </w:pPr>
            <w:r>
              <w:rPr>
                <w:color w:val="4A5568"/>
                <w:sz w:val="18"/>
              </w:rPr>
              <w:t>14.7%</w:t>
            </w:r>
          </w:p>
        </w:tc>
      </w:tr>
      <w:tr>
        <w:tc>
          <w:tcPr>
            <w:tcW w:w="2000" w:type="dxa"/>
          </w:tcPr>
          <w:p>
            <w:pPr>
              <w:spacing w:before="40" w:after="40"/>
            </w:pPr>
            <w:r>
              <w:rPr>
                <w:color w:val="4A5568"/>
                <w:sz w:val="18"/>
              </w:rPr>
              <w:t>AI in Real Estate</w:t>
            </w:r>
          </w:p>
        </w:tc>
        <w:tc>
          <w:tcPr>
            <w:tcW w:w="2000" w:type="dxa"/>
          </w:tcPr>
          <w:p>
            <w:pPr>
              <w:spacing w:before="40" w:after="40"/>
            </w:pPr>
            <w:r>
              <w:rPr>
                <w:color w:val="4A5568"/>
                <w:sz w:val="18"/>
              </w:rPr>
              <w:t>$402B</w:t>
            </w:r>
          </w:p>
        </w:tc>
        <w:tc>
          <w:tcPr>
            <w:tcW w:w="2000" w:type="dxa"/>
          </w:tcPr>
          <w:p>
            <w:pPr>
              <w:spacing w:before="40" w:after="40"/>
            </w:pPr>
            <w:r>
              <w:rPr>
                <w:color w:val="4A5568"/>
                <w:sz w:val="18"/>
              </w:rPr>
              <w:t>$3.3T</w:t>
            </w:r>
          </w:p>
        </w:tc>
        <w:tc>
          <w:tcPr>
            <w:tcW w:w="2000" w:type="dxa"/>
          </w:tcPr>
          <w:p>
            <w:pPr>
              <w:spacing w:before="40" w:after="40"/>
            </w:pPr>
            <w:r>
              <w:rPr>
                <w:color w:val="4A5568"/>
                <w:sz w:val="18"/>
              </w:rPr>
              <w:t>30%</w:t>
            </w:r>
          </w:p>
        </w:tc>
      </w:tr>
      <w:tr>
        <w:tc>
          <w:tcPr>
            <w:tcW w:w="2000" w:type="dxa"/>
          </w:tcPr>
          <w:p>
            <w:pPr>
              <w:spacing w:before="40" w:after="40"/>
            </w:pPr>
            <w:r>
              <w:rPr>
                <w:color w:val="4A5568"/>
                <w:sz w:val="18"/>
              </w:rPr>
              <w:t>LegalTech / Probate Software</w:t>
            </w:r>
          </w:p>
        </w:tc>
        <w:tc>
          <w:tcPr>
            <w:tcW w:w="2000" w:type="dxa"/>
          </w:tcPr>
          <w:p>
            <w:pPr>
              <w:spacing w:before="40" w:after="40"/>
            </w:pPr>
            <w:r>
              <w:rPr>
                <w:color w:val="4A5568"/>
                <w:sz w:val="18"/>
              </w:rPr>
              <w:t>$8.5B</w:t>
            </w:r>
          </w:p>
        </w:tc>
        <w:tc>
          <w:tcPr>
            <w:tcW w:w="2000" w:type="dxa"/>
          </w:tcPr>
          <w:p>
            <w:pPr>
              <w:spacing w:before="40" w:after="40"/>
            </w:pPr>
            <w:r>
              <w:rPr>
                <w:color w:val="4A5568"/>
                <w:sz w:val="18"/>
              </w:rPr>
              <w:t>$18B</w:t>
            </w:r>
          </w:p>
        </w:tc>
        <w:tc>
          <w:tcPr>
            <w:tcW w:w="2000" w:type="dxa"/>
          </w:tcPr>
          <w:p>
            <w:pPr>
              <w:spacing w:before="40" w:after="40"/>
            </w:pPr>
            <w:r>
              <w:rPr>
                <w:color w:val="4A5568"/>
                <w:sz w:val="18"/>
              </w:rPr>
              <w:t>12%</w:t>
            </w:r>
          </w:p>
        </w:tc>
      </w:tr>
      <w:tr>
        <w:tc>
          <w:tcPr>
            <w:tcW w:w="2000" w:type="dxa"/>
          </w:tcPr>
          <w:p>
            <w:pPr>
              <w:spacing w:before="40" w:after="40"/>
            </w:pPr>
            <w:r>
              <w:rPr>
                <w:color w:val="4A5568"/>
                <w:sz w:val="18"/>
              </w:rPr>
              <w:t>Field Service Management</w:t>
            </w:r>
          </w:p>
        </w:tc>
        <w:tc>
          <w:tcPr>
            <w:tcW w:w="2000" w:type="dxa"/>
          </w:tcPr>
          <w:p>
            <w:pPr>
              <w:spacing w:before="40" w:after="40"/>
            </w:pPr>
            <w:r>
              <w:rPr>
                <w:color w:val="4A5568"/>
                <w:sz w:val="18"/>
              </w:rPr>
              <w:t>$4.0B</w:t>
            </w:r>
          </w:p>
        </w:tc>
        <w:tc>
          <w:tcPr>
            <w:tcW w:w="2000" w:type="dxa"/>
          </w:tcPr>
          <w:p>
            <w:pPr>
              <w:spacing w:before="40" w:after="40"/>
            </w:pPr>
            <w:r>
              <w:rPr>
                <w:color w:val="4A5568"/>
                <w:sz w:val="18"/>
              </w:rPr>
              <w:t>$11.8B</w:t>
            </w:r>
          </w:p>
        </w:tc>
        <w:tc>
          <w:tcPr>
            <w:tcW w:w="2000" w:type="dxa"/>
          </w:tcPr>
          <w:p>
            <w:pPr>
              <w:spacing w:before="40" w:after="40"/>
            </w:pPr>
            <w:r>
              <w:rPr>
                <w:color w:val="4A5568"/>
                <w:sz w:val="18"/>
              </w:rPr>
              <w:t>13.3%</w:t>
            </w:r>
          </w:p>
        </w:tc>
      </w:tr>
      <w:tr>
        <w:tc>
          <w:tcPr>
            <w:tcW w:w="2000" w:type="dxa"/>
          </w:tcPr>
          <w:p>
            <w:pPr>
              <w:spacing w:before="40" w:after="40"/>
            </w:pPr>
            <w:r>
              <w:rPr>
                <w:color w:val="4A5568"/>
                <w:sz w:val="18"/>
              </w:rPr>
              <w:t>Enterprise AR Software</w:t>
            </w:r>
          </w:p>
        </w:tc>
        <w:tc>
          <w:tcPr>
            <w:tcW w:w="2000" w:type="dxa"/>
          </w:tcPr>
          <w:p>
            <w:pPr>
              <w:spacing w:before="40" w:after="40"/>
            </w:pPr>
            <w:r>
              <w:rPr>
                <w:color w:val="4A5568"/>
                <w:sz w:val="18"/>
              </w:rPr>
              <w:t>$8.0B</w:t>
            </w:r>
          </w:p>
        </w:tc>
        <w:tc>
          <w:tcPr>
            <w:tcW w:w="2000" w:type="dxa"/>
          </w:tcPr>
          <w:p>
            <w:pPr>
              <w:spacing w:before="40" w:after="40"/>
            </w:pPr>
            <w:r>
              <w:rPr>
                <w:color w:val="4A5568"/>
                <w:sz w:val="18"/>
              </w:rPr>
              <w:t>$100.6B</w:t>
            </w:r>
          </w:p>
        </w:tc>
        <w:tc>
          <w:tcPr>
            <w:tcW w:w="2000" w:type="dxa"/>
          </w:tcPr>
          <w:p>
            <w:pPr>
              <w:spacing w:before="40" w:after="40"/>
            </w:pPr>
            <w:r>
              <w:rPr>
                <w:color w:val="4A5568"/>
                <w:sz w:val="18"/>
              </w:rPr>
              <w:t>25.9%</w:t>
            </w:r>
          </w:p>
        </w:tc>
      </w:tr>
      <w:tr>
        <w:tc>
          <w:tcPr>
            <w:tcW w:w="2000" w:type="dxa"/>
          </w:tcPr>
          <w:p>
            <w:pPr>
              <w:spacing w:before="40" w:after="40"/>
            </w:pPr>
            <w:r>
              <w:rPr>
                <w:color w:val="4A5568"/>
                <w:sz w:val="18"/>
              </w:rPr>
              <w:t>KYC / ID Verification</w:t>
            </w:r>
          </w:p>
        </w:tc>
        <w:tc>
          <w:tcPr>
            <w:tcW w:w="2000" w:type="dxa"/>
          </w:tcPr>
          <w:p>
            <w:pPr>
              <w:spacing w:before="40" w:after="40"/>
            </w:pPr>
            <w:r>
              <w:rPr>
                <w:color w:val="4A5568"/>
                <w:sz w:val="18"/>
              </w:rPr>
              <w:t>$6.0B</w:t>
            </w:r>
          </w:p>
        </w:tc>
        <w:tc>
          <w:tcPr>
            <w:tcW w:w="2000" w:type="dxa"/>
          </w:tcPr>
          <w:p>
            <w:pPr>
              <w:spacing w:before="40" w:after="40"/>
            </w:pPr>
            <w:r>
              <w:rPr>
                <w:color w:val="4A5568"/>
                <w:sz w:val="18"/>
              </w:rPr>
              <w:t>$36.8B</w:t>
            </w:r>
          </w:p>
        </w:tc>
        <w:tc>
          <w:tcPr>
            <w:tcW w:w="2000" w:type="dxa"/>
          </w:tcPr>
          <w:p>
            <w:pPr>
              <w:spacing w:before="40" w:after="40"/>
            </w:pPr>
            <w:r>
              <w:rPr>
                <w:color w:val="4A5568"/>
                <w:sz w:val="18"/>
              </w:rPr>
              <w:t>22.3%</w:t>
            </w:r>
          </w:p>
        </w:tc>
      </w:tr>
      <w:tr>
        <w:tc>
          <w:tcPr>
            <w:tcW w:w="2000" w:type="dxa"/>
          </w:tcPr>
          <w:p>
            <w:pPr>
              <w:spacing w:before="40" w:after="40"/>
            </w:pPr>
            <w:r>
              <w:rPr>
                <w:color w:val="4A5568"/>
                <w:sz w:val="18"/>
              </w:rPr>
              <w:t>Digital Signage</w:t>
            </w:r>
          </w:p>
        </w:tc>
        <w:tc>
          <w:tcPr>
            <w:tcW w:w="2000" w:type="dxa"/>
          </w:tcPr>
          <w:p>
            <w:pPr>
              <w:spacing w:before="40" w:after="40"/>
            </w:pPr>
            <w:r>
              <w:rPr>
                <w:color w:val="4A5568"/>
                <w:sz w:val="18"/>
              </w:rPr>
              <w:t>$20.1B</w:t>
            </w:r>
          </w:p>
        </w:tc>
        <w:tc>
          <w:tcPr>
            <w:tcW w:w="2000" w:type="dxa"/>
          </w:tcPr>
          <w:p>
            <w:pPr>
              <w:spacing w:before="40" w:after="40"/>
            </w:pPr>
            <w:r>
              <w:rPr>
                <w:color w:val="4A5568"/>
                <w:sz w:val="18"/>
              </w:rPr>
              <w:t>$27.3B</w:t>
            </w:r>
          </w:p>
        </w:tc>
        <w:tc>
          <w:tcPr>
            <w:tcW w:w="2000" w:type="dxa"/>
          </w:tcPr>
          <w:p>
            <w:pPr>
              <w:spacing w:before="40" w:after="40"/>
            </w:pPr>
            <w:r>
              <w:rPr>
                <w:color w:val="4A5568"/>
                <w:sz w:val="18"/>
              </w:rPr>
              <w:t>6.3%</w:t>
            </w:r>
          </w:p>
        </w:tc>
      </w:tr>
      <w:tr>
        <w:tc>
          <w:tcPr>
            <w:tcW w:w="2000" w:type="dxa"/>
          </w:tcPr>
          <w:p>
            <w:pPr>
              <w:spacing w:before="40" w:after="40"/>
            </w:pPr>
            <w:r>
              <w:rPr>
                <w:color w:val="4A5568"/>
                <w:sz w:val="18"/>
              </w:rPr>
              <w:t>COMBINED TAM</w:t>
            </w:r>
          </w:p>
        </w:tc>
        <w:tc>
          <w:tcPr>
            <w:tcW w:w="2000" w:type="dxa"/>
          </w:tcPr>
          <w:p>
            <w:pPr>
              <w:spacing w:before="40" w:after="40"/>
            </w:pPr>
            <w:r>
              <w:rPr>
                <w:color w:val="4A5568"/>
                <w:sz w:val="18"/>
              </w:rPr>
              <w:t>$452.7B</w:t>
            </w:r>
          </w:p>
        </w:tc>
        <w:tc>
          <w:tcPr>
            <w:tcW w:w="2000" w:type="dxa"/>
          </w:tcPr>
          <w:p>
            <w:pPr>
              <w:spacing w:before="40" w:after="40"/>
            </w:pPr>
            <w:r>
              <w:rPr>
                <w:color w:val="4A5568"/>
                <w:sz w:val="18"/>
              </w:rPr>
              <w:t>$3.5T+</w:t>
            </w:r>
          </w:p>
        </w:tc>
        <w:tc>
          <w:tcPr>
            <w:tcW w:w="2000" w:type="dxa"/>
          </w:tcPr>
          <w:p>
            <w:pPr>
              <w:spacing w:before="40" w:after="40"/>
            </w:pPr>
            <w:r>
              <w:rPr>
                <w:color w:val="4A5568"/>
                <w:sz w:val="18"/>
              </w:rPr>
              <w:t>~20%</w:t>
            </w:r>
          </w:p>
        </w:tc>
      </w:tr>
    </w:tbl>
    <w:p>
      <w:pPr>
        <w:spacing w:before="120" w:after="120"/>
      </w:pPr>
    </w:p>
    <w:p>
      <w:pPr>
        <w:pStyle w:val="Heading2"/>
      </w:pPr>
      <w:r>
        <w:t>Competitive Positioning Matrix</w:t>
      </w:r>
    </w:p>
    <w:p>
      <w:pPr>
        <w:pStyle w:val="Heading3"/>
      </w:pPr>
      <w:r>
        <w:t>Roofing / Restoration Vertical</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Competitor</w:t>
            </w:r>
          </w:p>
        </w:tc>
        <w:tc>
          <w:tcPr>
            <w:tcW w:w="2000" w:type="dxa"/>
            <w:shd w:val="clear" w:fill="1B3A4B"/>
          </w:tcPr>
          <w:p>
            <w:pPr>
              <w:spacing w:before="40" w:after="40"/>
            </w:pPr>
            <w:r>
              <w:rPr>
                <w:b/>
                <w:color w:val="FFFFFF"/>
                <w:sz w:val="18"/>
              </w:rPr>
              <w:t>Strengths</w:t>
            </w:r>
          </w:p>
        </w:tc>
        <w:tc>
          <w:tcPr>
            <w:tcW w:w="2000" w:type="dxa"/>
            <w:shd w:val="clear" w:fill="1B3A4B"/>
          </w:tcPr>
          <w:p>
            <w:pPr>
              <w:spacing w:before="40" w:after="40"/>
            </w:pPr>
            <w:r>
              <w:rPr>
                <w:b/>
                <w:color w:val="FFFFFF"/>
                <w:sz w:val="18"/>
              </w:rPr>
              <w:t>Weaknesses</w:t>
            </w:r>
          </w:p>
        </w:tc>
        <w:tc>
          <w:tcPr>
            <w:tcW w:w="2000" w:type="dxa"/>
            <w:shd w:val="clear" w:fill="1B3A4B"/>
          </w:tcPr>
          <w:p>
            <w:pPr>
              <w:spacing w:before="40" w:after="40"/>
            </w:pPr>
            <w:r>
              <w:rPr>
                <w:b/>
                <w:color w:val="FFFFFF"/>
                <w:sz w:val="18"/>
              </w:rPr>
              <w:t>VIVELLA Guard Advantage</w:t>
            </w:r>
          </w:p>
        </w:tc>
      </w:tr>
      <w:tr>
        <w:tc>
          <w:tcPr>
            <w:tcW w:w="2000" w:type="dxa"/>
          </w:tcPr>
          <w:p>
            <w:pPr>
              <w:spacing w:before="40" w:after="40"/>
            </w:pPr>
            <w:r>
              <w:rPr>
                <w:color w:val="4A5568"/>
                <w:sz w:val="18"/>
              </w:rPr>
              <w:t>Xactimate (Verisk)</w:t>
            </w:r>
          </w:p>
        </w:tc>
        <w:tc>
          <w:tcPr>
            <w:tcW w:w="2000" w:type="dxa"/>
          </w:tcPr>
          <w:p>
            <w:pPr>
              <w:spacing w:before="40" w:after="40"/>
            </w:pPr>
            <w:r>
              <w:rPr>
                <w:color w:val="4A5568"/>
                <w:sz w:val="18"/>
              </w:rPr>
              <w:t>Industry standard, carrier acceptance</w:t>
            </w:r>
          </w:p>
        </w:tc>
        <w:tc>
          <w:tcPr>
            <w:tcW w:w="2000" w:type="dxa"/>
          </w:tcPr>
          <w:p>
            <w:pPr>
              <w:spacing w:before="40" w:after="40"/>
            </w:pPr>
            <w:r>
              <w:rPr>
                <w:color w:val="4A5568"/>
                <w:sz w:val="18"/>
              </w:rPr>
              <w:t>Archaic UX, slow innovation, high cost</w:t>
            </w:r>
          </w:p>
        </w:tc>
        <w:tc>
          <w:tcPr>
            <w:tcW w:w="2000" w:type="dxa"/>
          </w:tcPr>
          <w:p>
            <w:pPr>
              <w:spacing w:before="40" w:after="40"/>
            </w:pPr>
            <w:r>
              <w:rPr>
                <w:color w:val="4A5568"/>
                <w:sz w:val="18"/>
              </w:rPr>
              <w:t>Modern AI-native UX, DPS storm intelligence, integrated workflow</w:t>
            </w:r>
          </w:p>
        </w:tc>
      </w:tr>
      <w:tr>
        <w:tc>
          <w:tcPr>
            <w:tcW w:w="2000" w:type="dxa"/>
          </w:tcPr>
          <w:p>
            <w:pPr>
              <w:spacing w:before="40" w:after="40"/>
            </w:pPr>
            <w:r>
              <w:rPr>
                <w:color w:val="4A5568"/>
                <w:sz w:val="18"/>
              </w:rPr>
              <w:t>EagleView</w:t>
            </w:r>
          </w:p>
        </w:tc>
        <w:tc>
          <w:tcPr>
            <w:tcW w:w="2000" w:type="dxa"/>
          </w:tcPr>
          <w:p>
            <w:pPr>
              <w:spacing w:before="40" w:after="40"/>
            </w:pPr>
            <w:r>
              <w:rPr>
                <w:color w:val="4A5568"/>
                <w:sz w:val="18"/>
              </w:rPr>
              <w:t>Best-in-class roof measurements</w:t>
            </w:r>
          </w:p>
        </w:tc>
        <w:tc>
          <w:tcPr>
            <w:tcW w:w="2000" w:type="dxa"/>
          </w:tcPr>
          <w:p>
            <w:pPr>
              <w:spacing w:before="40" w:after="40"/>
            </w:pPr>
            <w:r>
              <w:rPr>
                <w:color w:val="4A5568"/>
                <w:sz w:val="18"/>
              </w:rPr>
              <w:t>No workflow; $50-100/report; slow turnaround</w:t>
            </w:r>
          </w:p>
        </w:tc>
        <w:tc>
          <w:tcPr>
            <w:tcW w:w="2000" w:type="dxa"/>
          </w:tcPr>
          <w:p>
            <w:pPr>
              <w:spacing w:before="40" w:after="40"/>
            </w:pPr>
            <w:r>
              <w:rPr>
                <w:color w:val="4A5568"/>
                <w:sz w:val="18"/>
              </w:rPr>
              <w:t>Free preliminary sketches, integrated estimate-to-CRM in minutes</w:t>
            </w:r>
          </w:p>
        </w:tc>
      </w:tr>
      <w:tr>
        <w:tc>
          <w:tcPr>
            <w:tcW w:w="2000" w:type="dxa"/>
          </w:tcPr>
          <w:p>
            <w:pPr>
              <w:spacing w:before="40" w:after="40"/>
            </w:pPr>
            <w:r>
              <w:rPr>
                <w:color w:val="4A5568"/>
                <w:sz w:val="18"/>
              </w:rPr>
              <w:t>HailTrace</w:t>
            </w:r>
          </w:p>
        </w:tc>
        <w:tc>
          <w:tcPr>
            <w:tcW w:w="2000" w:type="dxa"/>
          </w:tcPr>
          <w:p>
            <w:pPr>
              <w:spacing w:before="40" w:after="40"/>
            </w:pPr>
            <w:r>
              <w:rPr>
                <w:color w:val="4A5568"/>
                <w:sz w:val="18"/>
              </w:rPr>
              <w:t>Hail/wind maps, storm tracking</w:t>
            </w:r>
          </w:p>
        </w:tc>
        <w:tc>
          <w:tcPr>
            <w:tcW w:w="2000" w:type="dxa"/>
          </w:tcPr>
          <w:p>
            <w:pPr>
              <w:spacing w:before="40" w:after="40"/>
            </w:pPr>
            <w:r>
              <w:rPr>
                <w:color w:val="4A5568"/>
                <w:sz w:val="18"/>
              </w:rPr>
              <w:t>Point solution; no workflow, no property intelligence</w:t>
            </w:r>
          </w:p>
        </w:tc>
        <w:tc>
          <w:tcPr>
            <w:tcW w:w="2000" w:type="dxa"/>
          </w:tcPr>
          <w:p>
            <w:pPr>
              <w:spacing w:before="40" w:after="40"/>
            </w:pPr>
            <w:r>
              <w:rPr>
                <w:color w:val="4A5568"/>
                <w:sz w:val="18"/>
              </w:rPr>
              <w:t>Full platform: storm alert to signed contract</w:t>
            </w:r>
          </w:p>
        </w:tc>
      </w:tr>
      <w:tr>
        <w:tc>
          <w:tcPr>
            <w:tcW w:w="2000" w:type="dxa"/>
          </w:tcPr>
          <w:p>
            <w:pPr>
              <w:spacing w:before="40" w:after="40"/>
            </w:pPr>
            <w:r>
              <w:rPr>
                <w:color w:val="4A5568"/>
                <w:sz w:val="18"/>
              </w:rPr>
              <w:t>JobNimbus / AccuLynx</w:t>
            </w:r>
          </w:p>
        </w:tc>
        <w:tc>
          <w:tcPr>
            <w:tcW w:w="2000" w:type="dxa"/>
          </w:tcPr>
          <w:p>
            <w:pPr>
              <w:spacing w:before="40" w:after="40"/>
            </w:pPr>
            <w:r>
              <w:rPr>
                <w:color w:val="4A5568"/>
                <w:sz w:val="18"/>
              </w:rPr>
              <w:t>Affordable CRM, good integrations</w:t>
            </w:r>
          </w:p>
        </w:tc>
        <w:tc>
          <w:tcPr>
            <w:tcW w:w="2000" w:type="dxa"/>
          </w:tcPr>
          <w:p>
            <w:pPr>
              <w:spacing w:before="40" w:after="40"/>
            </w:pPr>
            <w:r>
              <w:rPr>
                <w:color w:val="4A5568"/>
                <w:sz w:val="18"/>
              </w:rPr>
              <w:t>No storm intelligence, no AI damage prediction</w:t>
            </w:r>
          </w:p>
        </w:tc>
        <w:tc>
          <w:tcPr>
            <w:tcW w:w="2000" w:type="dxa"/>
          </w:tcPr>
          <w:p>
            <w:pPr>
              <w:spacing w:before="40" w:after="40"/>
            </w:pPr>
            <w:r>
              <w:rPr>
                <w:color w:val="4A5568"/>
                <w:sz w:val="18"/>
              </w:rPr>
              <w:t>Native CRM integration; Guard as intelligence layer</w:t>
            </w:r>
          </w:p>
        </w:tc>
      </w:tr>
    </w:tbl>
    <w:p>
      <w:pPr>
        <w:spacing w:before="120" w:after="120"/>
      </w:pPr>
    </w:p>
    <w:p>
      <w:pPr>
        <w:pStyle w:val="Heading3"/>
      </w:pPr>
      <w:r>
        <w:t>Probate / Legal Vertical</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tblGrid>
      <w:tr>
        <w:trPr>
          <w:tblHeader/>
        </w:trPr>
        <w:tc>
          <w:tcPr>
            <w:tcW w:w="2000" w:type="dxa"/>
            <w:shd w:val="clear" w:fill="1B3A4B"/>
          </w:tcPr>
          <w:p>
            <w:pPr>
              <w:spacing w:before="40" w:after="40"/>
            </w:pPr>
            <w:r>
              <w:rPr>
                <w:b/>
                <w:color w:val="FFFFFF"/>
                <w:sz w:val="18"/>
              </w:rPr>
              <w:t>Competitor</w:t>
            </w:r>
          </w:p>
        </w:tc>
        <w:tc>
          <w:tcPr>
            <w:tcW w:w="2000" w:type="dxa"/>
            <w:shd w:val="clear" w:fill="1B3A4B"/>
          </w:tcPr>
          <w:p>
            <w:pPr>
              <w:spacing w:before="40" w:after="40"/>
            </w:pPr>
            <w:r>
              <w:rPr>
                <w:b/>
                <w:color w:val="FFFFFF"/>
                <w:sz w:val="18"/>
              </w:rPr>
              <w:t>Core Capability</w:t>
            </w:r>
          </w:p>
        </w:tc>
        <w:tc>
          <w:tcPr>
            <w:tcW w:w="2000" w:type="dxa"/>
            <w:shd w:val="clear" w:fill="1B3A4B"/>
          </w:tcPr>
          <w:p>
            <w:pPr>
              <w:spacing w:before="40" w:after="40"/>
            </w:pPr>
            <w:r>
              <w:rPr>
                <w:b/>
                <w:color w:val="FFFFFF"/>
                <w:sz w:val="18"/>
              </w:rPr>
              <w:t>AI Depth</w:t>
            </w:r>
          </w:p>
        </w:tc>
        <w:tc>
          <w:tcPr>
            <w:tcW w:w="2000" w:type="dxa"/>
            <w:shd w:val="clear" w:fill="1B3A4B"/>
          </w:tcPr>
          <w:p>
            <w:pPr>
              <w:spacing w:before="40" w:after="40"/>
            </w:pPr>
            <w:r>
              <w:rPr>
                <w:b/>
                <w:color w:val="FFFFFF"/>
                <w:sz w:val="18"/>
              </w:rPr>
              <w:t>Property Integration</w:t>
            </w:r>
          </w:p>
        </w:tc>
        <w:tc>
          <w:tcPr>
            <w:tcW w:w="2000" w:type="dxa"/>
            <w:shd w:val="clear" w:fill="1B3A4B"/>
          </w:tcPr>
          <w:p>
            <w:pPr>
              <w:spacing w:before="40" w:after="40"/>
            </w:pPr>
            <w:r>
              <w:rPr>
                <w:b/>
                <w:color w:val="FFFFFF"/>
                <w:sz w:val="18"/>
              </w:rPr>
              <w:t>Contractor Integration</w:t>
            </w:r>
          </w:p>
        </w:tc>
      </w:tr>
      <w:tr>
        <w:tc>
          <w:tcPr>
            <w:tcW w:w="2000" w:type="dxa"/>
          </w:tcPr>
          <w:p>
            <w:pPr>
              <w:spacing w:before="40" w:after="40"/>
            </w:pPr>
            <w:r>
              <w:rPr>
                <w:color w:val="4A5568"/>
                <w:sz w:val="18"/>
              </w:rPr>
              <w:t>MyCase</w:t>
            </w:r>
          </w:p>
        </w:tc>
        <w:tc>
          <w:tcPr>
            <w:tcW w:w="2000" w:type="dxa"/>
          </w:tcPr>
          <w:p>
            <w:pPr>
              <w:spacing w:before="40" w:after="40"/>
            </w:pPr>
            <w:r>
              <w:rPr>
                <w:color w:val="4A5568"/>
                <w:sz w:val="18"/>
              </w:rPr>
              <w:t>Case management, document storage</w:t>
            </w:r>
          </w:p>
        </w:tc>
        <w:tc>
          <w:tcPr>
            <w:tcW w:w="2000" w:type="dxa"/>
          </w:tcPr>
          <w:p>
            <w:pPr>
              <w:spacing w:before="40" w:after="40"/>
            </w:pPr>
            <w:r>
              <w:rPr>
                <w:color w:val="4A5568"/>
                <w:sz w:val="18"/>
              </w:rPr>
              <w:t>Transcription only</w:t>
            </w:r>
          </w:p>
        </w:tc>
        <w:tc>
          <w:tcPr>
            <w:tcW w:w="2000" w:type="dxa"/>
          </w:tcPr>
          <w:p>
            <w:pPr>
              <w:spacing w:before="40" w:after="40"/>
            </w:pPr>
            <w:r>
              <w:rPr>
                <w:color w:val="4A5568"/>
                <w:sz w:val="18"/>
              </w:rPr>
              <w:t>Superficial</w:t>
            </w:r>
          </w:p>
        </w:tc>
        <w:tc>
          <w:tcPr>
            <w:tcW w:w="2000" w:type="dxa"/>
          </w:tcPr>
          <w:p>
            <w:pPr>
              <w:spacing w:before="40" w:after="40"/>
            </w:pPr>
            <w:r>
              <w:rPr>
                <w:color w:val="4A5568"/>
                <w:sz w:val="18"/>
              </w:rPr>
              <w:t>None</w:t>
            </w:r>
          </w:p>
        </w:tc>
      </w:tr>
      <w:tr>
        <w:tc>
          <w:tcPr>
            <w:tcW w:w="2000" w:type="dxa"/>
          </w:tcPr>
          <w:p>
            <w:pPr>
              <w:spacing w:before="40" w:after="40"/>
            </w:pPr>
            <w:r>
              <w:rPr>
                <w:color w:val="4A5568"/>
                <w:sz w:val="18"/>
              </w:rPr>
              <w:t>EstateOS</w:t>
            </w:r>
          </w:p>
        </w:tc>
        <w:tc>
          <w:tcPr>
            <w:tcW w:w="2000" w:type="dxa"/>
          </w:tcPr>
          <w:p>
            <w:pPr>
              <w:spacing w:before="40" w:after="40"/>
            </w:pPr>
            <w:r>
              <w:rPr>
                <w:color w:val="4A5568"/>
                <w:sz w:val="18"/>
              </w:rPr>
              <w:t>Document extraction, plan scoring</w:t>
            </w:r>
          </w:p>
        </w:tc>
        <w:tc>
          <w:tcPr>
            <w:tcW w:w="2000" w:type="dxa"/>
          </w:tcPr>
          <w:p>
            <w:pPr>
              <w:spacing w:before="40" w:after="40"/>
            </w:pPr>
            <w:r>
              <w:rPr>
                <w:color w:val="4A5568"/>
                <w:sz w:val="18"/>
              </w:rPr>
              <w:t>Document understanding; no probate AI</w:t>
            </w:r>
          </w:p>
        </w:tc>
        <w:tc>
          <w:tcPr>
            <w:tcW w:w="2000" w:type="dxa"/>
          </w:tcPr>
          <w:p>
            <w:pPr>
              <w:spacing w:before="40" w:after="40"/>
            </w:pPr>
            <w:r>
              <w:rPr>
                <w:color w:val="4A5568"/>
                <w:sz w:val="18"/>
              </w:rPr>
              <w:t>Limited</w:t>
            </w:r>
          </w:p>
        </w:tc>
        <w:tc>
          <w:tcPr>
            <w:tcW w:w="2000" w:type="dxa"/>
          </w:tcPr>
          <w:p>
            <w:pPr>
              <w:spacing w:before="40" w:after="40"/>
            </w:pPr>
            <w:r>
              <w:rPr>
                <w:color w:val="4A5568"/>
                <w:sz w:val="18"/>
              </w:rPr>
              <w:t>None</w:t>
            </w:r>
          </w:p>
        </w:tc>
      </w:tr>
      <w:tr>
        <w:tc>
          <w:tcPr>
            <w:tcW w:w="2000" w:type="dxa"/>
          </w:tcPr>
          <w:p>
            <w:pPr>
              <w:spacing w:before="40" w:after="40"/>
            </w:pPr>
            <w:r>
              <w:rPr>
                <w:color w:val="4A5568"/>
                <w:sz w:val="18"/>
              </w:rPr>
              <w:t>Appara Estate Admin</w:t>
            </w:r>
          </w:p>
        </w:tc>
        <w:tc>
          <w:tcPr>
            <w:tcW w:w="2000" w:type="dxa"/>
          </w:tcPr>
          <w:p>
            <w:pPr>
              <w:spacing w:before="40" w:after="40"/>
            </w:pPr>
            <w:r>
              <w:rPr>
                <w:color w:val="4A5568"/>
                <w:sz w:val="18"/>
              </w:rPr>
              <w:t>Probate workflow, court forms</w:t>
            </w:r>
          </w:p>
        </w:tc>
        <w:tc>
          <w:tcPr>
            <w:tcW w:w="2000" w:type="dxa"/>
          </w:tcPr>
          <w:p>
            <w:pPr>
              <w:spacing w:before="40" w:after="40"/>
            </w:pPr>
            <w:r>
              <w:rPr>
                <w:color w:val="4A5568"/>
                <w:sz w:val="18"/>
              </w:rPr>
              <w:t>Rule-based automation</w:t>
            </w:r>
          </w:p>
        </w:tc>
        <w:tc>
          <w:tcPr>
            <w:tcW w:w="2000" w:type="dxa"/>
          </w:tcPr>
          <w:p>
            <w:pPr>
              <w:spacing w:before="40" w:after="40"/>
            </w:pPr>
            <w:r>
              <w:rPr>
                <w:color w:val="4A5568"/>
                <w:sz w:val="18"/>
              </w:rPr>
              <w:t>Within Appara only</w:t>
            </w:r>
          </w:p>
        </w:tc>
        <w:tc>
          <w:tcPr>
            <w:tcW w:w="2000" w:type="dxa"/>
          </w:tcPr>
          <w:p>
            <w:pPr>
              <w:spacing w:before="40" w:after="40"/>
            </w:pPr>
            <w:r>
              <w:rPr>
                <w:color w:val="4A5568"/>
                <w:sz w:val="18"/>
              </w:rPr>
              <w:t>None</w:t>
            </w:r>
          </w:p>
        </w:tc>
      </w:tr>
      <w:tr>
        <w:tc>
          <w:tcPr>
            <w:tcW w:w="2000" w:type="dxa"/>
          </w:tcPr>
          <w:p>
            <w:pPr>
              <w:spacing w:before="40" w:after="40"/>
            </w:pPr>
            <w:r>
              <w:rPr>
                <w:color w:val="4A5568"/>
                <w:sz w:val="18"/>
              </w:rPr>
              <w:t>VIVELLA Guard (Probate)</w:t>
            </w:r>
          </w:p>
        </w:tc>
        <w:tc>
          <w:tcPr>
            <w:tcW w:w="2000" w:type="dxa"/>
          </w:tcPr>
          <w:p>
            <w:pPr>
              <w:spacing w:before="40" w:after="40"/>
            </w:pPr>
            <w:r>
              <w:rPr>
                <w:color w:val="4A5568"/>
                <w:sz w:val="18"/>
              </w:rPr>
              <w:t>Full probate administration</w:t>
            </w:r>
          </w:p>
        </w:tc>
        <w:tc>
          <w:tcPr>
            <w:tcW w:w="2000" w:type="dxa"/>
          </w:tcPr>
          <w:p>
            <w:pPr>
              <w:spacing w:before="40" w:after="40"/>
            </w:pPr>
            <w:r>
              <w:rPr>
                <w:color w:val="4A5568"/>
                <w:sz w:val="18"/>
              </w:rPr>
              <w:t>GNN heir ID, BERT-Legal, anomaly detection</w:t>
            </w:r>
          </w:p>
        </w:tc>
        <w:tc>
          <w:tcPr>
            <w:tcW w:w="2000" w:type="dxa"/>
          </w:tcPr>
          <w:p>
            <w:pPr>
              <w:spacing w:before="40" w:after="40"/>
            </w:pPr>
            <w:r>
              <w:rPr>
                <w:color w:val="4A5568"/>
                <w:sz w:val="18"/>
              </w:rPr>
              <w:t>Deep -- automated discovery, AVM</w:t>
            </w:r>
          </w:p>
        </w:tc>
        <w:tc>
          <w:tcPr>
            <w:tcW w:w="2000" w:type="dxa"/>
          </w:tcPr>
          <w:p>
            <w:pPr>
              <w:spacing w:before="40" w:after="40"/>
            </w:pPr>
            <w:r>
              <w:rPr>
                <w:color w:val="4A5568"/>
                <w:sz w:val="18"/>
              </w:rPr>
              <w:t>Native -- preservation dispatch</w:t>
            </w:r>
          </w:p>
        </w:tc>
      </w:tr>
    </w:tbl>
    <w:p>
      <w:pPr>
        <w:spacing w:before="120" w:after="120"/>
      </w:pPr>
    </w:p>
    <w:p>
      <w:pPr>
        <w:pStyle w:val="Heading2"/>
      </w:pPr>
      <w:r>
        <w:t>Competitive Moat Analysis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Moat Type</w:t>
            </w:r>
          </w:p>
        </w:tc>
        <w:tc>
          <w:tcPr>
            <w:tcW w:w="2000" w:type="dxa"/>
            <w:shd w:val="clear" w:fill="1B3A4B"/>
          </w:tcPr>
          <w:p>
            <w:pPr>
              <w:spacing w:before="40" w:after="40"/>
            </w:pPr>
            <w:r>
              <w:rPr>
                <w:b/>
                <w:color w:val="FFFFFF"/>
                <w:sz w:val="18"/>
              </w:rPr>
              <w:t>Strength</w:t>
            </w:r>
          </w:p>
        </w:tc>
        <w:tc>
          <w:tcPr>
            <w:tcW w:w="2000" w:type="dxa"/>
            <w:shd w:val="clear" w:fill="1B3A4B"/>
          </w:tcPr>
          <w:p>
            <w:pPr>
              <w:spacing w:before="40" w:after="40"/>
            </w:pPr>
            <w:r>
              <w:rPr>
                <w:b/>
                <w:color w:val="FFFFFF"/>
                <w:sz w:val="18"/>
              </w:rPr>
              <w:t>Sustainability</w:t>
            </w:r>
          </w:p>
        </w:tc>
        <w:tc>
          <w:tcPr>
            <w:tcW w:w="2000" w:type="dxa"/>
            <w:shd w:val="clear" w:fill="1B3A4B"/>
          </w:tcPr>
          <w:p>
            <w:pPr>
              <w:spacing w:before="40" w:after="40"/>
            </w:pPr>
            <w:r>
              <w:rPr>
                <w:b/>
                <w:color w:val="FFFFFF"/>
                <w:sz w:val="18"/>
              </w:rPr>
              <w:t>Build Status</w:t>
            </w:r>
          </w:p>
        </w:tc>
      </w:tr>
      <w:tr>
        <w:tc>
          <w:tcPr>
            <w:tcW w:w="2000" w:type="dxa"/>
          </w:tcPr>
          <w:p>
            <w:pPr>
              <w:spacing w:before="40" w:after="40"/>
            </w:pPr>
            <w:r>
              <w:rPr>
                <w:color w:val="4A5568"/>
                <w:sz w:val="18"/>
              </w:rPr>
              <w:t>Data Flywheel</w:t>
            </w:r>
          </w:p>
        </w:tc>
        <w:tc>
          <w:tcPr>
            <w:tcW w:w="2000" w:type="dxa"/>
          </w:tcPr>
          <w:p>
            <w:pPr>
              <w:spacing w:before="40" w:after="40"/>
            </w:pPr>
            <w:r>
              <w:rPr>
                <w:color w:val="4A5568"/>
                <w:sz w:val="18"/>
              </w:rPr>
              <w:t>Very High -- each verification compounds AI accuracy</w:t>
            </w:r>
          </w:p>
        </w:tc>
        <w:tc>
          <w:tcPr>
            <w:tcW w:w="2000" w:type="dxa"/>
          </w:tcPr>
          <w:p>
            <w:pPr>
              <w:spacing w:before="40" w:after="40"/>
            </w:pPr>
            <w:r>
              <w:rPr>
                <w:color w:val="4A5568"/>
                <w:sz w:val="18"/>
              </w:rPr>
              <w:t>Very Strong -- network effects grow exponentially</w:t>
            </w:r>
          </w:p>
        </w:tc>
        <w:tc>
          <w:tcPr>
            <w:tcW w:w="2000" w:type="dxa"/>
          </w:tcPr>
          <w:p>
            <w:pPr>
              <w:spacing w:before="40" w:after="40"/>
            </w:pPr>
            <w:r>
              <w:rPr>
                <w:color w:val="4A5568"/>
                <w:sz w:val="18"/>
              </w:rPr>
              <w:t>Active</w:t>
            </w:r>
          </w:p>
        </w:tc>
      </w:tr>
      <w:tr>
        <w:tc>
          <w:tcPr>
            <w:tcW w:w="2000" w:type="dxa"/>
          </w:tcPr>
          <w:p>
            <w:pPr>
              <w:spacing w:before="40" w:after="40"/>
            </w:pPr>
            <w:r>
              <w:rPr>
                <w:color w:val="4A5568"/>
                <w:sz w:val="18"/>
              </w:rPr>
              <w:t>Integration Depth</w:t>
            </w:r>
          </w:p>
        </w:tc>
        <w:tc>
          <w:tcPr>
            <w:tcW w:w="2000" w:type="dxa"/>
          </w:tcPr>
          <w:p>
            <w:pPr>
              <w:spacing w:before="40" w:after="40"/>
            </w:pPr>
            <w:r>
              <w:rPr>
                <w:color w:val="4A5568"/>
                <w:sz w:val="18"/>
              </w:rPr>
              <w:t>High -- unified workflow creates high switching costs</w:t>
            </w:r>
          </w:p>
        </w:tc>
        <w:tc>
          <w:tcPr>
            <w:tcW w:w="2000" w:type="dxa"/>
          </w:tcPr>
          <w:p>
            <w:pPr>
              <w:spacing w:before="40" w:after="40"/>
            </w:pPr>
            <w:r>
              <w:rPr>
                <w:color w:val="4A5568"/>
                <w:sz w:val="18"/>
              </w:rPr>
              <w:t>Strong -- each integration deepens lock-in</w:t>
            </w:r>
          </w:p>
        </w:tc>
        <w:tc>
          <w:tcPr>
            <w:tcW w:w="2000" w:type="dxa"/>
          </w:tcPr>
          <w:p>
            <w:pPr>
              <w:spacing w:before="40" w:after="40"/>
            </w:pPr>
            <w:r>
              <w:rPr>
                <w:color w:val="4A5568"/>
                <w:sz w:val="18"/>
              </w:rPr>
              <w:t>Active</w:t>
            </w:r>
          </w:p>
        </w:tc>
      </w:tr>
      <w:tr>
        <w:tc>
          <w:tcPr>
            <w:tcW w:w="2000" w:type="dxa"/>
          </w:tcPr>
          <w:p>
            <w:pPr>
              <w:spacing w:before="40" w:after="40"/>
            </w:pPr>
            <w:r>
              <w:rPr>
                <w:color w:val="4A5568"/>
                <w:sz w:val="18"/>
              </w:rPr>
              <w:t>Neuromorphic Technology Stack</w:t>
            </w:r>
          </w:p>
        </w:tc>
        <w:tc>
          <w:tcPr>
            <w:tcW w:w="2000" w:type="dxa"/>
          </w:tcPr>
          <w:p>
            <w:pPr>
              <w:spacing w:before="40" w:after="40"/>
            </w:pPr>
            <w:r>
              <w:rPr>
                <w:color w:val="4A5568"/>
                <w:sz w:val="18"/>
              </w:rPr>
              <w:t>High -- MASTERNEX.os is a 2-3 year architectural lead</w:t>
            </w:r>
          </w:p>
        </w:tc>
        <w:tc>
          <w:tcPr>
            <w:tcW w:w="2000" w:type="dxa"/>
          </w:tcPr>
          <w:p>
            <w:pPr>
              <w:spacing w:before="40" w:after="40"/>
            </w:pPr>
            <w:r>
              <w:rPr>
                <w:color w:val="4A5568"/>
                <w:sz w:val="18"/>
              </w:rPr>
              <w:t>Strong -- SNN expertise is scarce</w:t>
            </w:r>
          </w:p>
        </w:tc>
        <w:tc>
          <w:tcPr>
            <w:tcW w:w="2000" w:type="dxa"/>
          </w:tcPr>
          <w:p>
            <w:pPr>
              <w:spacing w:before="40" w:after="40"/>
            </w:pPr>
            <w:r>
              <w:rPr>
                <w:color w:val="4A5568"/>
                <w:sz w:val="18"/>
              </w:rPr>
              <w:t>Active</w:t>
            </w:r>
          </w:p>
        </w:tc>
      </w:tr>
      <w:tr>
        <w:tc>
          <w:tcPr>
            <w:tcW w:w="2000" w:type="dxa"/>
          </w:tcPr>
          <w:p>
            <w:pPr>
              <w:spacing w:before="40" w:after="40"/>
            </w:pPr>
            <w:r>
              <w:rPr>
                <w:color w:val="4A5568"/>
                <w:sz w:val="18"/>
              </w:rPr>
              <w:t>Gig Verification Network</w:t>
            </w:r>
          </w:p>
        </w:tc>
        <w:tc>
          <w:tcPr>
            <w:tcW w:w="2000" w:type="dxa"/>
          </w:tcPr>
          <w:p>
            <w:pPr>
              <w:spacing w:before="40" w:after="40"/>
            </w:pPr>
            <w:r>
              <w:rPr>
                <w:color w:val="4A5568"/>
                <w:sz w:val="18"/>
              </w:rPr>
              <w:t>Medium -- growing VIVELLA Verified verifier base</w:t>
            </w:r>
          </w:p>
        </w:tc>
        <w:tc>
          <w:tcPr>
            <w:tcW w:w="2000" w:type="dxa"/>
          </w:tcPr>
          <w:p>
            <w:pPr>
              <w:spacing w:before="40" w:after="40"/>
            </w:pPr>
            <w:r>
              <w:rPr>
                <w:color w:val="4A5568"/>
                <w:sz w:val="18"/>
              </w:rPr>
              <w:t>Moderate -- replicable with capital</w:t>
            </w:r>
          </w:p>
        </w:tc>
        <w:tc>
          <w:tcPr>
            <w:tcW w:w="2000" w:type="dxa"/>
          </w:tcPr>
          <w:p>
            <w:pPr>
              <w:spacing w:before="40" w:after="40"/>
            </w:pPr>
            <w:r>
              <w:rPr>
                <w:color w:val="4A5568"/>
                <w:sz w:val="18"/>
              </w:rPr>
              <w:t>Scaling</w:t>
            </w:r>
          </w:p>
        </w:tc>
      </w:tr>
      <w:tr>
        <w:tc>
          <w:tcPr>
            <w:tcW w:w="2000" w:type="dxa"/>
          </w:tcPr>
          <w:p>
            <w:pPr>
              <w:spacing w:before="40" w:after="40"/>
            </w:pPr>
            <w:r>
              <w:rPr>
                <w:color w:val="4A5568"/>
                <w:sz w:val="18"/>
              </w:rPr>
              <w:t>Patent Portfolio</w:t>
            </w:r>
          </w:p>
        </w:tc>
        <w:tc>
          <w:tcPr>
            <w:tcW w:w="2000" w:type="dxa"/>
          </w:tcPr>
          <w:p>
            <w:pPr>
              <w:spacing w:before="40" w:after="40"/>
            </w:pPr>
            <w:r>
              <w:rPr>
                <w:color w:val="4A5568"/>
                <w:sz w:val="18"/>
              </w:rPr>
              <w:t>High -- 21+ filings across three tranches</w:t>
            </w:r>
          </w:p>
        </w:tc>
        <w:tc>
          <w:tcPr>
            <w:tcW w:w="2000" w:type="dxa"/>
          </w:tcPr>
          <w:p>
            <w:pPr>
              <w:spacing w:before="40" w:after="40"/>
            </w:pPr>
            <w:r>
              <w:rPr>
                <w:color w:val="4A5568"/>
                <w:sz w:val="18"/>
              </w:rPr>
              <w:t>Very Strong -- first-mover IP protection</w:t>
            </w:r>
          </w:p>
        </w:tc>
        <w:tc>
          <w:tcPr>
            <w:tcW w:w="2000" w:type="dxa"/>
          </w:tcPr>
          <w:p>
            <w:pPr>
              <w:spacing w:before="40" w:after="40"/>
            </w:pPr>
            <w:r>
              <w:rPr>
                <w:color w:val="4A5568"/>
                <w:sz w:val="18"/>
              </w:rPr>
              <w:t>Filing pipeline active</w:t>
            </w:r>
          </w:p>
        </w:tc>
      </w:tr>
      <w:tr>
        <w:tc>
          <w:tcPr>
            <w:tcW w:w="2000" w:type="dxa"/>
          </w:tcPr>
          <w:p>
            <w:pPr>
              <w:spacing w:before="40" w:after="40"/>
            </w:pPr>
            <w:r>
              <w:rPr>
                <w:color w:val="4A5568"/>
                <w:sz w:val="18"/>
              </w:rPr>
              <w:t>Brand / Civic Identity</w:t>
            </w:r>
          </w:p>
        </w:tc>
        <w:tc>
          <w:tcPr>
            <w:tcW w:w="2000" w:type="dxa"/>
          </w:tcPr>
          <w:p>
            <w:pPr>
              <w:spacing w:before="40" w:after="40"/>
            </w:pPr>
            <w:r>
              <w:rPr>
                <w:color w:val="4A5568"/>
                <w:sz w:val="18"/>
              </w:rPr>
              <w:t>Medium -- VIVELLA anti-extract philosophy</w:t>
            </w:r>
          </w:p>
        </w:tc>
        <w:tc>
          <w:tcPr>
            <w:tcW w:w="2000" w:type="dxa"/>
          </w:tcPr>
          <w:p>
            <w:pPr>
              <w:spacing w:before="40" w:after="40"/>
            </w:pPr>
            <w:r>
              <w:rPr>
                <w:color w:val="4A5568"/>
                <w:sz w:val="18"/>
              </w:rPr>
              <w:t>Long-term -- values-based moat compounds</w:t>
            </w:r>
          </w:p>
        </w:tc>
        <w:tc>
          <w:tcPr>
            <w:tcW w:w="2000" w:type="dxa"/>
          </w:tcPr>
          <w:p>
            <w:pPr>
              <w:spacing w:before="40" w:after="40"/>
            </w:pPr>
            <w:r>
              <w:rPr>
                <w:color w:val="4A5568"/>
                <w:sz w:val="18"/>
              </w:rPr>
              <w:t>Building</w:t>
            </w:r>
          </w:p>
        </w:tc>
      </w:tr>
    </w:tbl>
    <w:p>
      <w:pPr>
        <w:spacing w:before="120" w:after="120"/>
      </w:pPr>
    </w:p>
    <w:p>
      <w:pPr>
        <w:pStyle w:val="Heading1"/>
      </w:pPr>
      <w:r>
        <w:t>CHAPTER 04: Go-to-Market Omnibus</w:t>
      </w:r>
      <w:bookmarkStart w:name="_H5" w:id="5"/>
      <w:bookmarkEnd w:id="5"/>
    </w:p>
    <w:p>
      <w:r>
        <w:t>VIVELLA Property Intelligence employs a hybrid product-led and sales-led growth motion, modulated by vertical. SMB contractors enter through a freemium/PLG funnel; mid-market enterprises enter through hybrid inbound + SDR motion; enterprise and institutional buyers are served through dedicated AE relationships and solution engineering.</w:t>
      </w:r>
    </w:p>
    <w:p>
      <w:pPr>
        <w:pStyle w:val="Heading2"/>
      </w:pPr>
      <w:r>
        <w:t>Revenue Architecture -- Multi-Stream Model</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tblGrid>
      <w:tr>
        <w:trPr>
          <w:tblHeader/>
        </w:trPr>
        <w:tc>
          <w:tcPr>
            <w:tcW w:w="2000" w:type="dxa"/>
            <w:shd w:val="clear" w:fill="1B3A4B"/>
          </w:tcPr>
          <w:p>
            <w:pPr>
              <w:spacing w:before="40" w:after="40"/>
            </w:pPr>
            <w:r>
              <w:rPr>
                <w:b/>
                <w:color w:val="FFFFFF"/>
                <w:sz w:val="18"/>
              </w:rPr>
              <w:t>Stream</w:t>
            </w:r>
          </w:p>
        </w:tc>
        <w:tc>
          <w:tcPr>
            <w:tcW w:w="2000" w:type="dxa"/>
            <w:shd w:val="clear" w:fill="1B3A4B"/>
          </w:tcPr>
          <w:p>
            <w:pPr>
              <w:spacing w:before="40" w:after="40"/>
            </w:pPr>
            <w:r>
              <w:rPr>
                <w:b/>
                <w:color w:val="FFFFFF"/>
                <w:sz w:val="18"/>
              </w:rPr>
              <w:t>Model</w:t>
            </w:r>
          </w:p>
        </w:tc>
        <w:tc>
          <w:tcPr>
            <w:tcW w:w="2000" w:type="dxa"/>
            <w:shd w:val="clear" w:fill="1B3A4B"/>
          </w:tcPr>
          <w:p>
            <w:pPr>
              <w:spacing w:before="40" w:after="40"/>
            </w:pPr>
            <w:r>
              <w:rPr>
                <w:b/>
                <w:color w:val="FFFFFF"/>
                <w:sz w:val="18"/>
              </w:rPr>
              <w:t>Year 1 Target</w:t>
            </w:r>
          </w:p>
        </w:tc>
        <w:tc>
          <w:tcPr>
            <w:tcW w:w="2000" w:type="dxa"/>
            <w:shd w:val="clear" w:fill="1B3A4B"/>
          </w:tcPr>
          <w:p>
            <w:pPr>
              <w:spacing w:before="40" w:after="40"/>
            </w:pPr>
            <w:r>
              <w:rPr>
                <w:b/>
                <w:color w:val="FFFFFF"/>
                <w:sz w:val="18"/>
              </w:rPr>
              <w:t>Year 5 Target</w:t>
            </w:r>
          </w:p>
        </w:tc>
        <w:tc>
          <w:tcPr>
            <w:tcW w:w="2000" w:type="dxa"/>
            <w:shd w:val="clear" w:fill="1B3A4B"/>
          </w:tcPr>
          <w:p>
            <w:pPr>
              <w:spacing w:before="40" w:after="40"/>
            </w:pPr>
            <w:r>
              <w:rPr>
                <w:b/>
                <w:color w:val="FFFFFF"/>
                <w:sz w:val="18"/>
              </w:rPr>
              <w:t>Key Driver</w:t>
            </w:r>
          </w:p>
        </w:tc>
      </w:tr>
      <w:tr>
        <w:tc>
          <w:tcPr>
            <w:tcW w:w="2000" w:type="dxa"/>
          </w:tcPr>
          <w:p>
            <w:pPr>
              <w:spacing w:before="40" w:after="40"/>
            </w:pPr>
            <w:r>
              <w:rPr>
                <w:color w:val="4A5568"/>
                <w:sz w:val="18"/>
              </w:rPr>
              <w:t>SaaS Subscriptions</w:t>
            </w:r>
          </w:p>
        </w:tc>
        <w:tc>
          <w:tcPr>
            <w:tcW w:w="2000" w:type="dxa"/>
          </w:tcPr>
          <w:p>
            <w:pPr>
              <w:spacing w:before="40" w:after="40"/>
            </w:pPr>
            <w:r>
              <w:rPr>
                <w:color w:val="4A5568"/>
                <w:sz w:val="18"/>
              </w:rPr>
              <w:t>Tiered monthly recurring revenue</w:t>
            </w:r>
          </w:p>
        </w:tc>
        <w:tc>
          <w:tcPr>
            <w:tcW w:w="2000" w:type="dxa"/>
          </w:tcPr>
          <w:p>
            <w:pPr>
              <w:spacing w:before="40" w:after="40"/>
            </w:pPr>
            <w:r>
              <w:rPr>
                <w:color w:val="4A5568"/>
                <w:sz w:val="18"/>
              </w:rPr>
              <w:t>$400K</w:t>
            </w:r>
          </w:p>
        </w:tc>
        <w:tc>
          <w:tcPr>
            <w:tcW w:w="2000" w:type="dxa"/>
          </w:tcPr>
          <w:p>
            <w:pPr>
              <w:spacing w:before="40" w:after="40"/>
            </w:pPr>
            <w:r>
              <w:rPr>
                <w:color w:val="4A5568"/>
                <w:sz w:val="18"/>
              </w:rPr>
              <w:t>$25M</w:t>
            </w:r>
          </w:p>
        </w:tc>
        <w:tc>
          <w:tcPr>
            <w:tcW w:w="2000" w:type="dxa"/>
          </w:tcPr>
          <w:p>
            <w:pPr>
              <w:spacing w:before="40" w:after="40"/>
            </w:pPr>
            <w:r>
              <w:rPr>
                <w:color w:val="4A5568"/>
                <w:sz w:val="18"/>
              </w:rPr>
              <w:t>Guard: Recon + Probate + Real Estate editions</w:t>
            </w:r>
          </w:p>
        </w:tc>
      </w:tr>
      <w:tr>
        <w:tc>
          <w:tcPr>
            <w:tcW w:w="2000" w:type="dxa"/>
          </w:tcPr>
          <w:p>
            <w:pPr>
              <w:spacing w:before="40" w:after="40"/>
            </w:pPr>
            <w:r>
              <w:rPr>
                <w:color w:val="4A5568"/>
                <w:sz w:val="18"/>
              </w:rPr>
              <w:t>Per-Lead / Transaction Fees</w:t>
            </w:r>
          </w:p>
        </w:tc>
        <w:tc>
          <w:tcPr>
            <w:tcW w:w="2000" w:type="dxa"/>
          </w:tcPr>
          <w:p>
            <w:pPr>
              <w:spacing w:before="40" w:after="40"/>
            </w:pPr>
            <w:r>
              <w:rPr>
                <w:color w:val="4A5568"/>
                <w:sz w:val="18"/>
              </w:rPr>
              <w:t>DPS-weighted per-qualified-lead pricing</w:t>
            </w:r>
          </w:p>
        </w:tc>
        <w:tc>
          <w:tcPr>
            <w:tcW w:w="2000" w:type="dxa"/>
          </w:tcPr>
          <w:p>
            <w:pPr>
              <w:spacing w:before="40" w:after="40"/>
            </w:pPr>
            <w:r>
              <w:rPr>
                <w:color w:val="4A5568"/>
                <w:sz w:val="18"/>
              </w:rPr>
              <w:t>$100K</w:t>
            </w:r>
          </w:p>
        </w:tc>
        <w:tc>
          <w:tcPr>
            <w:tcW w:w="2000" w:type="dxa"/>
          </w:tcPr>
          <w:p>
            <w:pPr>
              <w:spacing w:before="40" w:after="40"/>
            </w:pPr>
            <w:r>
              <w:rPr>
                <w:color w:val="4A5568"/>
                <w:sz w:val="18"/>
              </w:rPr>
              <w:t>$10M</w:t>
            </w:r>
          </w:p>
        </w:tc>
        <w:tc>
          <w:tcPr>
            <w:tcW w:w="2000" w:type="dxa"/>
          </w:tcPr>
          <w:p>
            <w:pPr>
              <w:spacing w:before="40" w:after="40"/>
            </w:pPr>
            <w:r>
              <w:rPr>
                <w:color w:val="4A5568"/>
                <w:sz w:val="18"/>
              </w:rPr>
              <w:t>High-confidence leads at premium</w:t>
            </w:r>
          </w:p>
        </w:tc>
      </w:tr>
      <w:tr>
        <w:tc>
          <w:tcPr>
            <w:tcW w:w="2000" w:type="dxa"/>
          </w:tcPr>
          <w:p>
            <w:pPr>
              <w:spacing w:before="40" w:after="40"/>
            </w:pPr>
            <w:r>
              <w:rPr>
                <w:color w:val="4A5568"/>
                <w:sz w:val="18"/>
              </w:rPr>
              <w:t>Data Monetization</w:t>
            </w:r>
          </w:p>
        </w:tc>
        <w:tc>
          <w:tcPr>
            <w:tcW w:w="2000" w:type="dxa"/>
          </w:tcPr>
          <w:p>
            <w:pPr>
              <w:spacing w:before="40" w:after="40"/>
            </w:pPr>
            <w:r>
              <w:rPr>
                <w:color w:val="4A5568"/>
                <w:sz w:val="18"/>
              </w:rPr>
              <w:t>Anonymized trends, storm intelligence, risk scoring APIs</w:t>
            </w:r>
          </w:p>
        </w:tc>
        <w:tc>
          <w:tcPr>
            <w:tcW w:w="2000" w:type="dxa"/>
          </w:tcPr>
          <w:p>
            <w:pPr>
              <w:spacing w:before="40" w:after="40"/>
            </w:pPr>
            <w:r>
              <w:rPr>
                <w:color w:val="4A5568"/>
                <w:sz w:val="18"/>
              </w:rPr>
              <w:t>$50K</w:t>
            </w:r>
          </w:p>
        </w:tc>
        <w:tc>
          <w:tcPr>
            <w:tcW w:w="2000" w:type="dxa"/>
          </w:tcPr>
          <w:p>
            <w:pPr>
              <w:spacing w:before="40" w:after="40"/>
            </w:pPr>
            <w:r>
              <w:rPr>
                <w:color w:val="4A5568"/>
                <w:sz w:val="18"/>
              </w:rPr>
              <w:t>$5M</w:t>
            </w:r>
          </w:p>
        </w:tc>
        <w:tc>
          <w:tcPr>
            <w:tcW w:w="2000" w:type="dxa"/>
          </w:tcPr>
          <w:p>
            <w:pPr>
              <w:spacing w:before="40" w:after="40"/>
            </w:pPr>
            <w:r>
              <w:rPr>
                <w:color w:val="4A5568"/>
                <w:sz w:val="18"/>
              </w:rPr>
              <w:t>Institutional investors, carriers, municipalities</w:t>
            </w:r>
          </w:p>
        </w:tc>
      </w:tr>
      <w:tr>
        <w:tc>
          <w:tcPr>
            <w:tcW w:w="2000" w:type="dxa"/>
          </w:tcPr>
          <w:p>
            <w:pPr>
              <w:spacing w:before="40" w:after="40"/>
            </w:pPr>
            <w:r>
              <w:rPr>
                <w:color w:val="4A5568"/>
                <w:sz w:val="18"/>
              </w:rPr>
              <w:t>Service Marketplace Commissions</w:t>
            </w:r>
          </w:p>
        </w:tc>
        <w:tc>
          <w:tcPr>
            <w:tcW w:w="2000" w:type="dxa"/>
          </w:tcPr>
          <w:p>
            <w:pPr>
              <w:spacing w:before="40" w:after="40"/>
            </w:pPr>
            <w:r>
              <w:rPr>
                <w:color w:val="4A5568"/>
                <w:sz w:val="18"/>
              </w:rPr>
              <w:t>3-5% of contractor job value brokered</w:t>
            </w:r>
          </w:p>
        </w:tc>
        <w:tc>
          <w:tcPr>
            <w:tcW w:w="2000" w:type="dxa"/>
          </w:tcPr>
          <w:p>
            <w:pPr>
              <w:spacing w:before="40" w:after="40"/>
            </w:pPr>
            <w:r>
              <w:rPr>
                <w:color w:val="4A5568"/>
                <w:sz w:val="18"/>
              </w:rPr>
              <w:t>$50K</w:t>
            </w:r>
          </w:p>
        </w:tc>
        <w:tc>
          <w:tcPr>
            <w:tcW w:w="2000" w:type="dxa"/>
          </w:tcPr>
          <w:p>
            <w:pPr>
              <w:spacing w:before="40" w:after="40"/>
            </w:pPr>
            <w:r>
              <w:rPr>
                <w:color w:val="4A5568"/>
                <w:sz w:val="18"/>
              </w:rPr>
              <w:t>$8M</w:t>
            </w:r>
          </w:p>
        </w:tc>
        <w:tc>
          <w:tcPr>
            <w:tcW w:w="2000" w:type="dxa"/>
          </w:tcPr>
          <w:p>
            <w:pPr>
              <w:spacing w:before="40" w:after="40"/>
            </w:pPr>
            <w:r>
              <w:rPr>
                <w:color w:val="4A5568"/>
                <w:sz w:val="18"/>
              </w:rPr>
              <w:t>Contractor matching + supplier referrals</w:t>
            </w:r>
          </w:p>
        </w:tc>
      </w:tr>
      <w:tr>
        <w:tc>
          <w:tcPr>
            <w:tcW w:w="2000" w:type="dxa"/>
          </w:tcPr>
          <w:p>
            <w:pPr>
              <w:spacing w:before="40" w:after="40"/>
            </w:pPr>
            <w:r>
              <w:rPr>
                <w:color w:val="4A5568"/>
                <w:sz w:val="18"/>
              </w:rPr>
              <w:t>White-Label / API Licensing</w:t>
            </w:r>
          </w:p>
        </w:tc>
        <w:tc>
          <w:tcPr>
            <w:tcW w:w="2000" w:type="dxa"/>
          </w:tcPr>
          <w:p>
            <w:pPr>
              <w:spacing w:before="40" w:after="40"/>
            </w:pPr>
            <w:r>
              <w:rPr>
                <w:color w:val="4A5568"/>
                <w:sz w:val="18"/>
              </w:rPr>
              <w:t>Platform licensing to manufacturers</w:t>
            </w:r>
          </w:p>
        </w:tc>
        <w:tc>
          <w:tcPr>
            <w:tcW w:w="2000" w:type="dxa"/>
          </w:tcPr>
          <w:p>
            <w:pPr>
              <w:spacing w:before="40" w:after="40"/>
            </w:pPr>
            <w:r>
              <w:rPr>
                <w:color w:val="4A5568"/>
                <w:sz w:val="18"/>
              </w:rPr>
              <w:t>--</w:t>
            </w:r>
          </w:p>
        </w:tc>
        <w:tc>
          <w:tcPr>
            <w:tcW w:w="2000" w:type="dxa"/>
          </w:tcPr>
          <w:p>
            <w:pPr>
              <w:spacing w:before="40" w:after="40"/>
            </w:pPr>
            <w:r>
              <w:rPr>
                <w:color w:val="4A5568"/>
                <w:sz w:val="18"/>
              </w:rPr>
              <w:t>$3M+</w:t>
            </w:r>
          </w:p>
        </w:tc>
        <w:tc>
          <w:tcPr>
            <w:tcW w:w="2000" w:type="dxa"/>
          </w:tcPr>
          <w:p>
            <w:pPr>
              <w:spacing w:before="40" w:after="40"/>
            </w:pPr>
            <w:r>
              <w:rPr>
                <w:color w:val="4A5568"/>
                <w:sz w:val="18"/>
              </w:rPr>
              <w:t>Andersen Windows, GAF Roofing, carriers</w:t>
            </w:r>
          </w:p>
        </w:tc>
      </w:tr>
      <w:tr>
        <w:tc>
          <w:tcPr>
            <w:tcW w:w="2000" w:type="dxa"/>
          </w:tcPr>
          <w:p>
            <w:pPr>
              <w:spacing w:before="40" w:after="40"/>
            </w:pPr>
            <w:r>
              <w:rPr>
                <w:color w:val="4A5568"/>
                <w:sz w:val="18"/>
              </w:rPr>
              <w:t>DTA Truth Credits</w:t>
            </w:r>
          </w:p>
        </w:tc>
        <w:tc>
          <w:tcPr>
            <w:tcW w:w="2000" w:type="dxa"/>
          </w:tcPr>
          <w:p>
            <w:pPr>
              <w:spacing w:before="40" w:after="40"/>
            </w:pPr>
            <w:r>
              <w:rPr>
                <w:color w:val="4A5568"/>
                <w:sz w:val="18"/>
              </w:rPr>
              <w:t>Closed-loop gig incentive system</w:t>
            </w:r>
          </w:p>
        </w:tc>
        <w:tc>
          <w:tcPr>
            <w:tcW w:w="2000" w:type="dxa"/>
          </w:tcPr>
          <w:p>
            <w:pPr>
              <w:spacing w:before="40" w:after="40"/>
            </w:pPr>
            <w:r>
              <w:rPr>
                <w:color w:val="4A5568"/>
                <w:sz w:val="18"/>
              </w:rPr>
              <w:t>Beta</w:t>
            </w:r>
          </w:p>
        </w:tc>
        <w:tc>
          <w:tcPr>
            <w:tcW w:w="2000" w:type="dxa"/>
          </w:tcPr>
          <w:p>
            <w:pPr>
              <w:spacing w:before="40" w:after="40"/>
            </w:pPr>
            <w:r>
              <w:rPr>
                <w:color w:val="4A5568"/>
                <w:sz w:val="18"/>
              </w:rPr>
              <w:t>Ecosystem-wide</w:t>
            </w:r>
          </w:p>
        </w:tc>
        <w:tc>
          <w:tcPr>
            <w:tcW w:w="2000" w:type="dxa"/>
          </w:tcPr>
          <w:p>
            <w:pPr>
              <w:spacing w:before="40" w:after="40"/>
            </w:pPr>
            <w:r>
              <w:rPr>
                <w:color w:val="4A5568"/>
                <w:sz w:val="18"/>
              </w:rPr>
              <w:t>Gig worker payment, data contribution rewards</w:t>
            </w:r>
          </w:p>
        </w:tc>
      </w:tr>
    </w:tbl>
    <w:p>
      <w:pPr>
        <w:spacing w:before="120" w:after="120"/>
      </w:pPr>
    </w:p>
    <w:p>
      <w:pPr>
        <w:pStyle w:val="Heading2"/>
      </w:pPr>
      <w:r>
        <w:t>SaaS Tier Architecture -- VIVELLA Guard</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Tier</w:t>
            </w:r>
          </w:p>
        </w:tc>
        <w:tc>
          <w:tcPr>
            <w:tcW w:w="2000" w:type="dxa"/>
            <w:shd w:val="clear" w:fill="1B3A4B"/>
          </w:tcPr>
          <w:p>
            <w:pPr>
              <w:spacing w:before="40" w:after="40"/>
            </w:pPr>
            <w:r>
              <w:rPr>
                <w:b/>
                <w:color w:val="FFFFFF"/>
                <w:sz w:val="18"/>
              </w:rPr>
              <w:t>Monthly Price</w:t>
            </w:r>
          </w:p>
        </w:tc>
        <w:tc>
          <w:tcPr>
            <w:tcW w:w="2000" w:type="dxa"/>
            <w:shd w:val="clear" w:fill="1B3A4B"/>
          </w:tcPr>
          <w:p>
            <w:pPr>
              <w:spacing w:before="40" w:after="40"/>
            </w:pPr>
            <w:r>
              <w:rPr>
                <w:b/>
                <w:color w:val="FFFFFF"/>
                <w:sz w:val="18"/>
              </w:rPr>
              <w:t>Target Segment</w:t>
            </w:r>
          </w:p>
        </w:tc>
        <w:tc>
          <w:tcPr>
            <w:tcW w:w="2000" w:type="dxa"/>
            <w:shd w:val="clear" w:fill="1B3A4B"/>
          </w:tcPr>
          <w:p>
            <w:pPr>
              <w:spacing w:before="40" w:after="40"/>
            </w:pPr>
            <w:r>
              <w:rPr>
                <w:b/>
                <w:color w:val="FFFFFF"/>
                <w:sz w:val="18"/>
              </w:rPr>
              <w:t>Core Inclusions</w:t>
            </w:r>
          </w:p>
        </w:tc>
      </w:tr>
      <w:tr>
        <w:tc>
          <w:tcPr>
            <w:tcW w:w="2000" w:type="dxa"/>
          </w:tcPr>
          <w:p>
            <w:pPr>
              <w:spacing w:before="40" w:after="40"/>
            </w:pPr>
            <w:r>
              <w:rPr>
                <w:color w:val="4A5568"/>
                <w:sz w:val="18"/>
              </w:rPr>
              <w:t>Starter / Local Pro</w:t>
            </w:r>
          </w:p>
        </w:tc>
        <w:tc>
          <w:tcPr>
            <w:tcW w:w="2000" w:type="dxa"/>
          </w:tcPr>
          <w:p>
            <w:pPr>
              <w:spacing w:before="40" w:after="40"/>
            </w:pPr>
            <w:r>
              <w:rPr>
                <w:color w:val="4A5568"/>
                <w:sz w:val="18"/>
              </w:rPr>
              <w:t>$500-$2,000</w:t>
            </w:r>
          </w:p>
        </w:tc>
        <w:tc>
          <w:tcPr>
            <w:tcW w:w="2000" w:type="dxa"/>
          </w:tcPr>
          <w:p>
            <w:pPr>
              <w:spacing w:before="40" w:after="40"/>
            </w:pPr>
            <w:r>
              <w:rPr>
                <w:color w:val="4A5568"/>
                <w:sz w:val="18"/>
              </w:rPr>
              <w:t>Individual contractors, small businesses</w:t>
            </w:r>
          </w:p>
        </w:tc>
        <w:tc>
          <w:tcPr>
            <w:tcW w:w="2000" w:type="dxa"/>
          </w:tcPr>
          <w:p>
            <w:pPr>
              <w:spacing w:before="40" w:after="40"/>
            </w:pPr>
            <w:r>
              <w:rPr>
                <w:color w:val="4A5568"/>
                <w:sz w:val="18"/>
              </w:rPr>
              <w:t>Limited addresses/month, basic storm reporting, core DPS visualization</w:t>
            </w:r>
          </w:p>
        </w:tc>
      </w:tr>
      <w:tr>
        <w:tc>
          <w:tcPr>
            <w:tcW w:w="2000" w:type="dxa"/>
          </w:tcPr>
          <w:p>
            <w:pPr>
              <w:spacing w:before="40" w:after="40"/>
            </w:pPr>
            <w:r>
              <w:rPr>
                <w:color w:val="4A5568"/>
                <w:sz w:val="18"/>
              </w:rPr>
              <w:t>Growth / Regional Power</w:t>
            </w:r>
          </w:p>
        </w:tc>
        <w:tc>
          <w:tcPr>
            <w:tcW w:w="2000" w:type="dxa"/>
          </w:tcPr>
          <w:p>
            <w:pPr>
              <w:spacing w:before="40" w:after="40"/>
            </w:pPr>
            <w:r>
              <w:rPr>
                <w:color w:val="4A5568"/>
                <w:sz w:val="18"/>
              </w:rPr>
              <w:t>$2,000-$10,000</w:t>
            </w:r>
          </w:p>
        </w:tc>
        <w:tc>
          <w:tcPr>
            <w:tcW w:w="2000" w:type="dxa"/>
          </w:tcPr>
          <w:p>
            <w:pPr>
              <w:spacing w:before="40" w:after="40"/>
            </w:pPr>
            <w:r>
              <w:rPr>
                <w:color w:val="4A5568"/>
                <w:sz w:val="18"/>
              </w:rPr>
              <w:t>Mid-size restoration, regional operators</w:t>
            </w:r>
          </w:p>
        </w:tc>
        <w:tc>
          <w:tcPr>
            <w:tcW w:w="2000" w:type="dxa"/>
          </w:tcPr>
          <w:p>
            <w:pPr>
              <w:spacing w:before="40" w:after="40"/>
            </w:pPr>
            <w:r>
              <w:rPr>
                <w:color w:val="4A5568"/>
                <w:sz w:val="18"/>
              </w:rPr>
              <w:t>Increased capacity, advanced analytics, Apex Insight CRM, multi-user</w:t>
            </w:r>
          </w:p>
        </w:tc>
      </w:tr>
      <w:tr>
        <w:tc>
          <w:tcPr>
            <w:tcW w:w="2000" w:type="dxa"/>
          </w:tcPr>
          <w:p>
            <w:pPr>
              <w:spacing w:before="40" w:after="40"/>
            </w:pPr>
            <w:r>
              <w:rPr>
                <w:color w:val="4A5568"/>
                <w:sz w:val="18"/>
              </w:rPr>
              <w:t>Enterprise / National Leader</w:t>
            </w:r>
          </w:p>
        </w:tc>
        <w:tc>
          <w:tcPr>
            <w:tcW w:w="2000" w:type="dxa"/>
          </w:tcPr>
          <w:p>
            <w:pPr>
              <w:spacing w:before="40" w:after="40"/>
            </w:pPr>
            <w:r>
              <w:rPr>
                <w:color w:val="4A5568"/>
                <w:sz w:val="18"/>
              </w:rPr>
              <w:t>$10,000-$50,000</w:t>
            </w:r>
          </w:p>
        </w:tc>
        <w:tc>
          <w:tcPr>
            <w:tcW w:w="2000" w:type="dxa"/>
          </w:tcPr>
          <w:p>
            <w:pPr>
              <w:spacing w:before="40" w:after="40"/>
            </w:pPr>
            <w:r>
              <w:rPr>
                <w:color w:val="4A5568"/>
                <w:sz w:val="18"/>
              </w:rPr>
              <w:t>National contractors, carriers, institutional</w:t>
            </w:r>
          </w:p>
        </w:tc>
        <w:tc>
          <w:tcPr>
            <w:tcW w:w="2000" w:type="dxa"/>
          </w:tcPr>
          <w:p>
            <w:pPr>
              <w:spacing w:before="40" w:after="40"/>
            </w:pPr>
            <w:r>
              <w:rPr>
                <w:color w:val="4A5568"/>
                <w:sz w:val="18"/>
              </w:rPr>
              <w:t>Unlimited usage, custom integrations, white-label, dedicated CSM</w:t>
            </w:r>
          </w:p>
        </w:tc>
      </w:tr>
      <w:tr>
        <w:tc>
          <w:tcPr>
            <w:tcW w:w="2000" w:type="dxa"/>
          </w:tcPr>
          <w:p>
            <w:pPr>
              <w:spacing w:before="40" w:after="40"/>
            </w:pPr>
            <w:r>
              <w:rPr>
                <w:color w:val="4A5568"/>
                <w:sz w:val="18"/>
              </w:rPr>
              <w:t>Probate Edition</w:t>
            </w:r>
          </w:p>
        </w:tc>
        <w:tc>
          <w:tcPr>
            <w:tcW w:w="2000" w:type="dxa"/>
          </w:tcPr>
          <w:p>
            <w:pPr>
              <w:spacing w:before="40" w:after="40"/>
            </w:pPr>
            <w:r>
              <w:rPr>
                <w:color w:val="4A5568"/>
                <w:sz w:val="18"/>
              </w:rPr>
              <w:t>$2,500-$12,000</w:t>
            </w:r>
          </w:p>
        </w:tc>
        <w:tc>
          <w:tcPr>
            <w:tcW w:w="2000" w:type="dxa"/>
          </w:tcPr>
          <w:p>
            <w:pPr>
              <w:spacing w:before="40" w:after="40"/>
            </w:pPr>
            <w:r>
              <w:rPr>
                <w:color w:val="4A5568"/>
                <w:sz w:val="18"/>
              </w:rPr>
              <w:t>Estate law firms, professional fiduciaries</w:t>
            </w:r>
          </w:p>
        </w:tc>
        <w:tc>
          <w:tcPr>
            <w:tcW w:w="2000" w:type="dxa"/>
          </w:tcPr>
          <w:p>
            <w:pPr>
              <w:spacing w:before="40" w:after="40"/>
            </w:pPr>
            <w:r>
              <w:rPr>
                <w:color w:val="4A5568"/>
                <w:sz w:val="18"/>
              </w:rPr>
              <w:t>Heir ID AI, will parsing, AVM, blockchain audit, multi-stakeholder portal</w:t>
            </w:r>
          </w:p>
        </w:tc>
      </w:tr>
      <w:tr>
        <w:tc>
          <w:tcPr>
            <w:tcW w:w="2000" w:type="dxa"/>
          </w:tcPr>
          <w:p>
            <w:pPr>
              <w:spacing w:before="40" w:after="40"/>
            </w:pPr>
            <w:r>
              <w:rPr>
                <w:color w:val="4A5568"/>
                <w:sz w:val="18"/>
              </w:rPr>
              <w:t>Insurance Edition</w:t>
            </w:r>
          </w:p>
        </w:tc>
        <w:tc>
          <w:tcPr>
            <w:tcW w:w="2000" w:type="dxa"/>
          </w:tcPr>
          <w:p>
            <w:pPr>
              <w:spacing w:before="40" w:after="40"/>
            </w:pPr>
            <w:r>
              <w:rPr>
                <w:color w:val="4A5568"/>
                <w:sz w:val="18"/>
              </w:rPr>
              <w:t>$4,000-$20,000</w:t>
            </w:r>
          </w:p>
        </w:tc>
        <w:tc>
          <w:tcPr>
            <w:tcW w:w="2000" w:type="dxa"/>
          </w:tcPr>
          <w:p>
            <w:pPr>
              <w:spacing w:before="40" w:after="40"/>
            </w:pPr>
            <w:r>
              <w:rPr>
                <w:color w:val="4A5568"/>
                <w:sz w:val="18"/>
              </w:rPr>
              <w:t>Insurance carriers, claims departments</w:t>
            </w:r>
          </w:p>
        </w:tc>
        <w:tc>
          <w:tcPr>
            <w:tcW w:w="2000" w:type="dxa"/>
          </w:tcPr>
          <w:p>
            <w:pPr>
              <w:spacing w:before="40" w:after="40"/>
            </w:pPr>
            <w:r>
              <w:rPr>
                <w:color w:val="4A5568"/>
                <w:sz w:val="18"/>
              </w:rPr>
              <w:t>Claims triage, fraud anomaly, FNOL automation, verification dispatch</w:t>
            </w:r>
          </w:p>
        </w:tc>
      </w:tr>
    </w:tbl>
    <w:p>
      <w:pPr>
        <w:spacing w:before="120" w:after="120"/>
      </w:pPr>
    </w:p>
    <w:p>
      <w:pPr>
        <w:pStyle w:val="Heading2"/>
      </w:pPr>
      <w:r>
        <w:t>Partnership Ecosystem Architecture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Tier</w:t>
            </w:r>
          </w:p>
        </w:tc>
        <w:tc>
          <w:tcPr>
            <w:tcW w:w="2000" w:type="dxa"/>
            <w:shd w:val="clear" w:fill="1B3A4B"/>
          </w:tcPr>
          <w:p>
            <w:pPr>
              <w:spacing w:before="40" w:after="40"/>
            </w:pPr>
            <w:r>
              <w:rPr>
                <w:b/>
                <w:color w:val="FFFFFF"/>
                <w:sz w:val="18"/>
              </w:rPr>
              <w:t>Partner Type</w:t>
            </w:r>
          </w:p>
        </w:tc>
        <w:tc>
          <w:tcPr>
            <w:tcW w:w="2000" w:type="dxa"/>
            <w:shd w:val="clear" w:fill="1B3A4B"/>
          </w:tcPr>
          <w:p>
            <w:pPr>
              <w:spacing w:before="40" w:after="40"/>
            </w:pPr>
            <w:r>
              <w:rPr>
                <w:b/>
                <w:color w:val="FFFFFF"/>
                <w:sz w:val="18"/>
              </w:rPr>
              <w:t>Examples</w:t>
            </w:r>
          </w:p>
        </w:tc>
        <w:tc>
          <w:tcPr>
            <w:tcW w:w="2000" w:type="dxa"/>
            <w:shd w:val="clear" w:fill="1B3A4B"/>
          </w:tcPr>
          <w:p>
            <w:pPr>
              <w:spacing w:before="40" w:after="40"/>
            </w:pPr>
            <w:r>
              <w:rPr>
                <w:b/>
                <w:color w:val="FFFFFF"/>
                <w:sz w:val="18"/>
              </w:rPr>
              <w:t>Revenue Model</w:t>
            </w:r>
          </w:p>
        </w:tc>
      </w:tr>
      <w:tr>
        <w:tc>
          <w:tcPr>
            <w:tcW w:w="2000" w:type="dxa"/>
          </w:tcPr>
          <w:p>
            <w:pPr>
              <w:spacing w:before="40" w:after="40"/>
            </w:pPr>
            <w:r>
              <w:rPr>
                <w:color w:val="4A5568"/>
                <w:sz w:val="18"/>
              </w:rPr>
              <w:t>Tier 1 -- Revenue Generating</w:t>
            </w:r>
          </w:p>
        </w:tc>
        <w:tc>
          <w:tcPr>
            <w:tcW w:w="2000" w:type="dxa"/>
          </w:tcPr>
          <w:p>
            <w:pPr>
              <w:spacing w:before="40" w:after="40"/>
            </w:pPr>
            <w:r>
              <w:rPr>
                <w:color w:val="4A5568"/>
                <w:sz w:val="18"/>
              </w:rPr>
              <w:t>Material suppliers, carriers, manufacturers</w:t>
            </w:r>
          </w:p>
        </w:tc>
        <w:tc>
          <w:tcPr>
            <w:tcW w:w="2000" w:type="dxa"/>
          </w:tcPr>
          <w:p>
            <w:pPr>
              <w:spacing w:before="40" w:after="40"/>
            </w:pPr>
            <w:r>
              <w:rPr>
                <w:color w:val="4A5568"/>
                <w:sz w:val="18"/>
              </w:rPr>
              <w:t>Home Depot, State Farm, Andersen, GAF</w:t>
            </w:r>
          </w:p>
        </w:tc>
        <w:tc>
          <w:tcPr>
            <w:tcW w:w="2000" w:type="dxa"/>
          </w:tcPr>
          <w:p>
            <w:pPr>
              <w:spacing w:before="40" w:after="40"/>
            </w:pPr>
            <w:r>
              <w:rPr>
                <w:color w:val="4A5568"/>
                <w:sz w:val="18"/>
              </w:rPr>
              <w:t>Co-marketing + data sharing + preferred vendor</w:t>
            </w:r>
          </w:p>
        </w:tc>
      </w:tr>
      <w:tr>
        <w:tc>
          <w:tcPr>
            <w:tcW w:w="2000" w:type="dxa"/>
          </w:tcPr>
          <w:p>
            <w:pPr>
              <w:spacing w:before="40" w:after="40"/>
            </w:pPr>
            <w:r>
              <w:rPr>
                <w:color w:val="4A5568"/>
                <w:sz w:val="18"/>
              </w:rPr>
              <w:t>Tier 2 -- Technology Integration</w:t>
            </w:r>
          </w:p>
        </w:tc>
        <w:tc>
          <w:tcPr>
            <w:tcW w:w="2000" w:type="dxa"/>
          </w:tcPr>
          <w:p>
            <w:pPr>
              <w:spacing w:before="40" w:after="40"/>
            </w:pPr>
            <w:r>
              <w:rPr>
                <w:color w:val="4A5568"/>
                <w:sz w:val="18"/>
              </w:rPr>
              <w:t>CRM platforms, e-signature, satellite</w:t>
            </w:r>
          </w:p>
        </w:tc>
        <w:tc>
          <w:tcPr>
            <w:tcW w:w="2000" w:type="dxa"/>
          </w:tcPr>
          <w:p>
            <w:pPr>
              <w:spacing w:before="40" w:after="40"/>
            </w:pPr>
            <w:r>
              <w:rPr>
                <w:color w:val="4A5568"/>
                <w:sz w:val="18"/>
              </w:rPr>
              <w:t>JobNimbus, DocuSign, Nearmap, NOAA</w:t>
            </w:r>
          </w:p>
        </w:tc>
        <w:tc>
          <w:tcPr>
            <w:tcW w:w="2000" w:type="dxa"/>
          </w:tcPr>
          <w:p>
            <w:pPr>
              <w:spacing w:before="40" w:after="40"/>
            </w:pPr>
            <w:r>
              <w:rPr>
                <w:color w:val="4A5568"/>
                <w:sz w:val="18"/>
              </w:rPr>
              <w:t>API licensing + revenue share</w:t>
            </w:r>
          </w:p>
        </w:tc>
      </w:tr>
      <w:tr>
        <w:tc>
          <w:tcPr>
            <w:tcW w:w="2000" w:type="dxa"/>
          </w:tcPr>
          <w:p>
            <w:pPr>
              <w:spacing w:before="40" w:after="40"/>
            </w:pPr>
            <w:r>
              <w:rPr>
                <w:color w:val="4A5568"/>
                <w:sz w:val="18"/>
              </w:rPr>
              <w:t>Tier 3 -- Channel Partners</w:t>
            </w:r>
          </w:p>
        </w:tc>
        <w:tc>
          <w:tcPr>
            <w:tcW w:w="2000" w:type="dxa"/>
          </w:tcPr>
          <w:p>
            <w:pPr>
              <w:spacing w:before="40" w:after="40"/>
            </w:pPr>
            <w:r>
              <w:rPr>
                <w:color w:val="4A5568"/>
                <w:sz w:val="18"/>
              </w:rPr>
              <w:t>Independent reps, trade associations</w:t>
            </w:r>
          </w:p>
        </w:tc>
        <w:tc>
          <w:tcPr>
            <w:tcW w:w="2000" w:type="dxa"/>
          </w:tcPr>
          <w:p>
            <w:pPr>
              <w:spacing w:before="40" w:after="40"/>
            </w:pPr>
            <w:r>
              <w:rPr>
                <w:color w:val="4A5568"/>
                <w:sz w:val="18"/>
              </w:rPr>
              <w:t>NRCA, NSPII, regional roofing associations</w:t>
            </w:r>
          </w:p>
        </w:tc>
        <w:tc>
          <w:tcPr>
            <w:tcW w:w="2000" w:type="dxa"/>
          </w:tcPr>
          <w:p>
            <w:pPr>
              <w:spacing w:before="40" w:after="40"/>
            </w:pPr>
            <w:r>
              <w:rPr>
                <w:color w:val="4A5568"/>
                <w:sz w:val="18"/>
              </w:rPr>
              <w:t>Referral fee + co-marketing</w:t>
            </w:r>
          </w:p>
        </w:tc>
      </w:tr>
      <w:tr>
        <w:tc>
          <w:tcPr>
            <w:tcW w:w="2000" w:type="dxa"/>
          </w:tcPr>
          <w:p>
            <w:pPr>
              <w:spacing w:before="40" w:after="40"/>
            </w:pPr>
            <w:r>
              <w:rPr>
                <w:color w:val="4A5568"/>
                <w:sz w:val="18"/>
              </w:rPr>
              <w:t>Tier 4 -- White-Label</w:t>
            </w:r>
          </w:p>
        </w:tc>
        <w:tc>
          <w:tcPr>
            <w:tcW w:w="2000" w:type="dxa"/>
          </w:tcPr>
          <w:p>
            <w:pPr>
              <w:spacing w:before="40" w:after="40"/>
            </w:pPr>
            <w:r>
              <w:rPr>
                <w:color w:val="4A5568"/>
                <w:sz w:val="18"/>
              </w:rPr>
              <w:t>Enterprise clients seeking branded platform</w:t>
            </w:r>
          </w:p>
        </w:tc>
        <w:tc>
          <w:tcPr>
            <w:tcW w:w="2000" w:type="dxa"/>
          </w:tcPr>
          <w:p>
            <w:pPr>
              <w:spacing w:before="40" w:after="40"/>
            </w:pPr>
            <w:r>
              <w:rPr>
                <w:color w:val="4A5568"/>
                <w:sz w:val="18"/>
              </w:rPr>
              <w:t>National carriers, franchise contractors</w:t>
            </w:r>
          </w:p>
        </w:tc>
        <w:tc>
          <w:tcPr>
            <w:tcW w:w="2000" w:type="dxa"/>
          </w:tcPr>
          <w:p>
            <w:pPr>
              <w:spacing w:before="40" w:after="40"/>
            </w:pPr>
            <w:r>
              <w:rPr>
                <w:color w:val="4A5568"/>
                <w:sz w:val="18"/>
              </w:rPr>
              <w:t>Annual platform licensing $100K-$500K</w:t>
            </w:r>
          </w:p>
        </w:tc>
      </w:tr>
    </w:tbl>
    <w:p>
      <w:pPr>
        <w:spacing w:before="120" w:after="120"/>
      </w:pPr>
    </w:p>
    <w:p>
      <w:pPr>
        <w:pStyle w:val="Heading2"/>
      </w:pPr>
      <w:r>
        <w:t>Sales Motion Design</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Segment</w:t>
            </w:r>
          </w:p>
        </w:tc>
        <w:tc>
          <w:tcPr>
            <w:tcW w:w="2000" w:type="dxa"/>
            <w:shd w:val="clear" w:fill="1B3A4B"/>
          </w:tcPr>
          <w:p>
            <w:pPr>
              <w:spacing w:before="40" w:after="40"/>
            </w:pPr>
            <w:r>
              <w:rPr>
                <w:b/>
                <w:color w:val="FFFFFF"/>
                <w:sz w:val="18"/>
              </w:rPr>
              <w:t>ACV Range</w:t>
            </w:r>
          </w:p>
        </w:tc>
        <w:tc>
          <w:tcPr>
            <w:tcW w:w="2000" w:type="dxa"/>
            <w:shd w:val="clear" w:fill="1B3A4B"/>
          </w:tcPr>
          <w:p>
            <w:pPr>
              <w:spacing w:before="40" w:after="40"/>
            </w:pPr>
            <w:r>
              <w:rPr>
                <w:b/>
                <w:color w:val="FFFFFF"/>
                <w:sz w:val="18"/>
              </w:rPr>
              <w:t>Motion</w:t>
            </w:r>
          </w:p>
        </w:tc>
        <w:tc>
          <w:tcPr>
            <w:tcW w:w="2000" w:type="dxa"/>
            <w:shd w:val="clear" w:fill="1B3A4B"/>
          </w:tcPr>
          <w:p>
            <w:pPr>
              <w:spacing w:before="40" w:after="40"/>
            </w:pPr>
            <w:r>
              <w:rPr>
                <w:b/>
                <w:color w:val="FFFFFF"/>
                <w:sz w:val="18"/>
              </w:rPr>
              <w:t>Team Required</w:t>
            </w:r>
          </w:p>
        </w:tc>
      </w:tr>
      <w:tr>
        <w:tc>
          <w:tcPr>
            <w:tcW w:w="2000" w:type="dxa"/>
          </w:tcPr>
          <w:p>
            <w:pPr>
              <w:spacing w:before="40" w:after="40"/>
            </w:pPr>
            <w:r>
              <w:rPr>
                <w:color w:val="4A5568"/>
                <w:sz w:val="18"/>
              </w:rPr>
              <w:t>SMB (&lt;$2K MRR)</w:t>
            </w:r>
          </w:p>
        </w:tc>
        <w:tc>
          <w:tcPr>
            <w:tcW w:w="2000" w:type="dxa"/>
          </w:tcPr>
          <w:p>
            <w:pPr>
              <w:spacing w:before="40" w:after="40"/>
            </w:pPr>
            <w:r>
              <w:rPr>
                <w:color w:val="4A5568"/>
                <w:sz w:val="18"/>
              </w:rPr>
              <w:t>Under $24K</w:t>
            </w:r>
          </w:p>
        </w:tc>
        <w:tc>
          <w:tcPr>
            <w:tcW w:w="2000" w:type="dxa"/>
          </w:tcPr>
          <w:p>
            <w:pPr>
              <w:spacing w:before="40" w:after="40"/>
            </w:pPr>
            <w:r>
              <w:rPr>
                <w:color w:val="4A5568"/>
                <w:sz w:val="18"/>
              </w:rPr>
              <w:t>Product-Led Growth (PLG) -- self-serve onboarding</w:t>
            </w:r>
          </w:p>
        </w:tc>
        <w:tc>
          <w:tcPr>
            <w:tcW w:w="2000" w:type="dxa"/>
          </w:tcPr>
          <w:p>
            <w:pPr>
              <w:spacing w:before="40" w:after="40"/>
            </w:pPr>
            <w:r>
              <w:rPr>
                <w:color w:val="4A5568"/>
                <w:sz w:val="18"/>
              </w:rPr>
              <w:t>No SDR; CS handles onboarding</w:t>
            </w:r>
          </w:p>
        </w:tc>
      </w:tr>
      <w:tr>
        <w:tc>
          <w:tcPr>
            <w:tcW w:w="2000" w:type="dxa"/>
          </w:tcPr>
          <w:p>
            <w:pPr>
              <w:spacing w:before="40" w:after="40"/>
            </w:pPr>
            <w:r>
              <w:rPr>
                <w:color w:val="4A5568"/>
                <w:sz w:val="18"/>
              </w:rPr>
              <w:t>Mid-Market ($2K-$10K)</w:t>
            </w:r>
          </w:p>
        </w:tc>
        <w:tc>
          <w:tcPr>
            <w:tcW w:w="2000" w:type="dxa"/>
          </w:tcPr>
          <w:p>
            <w:pPr>
              <w:spacing w:before="40" w:after="40"/>
            </w:pPr>
            <w:r>
              <w:rPr>
                <w:color w:val="4A5568"/>
                <w:sz w:val="18"/>
              </w:rPr>
              <w:t>$24K-$120K</w:t>
            </w:r>
          </w:p>
        </w:tc>
        <w:tc>
          <w:tcPr>
            <w:tcW w:w="2000" w:type="dxa"/>
          </w:tcPr>
          <w:p>
            <w:pPr>
              <w:spacing w:before="40" w:after="40"/>
            </w:pPr>
            <w:r>
              <w:rPr>
                <w:color w:val="4A5568"/>
                <w:sz w:val="18"/>
              </w:rPr>
              <w:t>Hybrid -- SDR handoff + AE discovery/demo</w:t>
            </w:r>
          </w:p>
        </w:tc>
        <w:tc>
          <w:tcPr>
            <w:tcW w:w="2000" w:type="dxa"/>
          </w:tcPr>
          <w:p>
            <w:pPr>
              <w:spacing w:before="40" w:after="40"/>
            </w:pPr>
            <w:r>
              <w:rPr>
                <w:color w:val="4A5568"/>
                <w:sz w:val="18"/>
              </w:rPr>
              <w:t>1 SDR : 1 AE; solution engineer</w:t>
            </w:r>
          </w:p>
        </w:tc>
      </w:tr>
      <w:tr>
        <w:tc>
          <w:tcPr>
            <w:tcW w:w="2000" w:type="dxa"/>
          </w:tcPr>
          <w:p>
            <w:pPr>
              <w:spacing w:before="40" w:after="40"/>
            </w:pPr>
            <w:r>
              <w:rPr>
                <w:color w:val="4A5568"/>
                <w:sz w:val="18"/>
              </w:rPr>
              <w:t>Enterprise (&gt;$10K)</w:t>
            </w:r>
          </w:p>
        </w:tc>
        <w:tc>
          <w:tcPr>
            <w:tcW w:w="2000" w:type="dxa"/>
          </w:tcPr>
          <w:p>
            <w:pPr>
              <w:spacing w:before="40" w:after="40"/>
            </w:pPr>
            <w:r>
              <w:rPr>
                <w:color w:val="4A5568"/>
                <w:sz w:val="18"/>
              </w:rPr>
              <w:t>$120K+</w:t>
            </w:r>
          </w:p>
        </w:tc>
        <w:tc>
          <w:tcPr>
            <w:tcW w:w="2000" w:type="dxa"/>
          </w:tcPr>
          <w:p>
            <w:pPr>
              <w:spacing w:before="40" w:after="40"/>
            </w:pPr>
            <w:r>
              <w:rPr>
                <w:color w:val="4A5568"/>
                <w:sz w:val="18"/>
              </w:rPr>
              <w:t>Sales-Led Growth (SLG) -- named account AE</w:t>
            </w:r>
          </w:p>
        </w:tc>
        <w:tc>
          <w:tcPr>
            <w:tcW w:w="2000" w:type="dxa"/>
          </w:tcPr>
          <w:p>
            <w:pPr>
              <w:spacing w:before="40" w:after="40"/>
            </w:pPr>
            <w:r>
              <w:rPr>
                <w:color w:val="4A5568"/>
                <w:sz w:val="18"/>
              </w:rPr>
              <w:t>Dedicated AE + SE + CSM</w:t>
            </w:r>
          </w:p>
        </w:tc>
      </w:tr>
      <w:tr>
        <w:tc>
          <w:tcPr>
            <w:tcW w:w="2000" w:type="dxa"/>
          </w:tcPr>
          <w:p>
            <w:pPr>
              <w:spacing w:before="40" w:after="40"/>
            </w:pPr>
            <w:r>
              <w:rPr>
                <w:color w:val="4A5568"/>
                <w:sz w:val="18"/>
              </w:rPr>
              <w:t>Government / Municipal</w:t>
            </w:r>
          </w:p>
        </w:tc>
        <w:tc>
          <w:tcPr>
            <w:tcW w:w="2000" w:type="dxa"/>
          </w:tcPr>
          <w:p>
            <w:pPr>
              <w:spacing w:before="40" w:after="40"/>
            </w:pPr>
            <w:r>
              <w:rPr>
                <w:color w:val="4A5568"/>
                <w:sz w:val="18"/>
              </w:rPr>
              <w:t>Contract-based</w:t>
            </w:r>
          </w:p>
        </w:tc>
        <w:tc>
          <w:tcPr>
            <w:tcW w:w="2000" w:type="dxa"/>
          </w:tcPr>
          <w:p>
            <w:pPr>
              <w:spacing w:before="40" w:after="40"/>
            </w:pPr>
            <w:r>
              <w:rPr>
                <w:color w:val="4A5568"/>
                <w:sz w:val="18"/>
              </w:rPr>
              <w:t>BD-Led -- LOI to pilot to multi-year contract</w:t>
            </w:r>
          </w:p>
        </w:tc>
        <w:tc>
          <w:tcPr>
            <w:tcW w:w="2000" w:type="dxa"/>
          </w:tcPr>
          <w:p>
            <w:pPr>
              <w:spacing w:before="40" w:after="40"/>
            </w:pPr>
            <w:r>
              <w:rPr>
                <w:color w:val="4A5568"/>
                <w:sz w:val="18"/>
              </w:rPr>
              <w:t>BD Director; 12-24 month cycle</w:t>
            </w:r>
          </w:p>
        </w:tc>
      </w:tr>
    </w:tbl>
    <w:p>
      <w:pPr>
        <w:spacing w:before="120" w:after="120"/>
      </w:pPr>
    </w:p>
    <w:p>
      <w:pPr>
        <w:pStyle w:val="Heading1"/>
      </w:pPr>
      <w:r>
        <w:t>CHAPTER 05: Technical Architecture Deep Dive</w:t>
      </w:r>
      <w:bookmarkStart w:name="_H6" w:id="6"/>
      <w:bookmarkEnd w:id="6"/>
    </w:p>
    <w:p>
      <w:r>
        <w:t>The Property Intelligence technical backbone is a modular, domain-driven microservices architecture organized across eight service domains, all sharing the MASTERNEX.os AI substrate, a central Apache Kafka event bus, and a multi-layer Delta Lake data architecture. This chapter provides the comprehensive technical specification for engineering implementation.</w:t>
      </w:r>
    </w:p>
    <w:p>
      <w:pPr>
        <w:pStyle w:val="Heading2"/>
      </w:pPr>
      <w:r>
        <w:t>Core Service Domains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Service Domain</w:t>
            </w:r>
          </w:p>
        </w:tc>
        <w:tc>
          <w:tcPr>
            <w:tcW w:w="2000" w:type="dxa"/>
            <w:shd w:val="clear" w:fill="1B3A4B"/>
          </w:tcPr>
          <w:p>
            <w:pPr>
              <w:spacing w:before="40" w:after="40"/>
            </w:pPr>
            <w:r>
              <w:rPr>
                <w:b/>
                <w:color w:val="FFFFFF"/>
                <w:sz w:val="18"/>
              </w:rPr>
              <w:t>Microservices</w:t>
            </w:r>
          </w:p>
        </w:tc>
        <w:tc>
          <w:tcPr>
            <w:tcW w:w="2000" w:type="dxa"/>
            <w:shd w:val="clear" w:fill="1B3A4B"/>
          </w:tcPr>
          <w:p>
            <w:pPr>
              <w:spacing w:before="40" w:after="40"/>
            </w:pPr>
            <w:r>
              <w:rPr>
                <w:b/>
                <w:color w:val="FFFFFF"/>
                <w:sz w:val="18"/>
              </w:rPr>
              <w:t>Responsibility</w:t>
            </w:r>
          </w:p>
        </w:tc>
      </w:tr>
      <w:tr>
        <w:tc>
          <w:tcPr>
            <w:tcW w:w="2000" w:type="dxa"/>
          </w:tcPr>
          <w:p>
            <w:pPr>
              <w:spacing w:before="40" w:after="40"/>
            </w:pPr>
            <w:r>
              <w:rPr>
                <w:color w:val="4A5568"/>
                <w:sz w:val="18"/>
              </w:rPr>
              <w:t>Identity &amp; Access</w:t>
            </w:r>
          </w:p>
        </w:tc>
        <w:tc>
          <w:tcPr>
            <w:tcW w:w="2000" w:type="dxa"/>
          </w:tcPr>
          <w:p>
            <w:pPr>
              <w:spacing w:before="40" w:after="40"/>
            </w:pPr>
            <w:r>
              <w:rPr>
                <w:color w:val="4A5568"/>
                <w:sz w:val="18"/>
              </w:rPr>
              <w:t>Auth Service, User Management, Permission Service</w:t>
            </w:r>
          </w:p>
        </w:tc>
        <w:tc>
          <w:tcPr>
            <w:tcW w:w="2000" w:type="dxa"/>
          </w:tcPr>
          <w:p>
            <w:pPr>
              <w:spacing w:before="40" w:after="40"/>
            </w:pPr>
            <w:r>
              <w:rPr>
                <w:color w:val="4A5568"/>
                <w:sz w:val="18"/>
              </w:rPr>
              <w:t>SSO, OAuth2, RBAC, fine-grained permissions</w:t>
            </w:r>
          </w:p>
        </w:tc>
      </w:tr>
      <w:tr>
        <w:tc>
          <w:tcPr>
            <w:tcW w:w="2000" w:type="dxa"/>
          </w:tcPr>
          <w:p>
            <w:pPr>
              <w:spacing w:before="40" w:after="40"/>
            </w:pPr>
            <w:r>
              <w:rPr>
                <w:color w:val="4A5568"/>
                <w:sz w:val="18"/>
              </w:rPr>
              <w:t>Property Intelligence</w:t>
            </w:r>
          </w:p>
        </w:tc>
        <w:tc>
          <w:tcPr>
            <w:tcW w:w="2000" w:type="dxa"/>
          </w:tcPr>
          <w:p>
            <w:pPr>
              <w:spacing w:before="40" w:after="40"/>
            </w:pPr>
            <w:r>
              <w:rPr>
                <w:color w:val="4A5568"/>
                <w:sz w:val="18"/>
              </w:rPr>
              <w:t>Imagery Ingestion, Analysis Engine, Valuation Service</w:t>
            </w:r>
          </w:p>
        </w:tc>
        <w:tc>
          <w:tcPr>
            <w:tcW w:w="2000" w:type="dxa"/>
          </w:tcPr>
          <w:p>
            <w:pPr>
              <w:spacing w:before="40" w:after="40"/>
            </w:pPr>
            <w:r>
              <w:rPr>
                <w:color w:val="4A5568"/>
                <w:sz w:val="18"/>
              </w:rPr>
              <w:t>Computer vision pipeline, AVM ensemble, change detection</w:t>
            </w:r>
          </w:p>
        </w:tc>
      </w:tr>
      <w:tr>
        <w:tc>
          <w:tcPr>
            <w:tcW w:w="2000" w:type="dxa"/>
          </w:tcPr>
          <w:p>
            <w:pPr>
              <w:spacing w:before="40" w:after="40"/>
            </w:pPr>
            <w:r>
              <w:rPr>
                <w:color w:val="4A5568"/>
                <w:sz w:val="18"/>
              </w:rPr>
              <w:t>Probate &amp; Legal</w:t>
            </w:r>
          </w:p>
        </w:tc>
        <w:tc>
          <w:tcPr>
            <w:tcW w:w="2000" w:type="dxa"/>
          </w:tcPr>
          <w:p>
            <w:pPr>
              <w:spacing w:before="40" w:after="40"/>
            </w:pPr>
            <w:r>
              <w:rPr>
                <w:color w:val="4A5568"/>
                <w:sz w:val="18"/>
              </w:rPr>
              <w:t>Case Management, Heir Discovery, Document Parser</w:t>
            </w:r>
          </w:p>
        </w:tc>
        <w:tc>
          <w:tcPr>
            <w:tcW w:w="2000" w:type="dxa"/>
          </w:tcPr>
          <w:p>
            <w:pPr>
              <w:spacing w:before="40" w:after="40"/>
            </w:pPr>
            <w:r>
              <w:rPr>
                <w:color w:val="4A5568"/>
                <w:sz w:val="18"/>
              </w:rPr>
              <w:t>GNN genealogy, BERT-Legal NLP, blockchain audit anchoring</w:t>
            </w:r>
          </w:p>
        </w:tc>
      </w:tr>
      <w:tr>
        <w:tc>
          <w:tcPr>
            <w:tcW w:w="2000" w:type="dxa"/>
          </w:tcPr>
          <w:p>
            <w:pPr>
              <w:spacing w:before="40" w:after="40"/>
            </w:pPr>
            <w:r>
              <w:rPr>
                <w:color w:val="4A5568"/>
                <w:sz w:val="18"/>
              </w:rPr>
              <w:t>Contractor Operations</w:t>
            </w:r>
          </w:p>
        </w:tc>
        <w:tc>
          <w:tcPr>
            <w:tcW w:w="2000" w:type="dxa"/>
          </w:tcPr>
          <w:p>
            <w:pPr>
              <w:spacing w:before="40" w:after="40"/>
            </w:pPr>
            <w:r>
              <w:rPr>
                <w:color w:val="4A5568"/>
                <w:sz w:val="18"/>
              </w:rPr>
              <w:t>Matching Engine, Performance Tracker, Scheduling</w:t>
            </w:r>
          </w:p>
        </w:tc>
        <w:tc>
          <w:tcPr>
            <w:tcW w:w="2000" w:type="dxa"/>
          </w:tcPr>
          <w:p>
            <w:pPr>
              <w:spacing w:before="40" w:after="40"/>
            </w:pPr>
            <w:r>
              <w:rPr>
                <w:color w:val="4A5568"/>
                <w:sz w:val="18"/>
              </w:rPr>
              <w:t>ML-based contractor matching, ratings, availability forecasting</w:t>
            </w:r>
          </w:p>
        </w:tc>
      </w:tr>
      <w:tr>
        <w:tc>
          <w:tcPr>
            <w:tcW w:w="2000" w:type="dxa"/>
          </w:tcPr>
          <w:p>
            <w:pPr>
              <w:spacing w:before="40" w:after="40"/>
            </w:pPr>
            <w:r>
              <w:rPr>
                <w:color w:val="4A5568"/>
                <w:sz w:val="18"/>
              </w:rPr>
              <w:t>Gig Economy</w:t>
            </w:r>
          </w:p>
        </w:tc>
        <w:tc>
          <w:tcPr>
            <w:tcW w:w="2000" w:type="dxa"/>
          </w:tcPr>
          <w:p>
            <w:pPr>
              <w:spacing w:before="40" w:after="40"/>
            </w:pPr>
            <w:r>
              <w:rPr>
                <w:color w:val="4A5568"/>
                <w:sz w:val="18"/>
              </w:rPr>
              <w:t>Task Dispatch, Verification Service, Payment Ledger</w:t>
            </w:r>
          </w:p>
        </w:tc>
        <w:tc>
          <w:tcPr>
            <w:tcW w:w="2000" w:type="dxa"/>
          </w:tcPr>
          <w:p>
            <w:pPr>
              <w:spacing w:before="40" w:after="40"/>
            </w:pPr>
            <w:r>
              <w:rPr>
                <w:color w:val="4A5568"/>
                <w:sz w:val="18"/>
              </w:rPr>
              <w:t>Real-time tasking via ODASI Task Engine, Truth Credit settlement</w:t>
            </w:r>
          </w:p>
        </w:tc>
      </w:tr>
      <w:tr>
        <w:tc>
          <w:tcPr>
            <w:tcW w:w="2000" w:type="dxa"/>
          </w:tcPr>
          <w:p>
            <w:pPr>
              <w:spacing w:before="40" w:after="40"/>
            </w:pPr>
            <w:r>
              <w:rPr>
                <w:color w:val="4A5568"/>
                <w:sz w:val="18"/>
              </w:rPr>
              <w:t>Storm Intelligence</w:t>
            </w:r>
          </w:p>
        </w:tc>
        <w:tc>
          <w:tcPr>
            <w:tcW w:w="2000" w:type="dxa"/>
          </w:tcPr>
          <w:p>
            <w:pPr>
              <w:spacing w:before="40" w:after="40"/>
            </w:pPr>
            <w:r>
              <w:rPr>
                <w:color w:val="4A5568"/>
                <w:sz w:val="18"/>
              </w:rPr>
              <w:t>Weather Ingestion, Damage Scoring, Alert Service</w:t>
            </w:r>
          </w:p>
        </w:tc>
        <w:tc>
          <w:tcPr>
            <w:tcW w:w="2000" w:type="dxa"/>
          </w:tcPr>
          <w:p>
            <w:pPr>
              <w:spacing w:before="40" w:after="40"/>
            </w:pPr>
            <w:r>
              <w:rPr>
                <w:color w:val="4A5568"/>
                <w:sz w:val="18"/>
              </w:rPr>
              <w:t>NOAA API integration, DPS algorithm, Strike Zone predictor</w:t>
            </w:r>
          </w:p>
        </w:tc>
      </w:tr>
      <w:tr>
        <w:tc>
          <w:tcPr>
            <w:tcW w:w="2000" w:type="dxa"/>
          </w:tcPr>
          <w:p>
            <w:pPr>
              <w:spacing w:before="40" w:after="40"/>
            </w:pPr>
            <w:r>
              <w:rPr>
                <w:color w:val="4A5568"/>
                <w:sz w:val="18"/>
              </w:rPr>
              <w:t>AR &amp; Visualization</w:t>
            </w:r>
          </w:p>
        </w:tc>
        <w:tc>
          <w:tcPr>
            <w:tcW w:w="2000" w:type="dxa"/>
          </w:tcPr>
          <w:p>
            <w:pPr>
              <w:spacing w:before="40" w:after="40"/>
            </w:pPr>
            <w:r>
              <w:rPr>
                <w:color w:val="4A5568"/>
                <w:sz w:val="18"/>
              </w:rPr>
              <w:t>Alter Rendering Engine, AR Service, 3D Modeling</w:t>
            </w:r>
          </w:p>
        </w:tc>
        <w:tc>
          <w:tcPr>
            <w:tcW w:w="2000" w:type="dxa"/>
          </w:tcPr>
          <w:p>
            <w:pPr>
              <w:spacing w:before="40" w:after="40"/>
            </w:pPr>
            <w:r>
              <w:rPr>
                <w:color w:val="4A5568"/>
                <w:sz w:val="18"/>
              </w:rPr>
              <w:t>U-Net/Mask R-CNN segmentation, Three.js/WebGL</w:t>
            </w:r>
          </w:p>
        </w:tc>
      </w:tr>
      <w:tr>
        <w:tc>
          <w:tcPr>
            <w:tcW w:w="2000" w:type="dxa"/>
          </w:tcPr>
          <w:p>
            <w:pPr>
              <w:spacing w:before="40" w:after="40"/>
            </w:pPr>
            <w:r>
              <w:rPr>
                <w:color w:val="4A5568"/>
                <w:sz w:val="18"/>
              </w:rPr>
              <w:t>Financial</w:t>
            </w:r>
          </w:p>
        </w:tc>
        <w:tc>
          <w:tcPr>
            <w:tcW w:w="2000" w:type="dxa"/>
          </w:tcPr>
          <w:p>
            <w:pPr>
              <w:spacing w:before="40" w:after="40"/>
            </w:pPr>
            <w:r>
              <w:rPr>
                <w:color w:val="4A5568"/>
                <w:sz w:val="18"/>
              </w:rPr>
              <w:t>Payment Processing, Truth Credit Ledger, Attribution</w:t>
            </w:r>
          </w:p>
        </w:tc>
        <w:tc>
          <w:tcPr>
            <w:tcW w:w="2000" w:type="dxa"/>
          </w:tcPr>
          <w:p>
            <w:pPr>
              <w:spacing w:before="40" w:after="40"/>
            </w:pPr>
            <w:r>
              <w:rPr>
                <w:color w:val="4A5568"/>
                <w:sz w:val="18"/>
              </w:rPr>
              <w:t>Blockchain anchoring, Shapley-value DTA Protocol</w:t>
            </w:r>
          </w:p>
        </w:tc>
      </w:tr>
    </w:tbl>
    <w:p>
      <w:pPr>
        <w:spacing w:before="120" w:after="120"/>
      </w:pPr>
    </w:p>
    <w:p>
      <w:pPr>
        <w:pStyle w:val="Heading2"/>
      </w:pPr>
      <w:r>
        <w:t>Event-Driven Architecture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Event Type</w:t>
            </w:r>
          </w:p>
        </w:tc>
        <w:tc>
          <w:tcPr>
            <w:tcW w:w="2000" w:type="dxa"/>
            <w:shd w:val="clear" w:fill="1B3A4B"/>
          </w:tcPr>
          <w:p>
            <w:pPr>
              <w:spacing w:before="40" w:after="40"/>
            </w:pPr>
            <w:r>
              <w:rPr>
                <w:b/>
                <w:color w:val="FFFFFF"/>
                <w:sz w:val="18"/>
              </w:rPr>
              <w:t>Pattern</w:t>
            </w:r>
          </w:p>
        </w:tc>
        <w:tc>
          <w:tcPr>
            <w:tcW w:w="2000" w:type="dxa"/>
            <w:shd w:val="clear" w:fill="1B3A4B"/>
          </w:tcPr>
          <w:p>
            <w:pPr>
              <w:spacing w:before="40" w:after="40"/>
            </w:pPr>
            <w:r>
              <w:rPr>
                <w:b/>
                <w:color w:val="FFFFFF"/>
                <w:sz w:val="18"/>
              </w:rPr>
              <w:t>Use Case</w:t>
            </w:r>
          </w:p>
        </w:tc>
        <w:tc>
          <w:tcPr>
            <w:tcW w:w="2000" w:type="dxa"/>
            <w:shd w:val="clear" w:fill="1B3A4B"/>
          </w:tcPr>
          <w:p>
            <w:pPr>
              <w:spacing w:before="40" w:after="40"/>
            </w:pPr>
            <w:r>
              <w:rPr>
                <w:b/>
                <w:color w:val="FFFFFF"/>
                <w:sz w:val="18"/>
              </w:rPr>
              <w:t>Delivery Semantics</w:t>
            </w:r>
          </w:p>
        </w:tc>
      </w:tr>
      <w:tr>
        <w:tc>
          <w:tcPr>
            <w:tcW w:w="2000" w:type="dxa"/>
          </w:tcPr>
          <w:p>
            <w:pPr>
              <w:spacing w:before="40" w:after="40"/>
            </w:pPr>
            <w:r>
              <w:rPr>
                <w:color w:val="4A5568"/>
                <w:sz w:val="18"/>
              </w:rPr>
              <w:t>ProbateCaseOpened</w:t>
            </w:r>
          </w:p>
        </w:tc>
        <w:tc>
          <w:tcPr>
            <w:tcW w:w="2000" w:type="dxa"/>
          </w:tcPr>
          <w:p>
            <w:pPr>
              <w:spacing w:before="40" w:after="40"/>
            </w:pPr>
            <w:r>
              <w:rPr>
                <w:color w:val="4A5568"/>
                <w:sz w:val="18"/>
              </w:rPr>
              <w:t>Saga Pattern</w:t>
            </w:r>
          </w:p>
        </w:tc>
        <w:tc>
          <w:tcPr>
            <w:tcW w:w="2000" w:type="dxa"/>
          </w:tcPr>
          <w:p>
            <w:pPr>
              <w:spacing w:before="40" w:after="40"/>
            </w:pPr>
            <w:r>
              <w:rPr>
                <w:color w:val="4A5568"/>
                <w:sz w:val="18"/>
              </w:rPr>
              <w:t>Triggers property discovery, contractor pre-positioning</w:t>
            </w:r>
          </w:p>
        </w:tc>
        <w:tc>
          <w:tcPr>
            <w:tcW w:w="2000" w:type="dxa"/>
          </w:tcPr>
          <w:p>
            <w:pPr>
              <w:spacing w:before="40" w:after="40"/>
            </w:pPr>
            <w:r>
              <w:rPr>
                <w:color w:val="4A5568"/>
                <w:sz w:val="18"/>
              </w:rPr>
              <w:t>Exactly-once (legal significance)</w:t>
            </w:r>
          </w:p>
        </w:tc>
      </w:tr>
      <w:tr>
        <w:tc>
          <w:tcPr>
            <w:tcW w:w="2000" w:type="dxa"/>
          </w:tcPr>
          <w:p>
            <w:pPr>
              <w:spacing w:before="40" w:after="40"/>
            </w:pPr>
            <w:r>
              <w:rPr>
                <w:color w:val="4A5568"/>
                <w:sz w:val="18"/>
              </w:rPr>
              <w:t>StormDamageDetected</w:t>
            </w:r>
          </w:p>
        </w:tc>
        <w:tc>
          <w:tcPr>
            <w:tcW w:w="2000" w:type="dxa"/>
          </w:tcPr>
          <w:p>
            <w:pPr>
              <w:spacing w:before="40" w:after="40"/>
            </w:pPr>
            <w:r>
              <w:rPr>
                <w:color w:val="4A5568"/>
                <w:sz w:val="18"/>
              </w:rPr>
              <w:t>Complex Event Processing</w:t>
            </w:r>
          </w:p>
        </w:tc>
        <w:tc>
          <w:tcPr>
            <w:tcW w:w="2000" w:type="dxa"/>
          </w:tcPr>
          <w:p>
            <w:pPr>
              <w:spacing w:before="40" w:after="40"/>
            </w:pPr>
            <w:r>
              <w:rPr>
                <w:color w:val="4A5568"/>
                <w:sz w:val="18"/>
              </w:rPr>
              <w:t>Initiates DPS scoring, task generation, CRM lead creation</w:t>
            </w:r>
          </w:p>
        </w:tc>
        <w:tc>
          <w:tcPr>
            <w:tcW w:w="2000" w:type="dxa"/>
          </w:tcPr>
          <w:p>
            <w:pPr>
              <w:spacing w:before="40" w:after="40"/>
            </w:pPr>
            <w:r>
              <w:rPr>
                <w:color w:val="4A5568"/>
                <w:sz w:val="18"/>
              </w:rPr>
              <w:t>At-least-once with idempotent handlers</w:t>
            </w:r>
          </w:p>
        </w:tc>
      </w:tr>
      <w:tr>
        <w:tc>
          <w:tcPr>
            <w:tcW w:w="2000" w:type="dxa"/>
          </w:tcPr>
          <w:p>
            <w:pPr>
              <w:spacing w:before="40" w:after="40"/>
            </w:pPr>
            <w:r>
              <w:rPr>
                <w:color w:val="4A5568"/>
                <w:sz w:val="18"/>
              </w:rPr>
              <w:t>VerificationCompleted</w:t>
            </w:r>
          </w:p>
        </w:tc>
        <w:tc>
          <w:tcPr>
            <w:tcW w:w="2000" w:type="dxa"/>
          </w:tcPr>
          <w:p>
            <w:pPr>
              <w:spacing w:before="40" w:after="40"/>
            </w:pPr>
            <w:r>
              <w:rPr>
                <w:color w:val="4A5568"/>
                <w:sz w:val="18"/>
              </w:rPr>
              <w:t>Data Flywheel Pattern</w:t>
            </w:r>
          </w:p>
        </w:tc>
        <w:tc>
          <w:tcPr>
            <w:tcW w:w="2000" w:type="dxa"/>
          </w:tcPr>
          <w:p>
            <w:pPr>
              <w:spacing w:before="40" w:after="40"/>
            </w:pPr>
            <w:r>
              <w:rPr>
                <w:color w:val="4A5568"/>
                <w:sz w:val="18"/>
              </w:rPr>
              <w:t>Feeds AI training pipeline, updates confidence scores</w:t>
            </w:r>
          </w:p>
        </w:tc>
        <w:tc>
          <w:tcPr>
            <w:tcW w:w="2000" w:type="dxa"/>
          </w:tcPr>
          <w:p>
            <w:pPr>
              <w:spacing w:before="40" w:after="40"/>
            </w:pPr>
            <w:r>
              <w:rPr>
                <w:color w:val="4A5568"/>
                <w:sz w:val="18"/>
              </w:rPr>
              <w:t>At-least-once</w:t>
            </w:r>
          </w:p>
        </w:tc>
      </w:tr>
      <w:tr>
        <w:tc>
          <w:tcPr>
            <w:tcW w:w="2000" w:type="dxa"/>
          </w:tcPr>
          <w:p>
            <w:pPr>
              <w:spacing w:before="40" w:after="40"/>
            </w:pPr>
            <w:r>
              <w:rPr>
                <w:color w:val="4A5568"/>
                <w:sz w:val="18"/>
              </w:rPr>
              <w:t>PropertyValuationUpdated</w:t>
            </w:r>
          </w:p>
        </w:tc>
        <w:tc>
          <w:tcPr>
            <w:tcW w:w="2000" w:type="dxa"/>
          </w:tcPr>
          <w:p>
            <w:pPr>
              <w:spacing w:before="40" w:after="40"/>
            </w:pPr>
            <w:r>
              <w:rPr>
                <w:color w:val="4A5568"/>
                <w:sz w:val="18"/>
              </w:rPr>
              <w:t>Materialized View</w:t>
            </w:r>
          </w:p>
        </w:tc>
        <w:tc>
          <w:tcPr>
            <w:tcW w:w="2000" w:type="dxa"/>
          </w:tcPr>
          <w:p>
            <w:pPr>
              <w:spacing w:before="40" w:after="40"/>
            </w:pPr>
            <w:r>
              <w:rPr>
                <w:color w:val="4A5568"/>
                <w:sz w:val="18"/>
              </w:rPr>
              <w:t>Updates portfolio analytics, triggers distribution re-modeling</w:t>
            </w:r>
          </w:p>
        </w:tc>
        <w:tc>
          <w:tcPr>
            <w:tcW w:w="2000" w:type="dxa"/>
          </w:tcPr>
          <w:p>
            <w:pPr>
              <w:spacing w:before="40" w:after="40"/>
            </w:pPr>
            <w:r>
              <w:rPr>
                <w:color w:val="4A5568"/>
                <w:sz w:val="18"/>
              </w:rPr>
              <w:t>Best-effort high-throughput</w:t>
            </w:r>
          </w:p>
        </w:tc>
      </w:tr>
      <w:tr>
        <w:tc>
          <w:tcPr>
            <w:tcW w:w="2000" w:type="dxa"/>
          </w:tcPr>
          <w:p>
            <w:pPr>
              <w:spacing w:before="40" w:after="40"/>
            </w:pPr>
            <w:r>
              <w:rPr>
                <w:color w:val="4A5568"/>
                <w:sz w:val="18"/>
              </w:rPr>
              <w:t>ContractorEngaged</w:t>
            </w:r>
          </w:p>
        </w:tc>
        <w:tc>
          <w:tcPr>
            <w:tcW w:w="2000" w:type="dxa"/>
          </w:tcPr>
          <w:p>
            <w:pPr>
              <w:spacing w:before="40" w:after="40"/>
            </w:pPr>
            <w:r>
              <w:rPr>
                <w:color w:val="4A5568"/>
                <w:sz w:val="18"/>
              </w:rPr>
              <w:t>Saga Pattern</w:t>
            </w:r>
          </w:p>
        </w:tc>
        <w:tc>
          <w:tcPr>
            <w:tcW w:w="2000" w:type="dxa"/>
          </w:tcPr>
          <w:p>
            <w:pPr>
              <w:spacing w:before="40" w:after="40"/>
            </w:pPr>
            <w:r>
              <w:rPr>
                <w:color w:val="4A5568"/>
                <w:sz w:val="18"/>
              </w:rPr>
              <w:t>Coordinates scoping to execution to payment workflow</w:t>
            </w:r>
          </w:p>
        </w:tc>
        <w:tc>
          <w:tcPr>
            <w:tcW w:w="2000" w:type="dxa"/>
          </w:tcPr>
          <w:p>
            <w:pPr>
              <w:spacing w:before="40" w:after="40"/>
            </w:pPr>
            <w:r>
              <w:rPr>
                <w:color w:val="4A5568"/>
                <w:sz w:val="18"/>
              </w:rPr>
              <w:t>Exactly-once (financial)</w:t>
            </w:r>
          </w:p>
        </w:tc>
      </w:tr>
    </w:tbl>
    <w:p>
      <w:pPr>
        <w:spacing w:before="120" w:after="120"/>
      </w:pPr>
    </w:p>
    <w:p>
      <w:pPr>
        <w:pStyle w:val="Heading2"/>
      </w:pPr>
      <w:r>
        <w:t>Database Technology Selection</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Data Type</w:t>
            </w:r>
          </w:p>
        </w:tc>
        <w:tc>
          <w:tcPr>
            <w:tcW w:w="2000" w:type="dxa"/>
            <w:shd w:val="clear" w:fill="1B3A4B"/>
          </w:tcPr>
          <w:p>
            <w:pPr>
              <w:spacing w:before="40" w:after="40"/>
            </w:pPr>
            <w:r>
              <w:rPr>
                <w:b/>
                <w:color w:val="FFFFFF"/>
                <w:sz w:val="18"/>
              </w:rPr>
              <w:t>Primary Store</w:t>
            </w:r>
          </w:p>
        </w:tc>
        <w:tc>
          <w:tcPr>
            <w:tcW w:w="2000" w:type="dxa"/>
            <w:shd w:val="clear" w:fill="1B3A4B"/>
          </w:tcPr>
          <w:p>
            <w:pPr>
              <w:spacing w:before="40" w:after="40"/>
            </w:pPr>
            <w:r>
              <w:rPr>
                <w:b/>
                <w:color w:val="FFFFFF"/>
                <w:sz w:val="18"/>
              </w:rPr>
              <w:t>Secondary Store</w:t>
            </w:r>
          </w:p>
        </w:tc>
        <w:tc>
          <w:tcPr>
            <w:tcW w:w="2000" w:type="dxa"/>
            <w:shd w:val="clear" w:fill="1B3A4B"/>
          </w:tcPr>
          <w:p>
            <w:pPr>
              <w:spacing w:before="40" w:after="40"/>
            </w:pPr>
            <w:r>
              <w:rPr>
                <w:b/>
                <w:color w:val="FFFFFF"/>
                <w:sz w:val="18"/>
              </w:rPr>
              <w:t>Use Case</w:t>
            </w:r>
          </w:p>
        </w:tc>
      </w:tr>
      <w:tr>
        <w:tc>
          <w:tcPr>
            <w:tcW w:w="2000" w:type="dxa"/>
          </w:tcPr>
          <w:p>
            <w:pPr>
              <w:spacing w:before="40" w:after="40"/>
            </w:pPr>
            <w:r>
              <w:rPr>
                <w:color w:val="4A5568"/>
                <w:sz w:val="18"/>
              </w:rPr>
              <w:t>Graph Relationships</w:t>
            </w:r>
          </w:p>
        </w:tc>
        <w:tc>
          <w:tcPr>
            <w:tcW w:w="2000" w:type="dxa"/>
          </w:tcPr>
          <w:p>
            <w:pPr>
              <w:spacing w:before="40" w:after="40"/>
            </w:pPr>
            <w:r>
              <w:rPr>
                <w:color w:val="4A5568"/>
                <w:sz w:val="18"/>
              </w:rPr>
              <w:t>Neo4j Enterprise</w:t>
            </w:r>
          </w:p>
        </w:tc>
        <w:tc>
          <w:tcPr>
            <w:tcW w:w="2000" w:type="dxa"/>
          </w:tcPr>
          <w:p>
            <w:pPr>
              <w:spacing w:before="40" w:after="40"/>
            </w:pPr>
            <w:r>
              <w:rPr>
                <w:color w:val="4A5568"/>
                <w:sz w:val="18"/>
              </w:rPr>
              <w:t>Amazon Neptune</w:t>
            </w:r>
          </w:p>
        </w:tc>
        <w:tc>
          <w:tcPr>
            <w:tcW w:w="2000" w:type="dxa"/>
          </w:tcPr>
          <w:p>
            <w:pPr>
              <w:spacing w:before="40" w:after="40"/>
            </w:pPr>
            <w:r>
              <w:rPr>
                <w:color w:val="4A5568"/>
                <w:sz w:val="18"/>
              </w:rPr>
              <w:t>Heir identification, entity resolution, ownership chains</w:t>
            </w:r>
          </w:p>
        </w:tc>
      </w:tr>
      <w:tr>
        <w:tc>
          <w:tcPr>
            <w:tcW w:w="2000" w:type="dxa"/>
          </w:tcPr>
          <w:p>
            <w:pPr>
              <w:spacing w:before="40" w:after="40"/>
            </w:pPr>
            <w:r>
              <w:rPr>
                <w:color w:val="4A5568"/>
                <w:sz w:val="18"/>
              </w:rPr>
              <w:t>Time-Series</w:t>
            </w:r>
          </w:p>
        </w:tc>
        <w:tc>
          <w:tcPr>
            <w:tcW w:w="2000" w:type="dxa"/>
          </w:tcPr>
          <w:p>
            <w:pPr>
              <w:spacing w:before="40" w:after="40"/>
            </w:pPr>
            <w:r>
              <w:rPr>
                <w:color w:val="4A5568"/>
                <w:sz w:val="18"/>
              </w:rPr>
              <w:t>TimescaleDB</w:t>
            </w:r>
          </w:p>
        </w:tc>
        <w:tc>
          <w:tcPr>
            <w:tcW w:w="2000" w:type="dxa"/>
          </w:tcPr>
          <w:p>
            <w:pPr>
              <w:spacing w:before="40" w:after="40"/>
            </w:pPr>
            <w:r>
              <w:rPr>
                <w:color w:val="4A5568"/>
                <w:sz w:val="18"/>
              </w:rPr>
              <w:t>InfluxDB</w:t>
            </w:r>
          </w:p>
        </w:tc>
        <w:tc>
          <w:tcPr>
            <w:tcW w:w="2000" w:type="dxa"/>
          </w:tcPr>
          <w:p>
            <w:pPr>
              <w:spacing w:before="40" w:after="40"/>
            </w:pPr>
            <w:r>
              <w:rPr>
                <w:color w:val="4A5568"/>
                <w:sz w:val="18"/>
              </w:rPr>
              <w:t>Storm tracking, condition monitoring, IoT telemetry</w:t>
            </w:r>
          </w:p>
        </w:tc>
      </w:tr>
      <w:tr>
        <w:tc>
          <w:tcPr>
            <w:tcW w:w="2000" w:type="dxa"/>
          </w:tcPr>
          <w:p>
            <w:pPr>
              <w:spacing w:before="40" w:after="40"/>
            </w:pPr>
            <w:r>
              <w:rPr>
                <w:color w:val="4A5568"/>
                <w:sz w:val="18"/>
              </w:rPr>
              <w:t>Transactional</w:t>
            </w:r>
          </w:p>
        </w:tc>
        <w:tc>
          <w:tcPr>
            <w:tcW w:w="2000" w:type="dxa"/>
          </w:tcPr>
          <w:p>
            <w:pPr>
              <w:spacing w:before="40" w:after="40"/>
            </w:pPr>
            <w:r>
              <w:rPr>
                <w:color w:val="4A5568"/>
                <w:sz w:val="18"/>
              </w:rPr>
              <w:t>PostgreSQL 16</w:t>
            </w:r>
          </w:p>
        </w:tc>
        <w:tc>
          <w:tcPr>
            <w:tcW w:w="2000" w:type="dxa"/>
          </w:tcPr>
          <w:p>
            <w:pPr>
              <w:spacing w:before="40" w:after="40"/>
            </w:pPr>
            <w:r>
              <w:rPr>
                <w:color w:val="4A5568"/>
                <w:sz w:val="18"/>
              </w:rPr>
              <w:t>CockroachDB</w:t>
            </w:r>
          </w:p>
        </w:tc>
        <w:tc>
          <w:tcPr>
            <w:tcW w:w="2000" w:type="dxa"/>
          </w:tcPr>
          <w:p>
            <w:pPr>
              <w:spacing w:before="40" w:after="40"/>
            </w:pPr>
            <w:r>
              <w:rPr>
                <w:color w:val="4A5568"/>
                <w:sz w:val="18"/>
              </w:rPr>
              <w:t>Case management, user data, subscription billing</w:t>
            </w:r>
          </w:p>
        </w:tc>
      </w:tr>
      <w:tr>
        <w:tc>
          <w:tcPr>
            <w:tcW w:w="2000" w:type="dxa"/>
          </w:tcPr>
          <w:p>
            <w:pPr>
              <w:spacing w:before="40" w:after="40"/>
            </w:pPr>
            <w:r>
              <w:rPr>
                <w:color w:val="4A5568"/>
                <w:sz w:val="18"/>
              </w:rPr>
              <w:t>Document</w:t>
            </w:r>
          </w:p>
        </w:tc>
        <w:tc>
          <w:tcPr>
            <w:tcW w:w="2000" w:type="dxa"/>
          </w:tcPr>
          <w:p>
            <w:pPr>
              <w:spacing w:before="40" w:after="40"/>
            </w:pPr>
            <w:r>
              <w:rPr>
                <w:color w:val="4A5568"/>
                <w:sz w:val="18"/>
              </w:rPr>
              <w:t>MongoDB Atlas</w:t>
            </w:r>
          </w:p>
        </w:tc>
        <w:tc>
          <w:tcPr>
            <w:tcW w:w="2000" w:type="dxa"/>
          </w:tcPr>
          <w:p>
            <w:pPr>
              <w:spacing w:before="40" w:after="40"/>
            </w:pPr>
            <w:r>
              <w:rPr>
                <w:color w:val="4A5568"/>
                <w:sz w:val="18"/>
              </w:rPr>
              <w:t>Elasticsearch</w:t>
            </w:r>
          </w:p>
        </w:tc>
        <w:tc>
          <w:tcPr>
            <w:tcW w:w="2000" w:type="dxa"/>
          </w:tcPr>
          <w:p>
            <w:pPr>
              <w:spacing w:before="40" w:after="40"/>
            </w:pPr>
            <w:r>
              <w:rPr>
                <w:color w:val="4A5568"/>
                <w:sz w:val="18"/>
              </w:rPr>
              <w:t>Unstructured legal documents, full-text search</w:t>
            </w:r>
          </w:p>
        </w:tc>
      </w:tr>
      <w:tr>
        <w:tc>
          <w:tcPr>
            <w:tcW w:w="2000" w:type="dxa"/>
          </w:tcPr>
          <w:p>
            <w:pPr>
              <w:spacing w:before="40" w:after="40"/>
            </w:pPr>
            <w:r>
              <w:rPr>
                <w:color w:val="4A5568"/>
                <w:sz w:val="18"/>
              </w:rPr>
              <w:t>Cache / Real-Time</w:t>
            </w:r>
          </w:p>
        </w:tc>
        <w:tc>
          <w:tcPr>
            <w:tcW w:w="2000" w:type="dxa"/>
          </w:tcPr>
          <w:p>
            <w:pPr>
              <w:spacing w:before="40" w:after="40"/>
            </w:pPr>
            <w:r>
              <w:rPr>
                <w:color w:val="4A5568"/>
                <w:sz w:val="18"/>
              </w:rPr>
              <w:t>Redis Cluster</w:t>
            </w:r>
          </w:p>
        </w:tc>
        <w:tc>
          <w:tcPr>
            <w:tcW w:w="2000" w:type="dxa"/>
          </w:tcPr>
          <w:p>
            <w:pPr>
              <w:spacing w:before="40" w:after="40"/>
            </w:pPr>
            <w:r>
              <w:rPr>
                <w:color w:val="4A5568"/>
                <w:sz w:val="18"/>
              </w:rPr>
              <w:t>KeyDB</w:t>
            </w:r>
          </w:p>
        </w:tc>
        <w:tc>
          <w:tcPr>
            <w:tcW w:w="2000" w:type="dxa"/>
          </w:tcPr>
          <w:p>
            <w:pPr>
              <w:spacing w:before="40" w:after="40"/>
            </w:pPr>
            <w:r>
              <w:rPr>
                <w:color w:val="4A5568"/>
                <w:sz w:val="18"/>
              </w:rPr>
              <w:t>Session management, rate limiting, sub-10ms operations</w:t>
            </w:r>
          </w:p>
        </w:tc>
      </w:tr>
      <w:tr>
        <w:tc>
          <w:tcPr>
            <w:tcW w:w="2000" w:type="dxa"/>
          </w:tcPr>
          <w:p>
            <w:pPr>
              <w:spacing w:before="40" w:after="40"/>
            </w:pPr>
            <w:r>
              <w:rPr>
                <w:color w:val="4A5568"/>
                <w:sz w:val="18"/>
              </w:rPr>
              <w:t>Object Storage</w:t>
            </w:r>
          </w:p>
        </w:tc>
        <w:tc>
          <w:tcPr>
            <w:tcW w:w="2000" w:type="dxa"/>
          </w:tcPr>
          <w:p>
            <w:pPr>
              <w:spacing w:before="40" w:after="40"/>
            </w:pPr>
            <w:r>
              <w:rPr>
                <w:color w:val="4A5568"/>
                <w:sz w:val="18"/>
              </w:rPr>
              <w:t>AWS S3</w:t>
            </w:r>
          </w:p>
        </w:tc>
        <w:tc>
          <w:tcPr>
            <w:tcW w:w="2000" w:type="dxa"/>
          </w:tcPr>
          <w:p>
            <w:pPr>
              <w:spacing w:before="40" w:after="40"/>
            </w:pPr>
            <w:r>
              <w:rPr>
                <w:color w:val="4A5568"/>
                <w:sz w:val="18"/>
              </w:rPr>
              <w:t>Cloudflare R2</w:t>
            </w:r>
          </w:p>
        </w:tc>
        <w:tc>
          <w:tcPr>
            <w:tcW w:w="2000" w:type="dxa"/>
          </w:tcPr>
          <w:p>
            <w:pPr>
              <w:spacing w:before="40" w:after="40"/>
            </w:pPr>
            <w:r>
              <w:rPr>
                <w:color w:val="4A5568"/>
                <w:sz w:val="18"/>
              </w:rPr>
              <w:t>Property imagery, document archives, model artifacts</w:t>
            </w:r>
          </w:p>
        </w:tc>
      </w:tr>
      <w:tr>
        <w:tc>
          <w:tcPr>
            <w:tcW w:w="2000" w:type="dxa"/>
          </w:tcPr>
          <w:p>
            <w:pPr>
              <w:spacing w:before="40" w:after="40"/>
            </w:pPr>
            <w:r>
              <w:rPr>
                <w:color w:val="4A5568"/>
                <w:sz w:val="18"/>
              </w:rPr>
              <w:t>Data Lake / ML</w:t>
            </w:r>
          </w:p>
        </w:tc>
        <w:tc>
          <w:tcPr>
            <w:tcW w:w="2000" w:type="dxa"/>
          </w:tcPr>
          <w:p>
            <w:pPr>
              <w:spacing w:before="40" w:after="40"/>
            </w:pPr>
            <w:r>
              <w:rPr>
                <w:color w:val="4A5568"/>
                <w:sz w:val="18"/>
              </w:rPr>
              <w:t>Delta Lake on S3</w:t>
            </w:r>
          </w:p>
        </w:tc>
        <w:tc>
          <w:tcPr>
            <w:tcW w:w="2000" w:type="dxa"/>
          </w:tcPr>
          <w:p>
            <w:pPr>
              <w:spacing w:before="40" w:after="40"/>
            </w:pPr>
            <w:r>
              <w:rPr>
                <w:color w:val="4A5568"/>
                <w:sz w:val="18"/>
              </w:rPr>
              <w:t>Apache Iceberg</w:t>
            </w:r>
          </w:p>
        </w:tc>
        <w:tc>
          <w:tcPr>
            <w:tcW w:w="2000" w:type="dxa"/>
          </w:tcPr>
          <w:p>
            <w:pPr>
              <w:spacing w:before="40" w:after="40"/>
            </w:pPr>
            <w:r>
              <w:rPr>
                <w:color w:val="4A5568"/>
                <w:sz w:val="18"/>
              </w:rPr>
              <w:t>Analytics, ML feature store, training datasets</w:t>
            </w:r>
          </w:p>
        </w:tc>
      </w:tr>
    </w:tbl>
    <w:p>
      <w:pPr>
        <w:spacing w:before="120" w:after="120"/>
      </w:pPr>
    </w:p>
    <w:p>
      <w:pPr>
        <w:pStyle w:val="Heading2"/>
      </w:pPr>
      <w:r>
        <w:t>MLOps Pipeline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Component</w:t>
            </w:r>
          </w:p>
        </w:tc>
        <w:tc>
          <w:tcPr>
            <w:tcW w:w="2000" w:type="dxa"/>
            <w:shd w:val="clear" w:fill="1B3A4B"/>
          </w:tcPr>
          <w:p>
            <w:pPr>
              <w:spacing w:before="40" w:after="40"/>
            </w:pPr>
            <w:r>
              <w:rPr>
                <w:b/>
                <w:color w:val="FFFFFF"/>
                <w:sz w:val="18"/>
              </w:rPr>
              <w:t>Technology</w:t>
            </w:r>
          </w:p>
        </w:tc>
        <w:tc>
          <w:tcPr>
            <w:tcW w:w="2000" w:type="dxa"/>
            <w:shd w:val="clear" w:fill="1B3A4B"/>
          </w:tcPr>
          <w:p>
            <w:pPr>
              <w:spacing w:before="40" w:after="40"/>
            </w:pPr>
            <w:r>
              <w:rPr>
                <w:b/>
                <w:color w:val="FFFFFF"/>
                <w:sz w:val="18"/>
              </w:rPr>
              <w:t>Function</w:t>
            </w:r>
          </w:p>
        </w:tc>
      </w:tr>
      <w:tr>
        <w:tc>
          <w:tcPr>
            <w:tcW w:w="2000" w:type="dxa"/>
          </w:tcPr>
          <w:p>
            <w:pPr>
              <w:spacing w:before="40" w:after="40"/>
            </w:pPr>
            <w:r>
              <w:rPr>
                <w:color w:val="4A5568"/>
                <w:sz w:val="18"/>
              </w:rPr>
              <w:t>Feature Store</w:t>
            </w:r>
          </w:p>
        </w:tc>
        <w:tc>
          <w:tcPr>
            <w:tcW w:w="2000" w:type="dxa"/>
          </w:tcPr>
          <w:p>
            <w:pPr>
              <w:spacing w:before="40" w:after="40"/>
            </w:pPr>
            <w:r>
              <w:rPr>
                <w:color w:val="4A5568"/>
                <w:sz w:val="18"/>
              </w:rPr>
              <w:t>Feast</w:t>
            </w:r>
          </w:p>
        </w:tc>
        <w:tc>
          <w:tcPr>
            <w:tcW w:w="2000" w:type="dxa"/>
          </w:tcPr>
          <w:p>
            <w:pPr>
              <w:spacing w:before="40" w:after="40"/>
            </w:pPr>
            <w:r>
              <w:rPr>
                <w:color w:val="4A5568"/>
                <w:sz w:val="18"/>
              </w:rPr>
              <w:t>Versioned, documented features with provenance tracking</w:t>
            </w:r>
          </w:p>
        </w:tc>
      </w:tr>
      <w:tr>
        <w:tc>
          <w:tcPr>
            <w:tcW w:w="2000" w:type="dxa"/>
          </w:tcPr>
          <w:p>
            <w:pPr>
              <w:spacing w:before="40" w:after="40"/>
            </w:pPr>
            <w:r>
              <w:rPr>
                <w:color w:val="4A5568"/>
                <w:sz w:val="18"/>
              </w:rPr>
              <w:t>Model Registry</w:t>
            </w:r>
          </w:p>
        </w:tc>
        <w:tc>
          <w:tcPr>
            <w:tcW w:w="2000" w:type="dxa"/>
          </w:tcPr>
          <w:p>
            <w:pPr>
              <w:spacing w:before="40" w:after="40"/>
            </w:pPr>
            <w:r>
              <w:rPr>
                <w:color w:val="4A5568"/>
                <w:sz w:val="18"/>
              </w:rPr>
              <w:t>MLflow</w:t>
            </w:r>
          </w:p>
        </w:tc>
        <w:tc>
          <w:tcPr>
            <w:tcW w:w="2000" w:type="dxa"/>
          </w:tcPr>
          <w:p>
            <w:pPr>
              <w:spacing w:before="40" w:after="40"/>
            </w:pPr>
            <w:r>
              <w:rPr>
                <w:color w:val="4A5568"/>
                <w:sz w:val="18"/>
              </w:rPr>
              <w:t>Model versioning, experiment tracking, deployment staging</w:t>
            </w:r>
          </w:p>
        </w:tc>
      </w:tr>
      <w:tr>
        <w:tc>
          <w:tcPr>
            <w:tcW w:w="2000" w:type="dxa"/>
          </w:tcPr>
          <w:p>
            <w:pPr>
              <w:spacing w:before="40" w:after="40"/>
            </w:pPr>
            <w:r>
              <w:rPr>
                <w:color w:val="4A5568"/>
                <w:sz w:val="18"/>
              </w:rPr>
              <w:t>Training Orchestration</w:t>
            </w:r>
          </w:p>
        </w:tc>
        <w:tc>
          <w:tcPr>
            <w:tcW w:w="2000" w:type="dxa"/>
          </w:tcPr>
          <w:p>
            <w:pPr>
              <w:spacing w:before="40" w:after="40"/>
            </w:pPr>
            <w:r>
              <w:rPr>
                <w:color w:val="4A5568"/>
                <w:sz w:val="18"/>
              </w:rPr>
              <w:t>Kubeflow Pipelines</w:t>
            </w:r>
          </w:p>
        </w:tc>
        <w:tc>
          <w:tcPr>
            <w:tcW w:w="2000" w:type="dxa"/>
          </w:tcPr>
          <w:p>
            <w:pPr>
              <w:spacing w:before="40" w:after="40"/>
            </w:pPr>
            <w:r>
              <w:rPr>
                <w:color w:val="4A5568"/>
                <w:sz w:val="18"/>
              </w:rPr>
              <w:t>DAG-based ML workflows; distributed training via Ray Train</w:t>
            </w:r>
          </w:p>
        </w:tc>
      </w:tr>
      <w:tr>
        <w:tc>
          <w:tcPr>
            <w:tcW w:w="2000" w:type="dxa"/>
          </w:tcPr>
          <w:p>
            <w:pPr>
              <w:spacing w:before="40" w:after="40"/>
            </w:pPr>
            <w:r>
              <w:rPr>
                <w:color w:val="4A5568"/>
                <w:sz w:val="18"/>
              </w:rPr>
              <w:t>Model Serving -- Real-Time</w:t>
            </w:r>
          </w:p>
        </w:tc>
        <w:tc>
          <w:tcPr>
            <w:tcW w:w="2000" w:type="dxa"/>
          </w:tcPr>
          <w:p>
            <w:pPr>
              <w:spacing w:before="40" w:after="40"/>
            </w:pPr>
            <w:r>
              <w:rPr>
                <w:color w:val="4A5568"/>
                <w:sz w:val="18"/>
              </w:rPr>
              <w:t>KServe</w:t>
            </w:r>
          </w:p>
        </w:tc>
        <w:tc>
          <w:tcPr>
            <w:tcW w:w="2000" w:type="dxa"/>
          </w:tcPr>
          <w:p>
            <w:pPr>
              <w:spacing w:before="40" w:after="40"/>
            </w:pPr>
            <w:r>
              <w:rPr>
                <w:color w:val="4A5568"/>
                <w:sz w:val="18"/>
              </w:rPr>
              <w:t>Property analysis and verification: &lt;100ms latency target</w:t>
            </w:r>
          </w:p>
        </w:tc>
      </w:tr>
      <w:tr>
        <w:tc>
          <w:tcPr>
            <w:tcW w:w="2000" w:type="dxa"/>
          </w:tcPr>
          <w:p>
            <w:pPr>
              <w:spacing w:before="40" w:after="40"/>
            </w:pPr>
            <w:r>
              <w:rPr>
                <w:color w:val="4A5568"/>
                <w:sz w:val="18"/>
              </w:rPr>
              <w:t>Model Serving -- Batch</w:t>
            </w:r>
          </w:p>
        </w:tc>
        <w:tc>
          <w:tcPr>
            <w:tcW w:w="2000" w:type="dxa"/>
          </w:tcPr>
          <w:p>
            <w:pPr>
              <w:spacing w:before="40" w:after="40"/>
            </w:pPr>
            <w:r>
              <w:rPr>
                <w:color w:val="4A5568"/>
                <w:sz w:val="18"/>
              </w:rPr>
              <w:t>Apache Spark</w:t>
            </w:r>
          </w:p>
        </w:tc>
        <w:tc>
          <w:tcPr>
            <w:tcW w:w="2000" w:type="dxa"/>
          </w:tcPr>
          <w:p>
            <w:pPr>
              <w:spacing w:before="40" w:after="40"/>
            </w:pPr>
            <w:r>
              <w:rPr>
                <w:color w:val="4A5568"/>
                <w:sz w:val="18"/>
              </w:rPr>
              <w:t>Portfolio valuation, storm scoring: minutes-to-hours</w:t>
            </w:r>
          </w:p>
        </w:tc>
      </w:tr>
      <w:tr>
        <w:tc>
          <w:tcPr>
            <w:tcW w:w="2000" w:type="dxa"/>
          </w:tcPr>
          <w:p>
            <w:pPr>
              <w:spacing w:before="40" w:after="40"/>
            </w:pPr>
            <w:r>
              <w:rPr>
                <w:color w:val="4A5568"/>
                <w:sz w:val="18"/>
              </w:rPr>
              <w:t>Model Serving -- Edge</w:t>
            </w:r>
          </w:p>
        </w:tc>
        <w:tc>
          <w:tcPr>
            <w:tcW w:w="2000" w:type="dxa"/>
          </w:tcPr>
          <w:p>
            <w:pPr>
              <w:spacing w:before="40" w:after="40"/>
            </w:pPr>
            <w:r>
              <w:rPr>
                <w:color w:val="4A5568"/>
                <w:sz w:val="18"/>
              </w:rPr>
              <w:t>TensorFlow Lite</w:t>
            </w:r>
          </w:p>
        </w:tc>
        <w:tc>
          <w:tcPr>
            <w:tcW w:w="2000" w:type="dxa"/>
          </w:tcPr>
          <w:p>
            <w:pPr>
              <w:spacing w:before="40" w:after="40"/>
            </w:pPr>
            <w:r>
              <w:rPr>
                <w:color w:val="4A5568"/>
                <w:sz w:val="18"/>
              </w:rPr>
              <w:t>Mobile AR, field verification: &lt;50ms on-device</w:t>
            </w:r>
          </w:p>
        </w:tc>
      </w:tr>
      <w:tr>
        <w:tc>
          <w:tcPr>
            <w:tcW w:w="2000" w:type="dxa"/>
          </w:tcPr>
          <w:p>
            <w:pPr>
              <w:spacing w:before="40" w:after="40"/>
            </w:pPr>
            <w:r>
              <w:rPr>
                <w:color w:val="4A5568"/>
                <w:sz w:val="18"/>
              </w:rPr>
              <w:t>Monitoring</w:t>
            </w:r>
          </w:p>
        </w:tc>
        <w:tc>
          <w:tcPr>
            <w:tcW w:w="2000" w:type="dxa"/>
          </w:tcPr>
          <w:p>
            <w:pPr>
              <w:spacing w:before="40" w:after="40"/>
            </w:pPr>
            <w:r>
              <w:rPr>
                <w:color w:val="4A5568"/>
                <w:sz w:val="18"/>
              </w:rPr>
              <w:t>Evidently AI</w:t>
            </w:r>
          </w:p>
        </w:tc>
        <w:tc>
          <w:tcPr>
            <w:tcW w:w="2000" w:type="dxa"/>
          </w:tcPr>
          <w:p>
            <w:pPr>
              <w:spacing w:before="40" w:after="40"/>
            </w:pPr>
            <w:r>
              <w:rPr>
                <w:color w:val="4A5568"/>
                <w:sz w:val="18"/>
              </w:rPr>
              <w:t>Data drift detection, model degradation alerts</w:t>
            </w:r>
          </w:p>
        </w:tc>
      </w:tr>
      <w:tr>
        <w:tc>
          <w:tcPr>
            <w:tcW w:w="2000" w:type="dxa"/>
          </w:tcPr>
          <w:p>
            <w:pPr>
              <w:spacing w:before="40" w:after="40"/>
            </w:pPr>
            <w:r>
              <w:rPr>
                <w:color w:val="4A5568"/>
                <w:sz w:val="18"/>
              </w:rPr>
              <w:t>Federated Learning</w:t>
            </w:r>
          </w:p>
        </w:tc>
        <w:tc>
          <w:tcPr>
            <w:tcW w:w="2000" w:type="dxa"/>
          </w:tcPr>
          <w:p>
            <w:pPr>
              <w:spacing w:before="40" w:after="40"/>
            </w:pPr>
            <w:r>
              <w:rPr>
                <w:color w:val="4A5568"/>
                <w:sz w:val="18"/>
              </w:rPr>
              <w:t>Custom PRINCE protocol</w:t>
            </w:r>
          </w:p>
        </w:tc>
        <w:tc>
          <w:tcPr>
            <w:tcW w:w="2000" w:type="dxa"/>
          </w:tcPr>
          <w:p>
            <w:pPr>
              <w:spacing w:before="40" w:after="40"/>
            </w:pPr>
            <w:r>
              <w:rPr>
                <w:color w:val="4A5568"/>
                <w:sz w:val="18"/>
              </w:rPr>
              <w:t>Cross-module improvement while preserving privacy</w:t>
            </w:r>
          </w:p>
        </w:tc>
      </w:tr>
    </w:tbl>
    <w:p>
      <w:pPr>
        <w:spacing w:before="120" w:after="120"/>
      </w:pPr>
    </w:p>
    <w:p>
      <w:pPr>
        <w:pStyle w:val="Heading2"/>
      </w:pPr>
      <w:r>
        <w:t>Three-Layer Security Architecture</w:t>
      </w:r>
    </w:p>
    <w:p>
      <w:r>
        <w:t>Property Intelligence data includes satellite imagery, property records, legal documents, financial transactions, and personal identity information. The security architecture implements defense-in-depth with three specialized layers:</w:t>
      </w:r>
    </w:p>
    <w:p>
      <w:pPr>
        <w:numPr>
          <w:ilvl w:val="0"/>
          <w:numId w:val="1"/>
        </w:numPr>
      </w:pPr>
      <w:r>
        <w:t>Sovereign Shield v2: CRYSTALS-Kyber-1024 post-quantum key encapsulation, CRYSTALS-Dilithium digital signatures, zk-SNARK zero-knowledge proofs for attribution verification, and NSA CNSA 2.0 compliance for federal contracts.</w:t>
      </w:r>
    </w:p>
    <w:p>
      <w:pPr>
        <w:numPr>
          <w:ilvl w:val="0"/>
          <w:numId w:val="1"/>
        </w:numPr>
      </w:pPr>
      <w:r>
        <w:t>IronClaw WASM: Hardware-enforced WebAssembly sandboxing with capability-based permissions. Each AI model runs in isolation with restricted access. A probate document parser cannot access storm damage imagery; a property valuation model cannot access heir identification records.</w:t>
      </w:r>
    </w:p>
    <w:p>
      <w:pPr>
        <w:numPr>
          <w:ilvl w:val="0"/>
          <w:numId w:val="1"/>
        </w:numPr>
      </w:pPr>
      <w:r>
        <w:t>ACP-SQL Ledger: Attestation and Compliance Protocol with cryptographic chain verification. Every data access, model inference, and financial transaction creates an immutable audit trail. This is the technical foundation for SOC 2, GDPR, FedRAMP, and court-admissible evidence.</w:t>
      </w:r>
    </w:p>
    <w:p>
      <w:pPr>
        <w:pStyle w:val="Heading1"/>
      </w:pPr>
      <w:r>
        <w:t>CHAPTER 06: Financial Model &amp; Valuation Analysis</w:t>
      </w:r>
      <w:bookmarkStart w:name="_H7" w:id="7"/>
      <w:bookmarkEnd w:id="7"/>
    </w:p>
    <w:p>
      <w:pPr>
        <w:pStyle w:val="Heading2"/>
      </w:pPr>
      <w:r>
        <w:t>Conservative Revenue Projections (5-Year)</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gridCol w:w="2000"/>
      </w:tblGrid>
      <w:tr>
        <w:trPr>
          <w:tblHeader/>
        </w:trPr>
        <w:tc>
          <w:tcPr>
            <w:tcW w:w="2000" w:type="dxa"/>
            <w:shd w:val="clear" w:fill="1B3A4B"/>
          </w:tcPr>
          <w:p>
            <w:pPr>
              <w:spacing w:before="40" w:after="40"/>
            </w:pPr>
            <w:r>
              <w:rPr>
                <w:b/>
                <w:color w:val="FFFFFF"/>
                <w:sz w:val="18"/>
              </w:rPr>
              <w:t>Year</w:t>
            </w:r>
          </w:p>
        </w:tc>
        <w:tc>
          <w:tcPr>
            <w:tcW w:w="2000" w:type="dxa"/>
            <w:shd w:val="clear" w:fill="1B3A4B"/>
          </w:tcPr>
          <w:p>
            <w:pPr>
              <w:spacing w:before="40" w:after="40"/>
            </w:pPr>
            <w:r>
              <w:rPr>
                <w:b/>
                <w:color w:val="FFFFFF"/>
                <w:sz w:val="18"/>
              </w:rPr>
              <w:t>Subscription</w:t>
            </w:r>
          </w:p>
        </w:tc>
        <w:tc>
          <w:tcPr>
            <w:tcW w:w="2000" w:type="dxa"/>
            <w:shd w:val="clear" w:fill="1B3A4B"/>
          </w:tcPr>
          <w:p>
            <w:pPr>
              <w:spacing w:before="40" w:after="40"/>
            </w:pPr>
            <w:r>
              <w:rPr>
                <w:b/>
                <w:color w:val="FFFFFF"/>
                <w:sz w:val="18"/>
              </w:rPr>
              <w:t>Transaction Fees</w:t>
            </w:r>
          </w:p>
        </w:tc>
        <w:tc>
          <w:tcPr>
            <w:tcW w:w="2000" w:type="dxa"/>
            <w:shd w:val="clear" w:fill="1B3A4B"/>
          </w:tcPr>
          <w:p>
            <w:pPr>
              <w:spacing w:before="40" w:after="40"/>
            </w:pPr>
            <w:r>
              <w:rPr>
                <w:b/>
                <w:color w:val="FFFFFF"/>
                <w:sz w:val="18"/>
              </w:rPr>
              <w:t>Data / Other</w:t>
            </w:r>
          </w:p>
        </w:tc>
        <w:tc>
          <w:tcPr>
            <w:tcW w:w="2000" w:type="dxa"/>
            <w:shd w:val="clear" w:fill="1B3A4B"/>
          </w:tcPr>
          <w:p>
            <w:pPr>
              <w:spacing w:before="40" w:after="40"/>
            </w:pPr>
            <w:r>
              <w:rPr>
                <w:b/>
                <w:color w:val="FFFFFF"/>
                <w:sz w:val="18"/>
              </w:rPr>
              <w:t>Total Revenue</w:t>
            </w:r>
          </w:p>
        </w:tc>
        <w:tc>
          <w:tcPr>
            <w:tcW w:w="2000" w:type="dxa"/>
            <w:shd w:val="clear" w:fill="1B3A4B"/>
          </w:tcPr>
          <w:p>
            <w:pPr>
              <w:spacing w:before="40" w:after="40"/>
            </w:pPr>
            <w:r>
              <w:rPr>
                <w:b/>
                <w:color w:val="FFFFFF"/>
                <w:sz w:val="18"/>
              </w:rPr>
              <w:t>Net Profit</w:t>
            </w:r>
          </w:p>
        </w:tc>
      </w:tr>
      <w:tr>
        <w:tc>
          <w:tcPr>
            <w:tcW w:w="2000" w:type="dxa"/>
          </w:tcPr>
          <w:p>
            <w:pPr>
              <w:spacing w:before="40" w:after="40"/>
            </w:pPr>
            <w:r>
              <w:rPr>
                <w:color w:val="4A5568"/>
                <w:sz w:val="18"/>
              </w:rPr>
              <w:t>Year 1</w:t>
            </w:r>
          </w:p>
        </w:tc>
        <w:tc>
          <w:tcPr>
            <w:tcW w:w="2000" w:type="dxa"/>
          </w:tcPr>
          <w:p>
            <w:pPr>
              <w:spacing w:before="40" w:after="40"/>
            </w:pPr>
            <w:r>
              <w:rPr>
                <w:color w:val="4A5568"/>
                <w:sz w:val="18"/>
              </w:rPr>
              <w:t>$400K</w:t>
            </w:r>
          </w:p>
        </w:tc>
        <w:tc>
          <w:tcPr>
            <w:tcW w:w="2000" w:type="dxa"/>
          </w:tcPr>
          <w:p>
            <w:pPr>
              <w:spacing w:before="40" w:after="40"/>
            </w:pPr>
            <w:r>
              <w:rPr>
                <w:color w:val="4A5568"/>
                <w:sz w:val="18"/>
              </w:rPr>
              <w:t>$100K</w:t>
            </w:r>
          </w:p>
        </w:tc>
        <w:tc>
          <w:tcPr>
            <w:tcW w:w="2000" w:type="dxa"/>
          </w:tcPr>
          <w:p>
            <w:pPr>
              <w:spacing w:before="40" w:after="40"/>
            </w:pPr>
            <w:r>
              <w:rPr>
                <w:color w:val="4A5568"/>
                <w:sz w:val="18"/>
              </w:rPr>
              <w:t>$50K</w:t>
            </w:r>
          </w:p>
        </w:tc>
        <w:tc>
          <w:tcPr>
            <w:tcW w:w="2000" w:type="dxa"/>
          </w:tcPr>
          <w:p>
            <w:pPr>
              <w:spacing w:before="40" w:after="40"/>
            </w:pPr>
            <w:r>
              <w:rPr>
                <w:color w:val="4A5568"/>
                <w:sz w:val="18"/>
              </w:rPr>
              <w:t>$550K</w:t>
            </w:r>
          </w:p>
        </w:tc>
        <w:tc>
          <w:tcPr>
            <w:tcW w:w="2000" w:type="dxa"/>
          </w:tcPr>
          <w:p>
            <w:pPr>
              <w:spacing w:before="40" w:after="40"/>
            </w:pPr>
            <w:r>
              <w:rPr>
                <w:color w:val="4A5568"/>
                <w:sz w:val="18"/>
              </w:rPr>
              <w:t>$150K</w:t>
            </w:r>
          </w:p>
        </w:tc>
      </w:tr>
      <w:tr>
        <w:tc>
          <w:tcPr>
            <w:tcW w:w="2000" w:type="dxa"/>
          </w:tcPr>
          <w:p>
            <w:pPr>
              <w:spacing w:before="40" w:after="40"/>
            </w:pPr>
            <w:r>
              <w:rPr>
                <w:color w:val="4A5568"/>
                <w:sz w:val="18"/>
              </w:rPr>
              <w:t>Year 2</w:t>
            </w:r>
          </w:p>
        </w:tc>
        <w:tc>
          <w:tcPr>
            <w:tcW w:w="2000" w:type="dxa"/>
          </w:tcPr>
          <w:p>
            <w:pPr>
              <w:spacing w:before="40" w:after="40"/>
            </w:pPr>
            <w:r>
              <w:rPr>
                <w:color w:val="4A5568"/>
                <w:sz w:val="18"/>
              </w:rPr>
              <w:t>$1.5M</w:t>
            </w:r>
          </w:p>
        </w:tc>
        <w:tc>
          <w:tcPr>
            <w:tcW w:w="2000" w:type="dxa"/>
          </w:tcPr>
          <w:p>
            <w:pPr>
              <w:spacing w:before="40" w:after="40"/>
            </w:pPr>
            <w:r>
              <w:rPr>
                <w:color w:val="4A5568"/>
                <w:sz w:val="18"/>
              </w:rPr>
              <w:t>$500K</w:t>
            </w:r>
          </w:p>
        </w:tc>
        <w:tc>
          <w:tcPr>
            <w:tcW w:w="2000" w:type="dxa"/>
          </w:tcPr>
          <w:p>
            <w:pPr>
              <w:spacing w:before="40" w:after="40"/>
            </w:pPr>
            <w:r>
              <w:rPr>
                <w:color w:val="4A5568"/>
                <w:sz w:val="18"/>
              </w:rPr>
              <w:t>$300K</w:t>
            </w:r>
          </w:p>
        </w:tc>
        <w:tc>
          <w:tcPr>
            <w:tcW w:w="2000" w:type="dxa"/>
          </w:tcPr>
          <w:p>
            <w:pPr>
              <w:spacing w:before="40" w:after="40"/>
            </w:pPr>
            <w:r>
              <w:rPr>
                <w:color w:val="4A5568"/>
                <w:sz w:val="18"/>
              </w:rPr>
              <w:t>$2.3M</w:t>
            </w:r>
          </w:p>
        </w:tc>
        <w:tc>
          <w:tcPr>
            <w:tcW w:w="2000" w:type="dxa"/>
          </w:tcPr>
          <w:p>
            <w:pPr>
              <w:spacing w:before="40" w:after="40"/>
            </w:pPr>
            <w:r>
              <w:rPr>
                <w:color w:val="4A5568"/>
                <w:sz w:val="18"/>
              </w:rPr>
              <w:t>$800K</w:t>
            </w:r>
          </w:p>
        </w:tc>
      </w:tr>
      <w:tr>
        <w:tc>
          <w:tcPr>
            <w:tcW w:w="2000" w:type="dxa"/>
          </w:tcPr>
          <w:p>
            <w:pPr>
              <w:spacing w:before="40" w:after="40"/>
            </w:pPr>
            <w:r>
              <w:rPr>
                <w:color w:val="4A5568"/>
                <w:sz w:val="18"/>
              </w:rPr>
              <w:t>Year 3</w:t>
            </w:r>
          </w:p>
        </w:tc>
        <w:tc>
          <w:tcPr>
            <w:tcW w:w="2000" w:type="dxa"/>
          </w:tcPr>
          <w:p>
            <w:pPr>
              <w:spacing w:before="40" w:after="40"/>
            </w:pPr>
            <w:r>
              <w:rPr>
                <w:color w:val="4A5568"/>
                <w:sz w:val="18"/>
              </w:rPr>
              <w:t>$4M</w:t>
            </w:r>
          </w:p>
        </w:tc>
        <w:tc>
          <w:tcPr>
            <w:tcW w:w="2000" w:type="dxa"/>
          </w:tcPr>
          <w:p>
            <w:pPr>
              <w:spacing w:before="40" w:after="40"/>
            </w:pPr>
            <w:r>
              <w:rPr>
                <w:color w:val="4A5568"/>
                <w:sz w:val="18"/>
              </w:rPr>
              <w:t>$1.5M</w:t>
            </w:r>
          </w:p>
        </w:tc>
        <w:tc>
          <w:tcPr>
            <w:tcW w:w="2000" w:type="dxa"/>
          </w:tcPr>
          <w:p>
            <w:pPr>
              <w:spacing w:before="40" w:after="40"/>
            </w:pPr>
            <w:r>
              <w:rPr>
                <w:color w:val="4A5568"/>
                <w:sz w:val="18"/>
              </w:rPr>
              <w:t>$800K</w:t>
            </w:r>
          </w:p>
        </w:tc>
        <w:tc>
          <w:tcPr>
            <w:tcW w:w="2000" w:type="dxa"/>
          </w:tcPr>
          <w:p>
            <w:pPr>
              <w:spacing w:before="40" w:after="40"/>
            </w:pPr>
            <w:r>
              <w:rPr>
                <w:color w:val="4A5568"/>
                <w:sz w:val="18"/>
              </w:rPr>
              <w:t>$6.3M</w:t>
            </w:r>
          </w:p>
        </w:tc>
        <w:tc>
          <w:tcPr>
            <w:tcW w:w="2000" w:type="dxa"/>
          </w:tcPr>
          <w:p>
            <w:pPr>
              <w:spacing w:before="40" w:after="40"/>
            </w:pPr>
            <w:r>
              <w:rPr>
                <w:color w:val="4A5568"/>
                <w:sz w:val="18"/>
              </w:rPr>
              <w:t>$2.5M</w:t>
            </w:r>
          </w:p>
        </w:tc>
      </w:tr>
      <w:tr>
        <w:tc>
          <w:tcPr>
            <w:tcW w:w="2000" w:type="dxa"/>
          </w:tcPr>
          <w:p>
            <w:pPr>
              <w:spacing w:before="40" w:after="40"/>
            </w:pPr>
            <w:r>
              <w:rPr>
                <w:color w:val="4A5568"/>
                <w:sz w:val="18"/>
              </w:rPr>
              <w:t>Year 4</w:t>
            </w:r>
          </w:p>
        </w:tc>
        <w:tc>
          <w:tcPr>
            <w:tcW w:w="2000" w:type="dxa"/>
          </w:tcPr>
          <w:p>
            <w:pPr>
              <w:spacing w:before="40" w:after="40"/>
            </w:pPr>
            <w:r>
              <w:rPr>
                <w:color w:val="4A5568"/>
                <w:sz w:val="18"/>
              </w:rPr>
              <w:t>$10M</w:t>
            </w:r>
          </w:p>
        </w:tc>
        <w:tc>
          <w:tcPr>
            <w:tcW w:w="2000" w:type="dxa"/>
          </w:tcPr>
          <w:p>
            <w:pPr>
              <w:spacing w:before="40" w:after="40"/>
            </w:pPr>
            <w:r>
              <w:rPr>
                <w:color w:val="4A5568"/>
                <w:sz w:val="18"/>
              </w:rPr>
              <w:t>$4M</w:t>
            </w:r>
          </w:p>
        </w:tc>
        <w:tc>
          <w:tcPr>
            <w:tcW w:w="2000" w:type="dxa"/>
          </w:tcPr>
          <w:p>
            <w:pPr>
              <w:spacing w:before="40" w:after="40"/>
            </w:pPr>
            <w:r>
              <w:rPr>
                <w:color w:val="4A5568"/>
                <w:sz w:val="18"/>
              </w:rPr>
              <w:t>$2M</w:t>
            </w:r>
          </w:p>
        </w:tc>
        <w:tc>
          <w:tcPr>
            <w:tcW w:w="2000" w:type="dxa"/>
          </w:tcPr>
          <w:p>
            <w:pPr>
              <w:spacing w:before="40" w:after="40"/>
            </w:pPr>
            <w:r>
              <w:rPr>
                <w:color w:val="4A5568"/>
                <w:sz w:val="18"/>
              </w:rPr>
              <w:t>$16M</w:t>
            </w:r>
          </w:p>
        </w:tc>
        <w:tc>
          <w:tcPr>
            <w:tcW w:w="2000" w:type="dxa"/>
          </w:tcPr>
          <w:p>
            <w:pPr>
              <w:spacing w:before="40" w:after="40"/>
            </w:pPr>
            <w:r>
              <w:rPr>
                <w:color w:val="4A5568"/>
                <w:sz w:val="18"/>
              </w:rPr>
              <w:t>$6M</w:t>
            </w:r>
          </w:p>
        </w:tc>
      </w:tr>
      <w:tr>
        <w:tc>
          <w:tcPr>
            <w:tcW w:w="2000" w:type="dxa"/>
          </w:tcPr>
          <w:p>
            <w:pPr>
              <w:spacing w:before="40" w:after="40"/>
            </w:pPr>
            <w:r>
              <w:rPr>
                <w:color w:val="4A5568"/>
                <w:sz w:val="18"/>
              </w:rPr>
              <w:t>Year 5</w:t>
            </w:r>
          </w:p>
        </w:tc>
        <w:tc>
          <w:tcPr>
            <w:tcW w:w="2000" w:type="dxa"/>
          </w:tcPr>
          <w:p>
            <w:pPr>
              <w:spacing w:before="40" w:after="40"/>
            </w:pPr>
            <w:r>
              <w:rPr>
                <w:color w:val="4A5568"/>
                <w:sz w:val="18"/>
              </w:rPr>
              <w:t>$25M</w:t>
            </w:r>
          </w:p>
        </w:tc>
        <w:tc>
          <w:tcPr>
            <w:tcW w:w="2000" w:type="dxa"/>
          </w:tcPr>
          <w:p>
            <w:pPr>
              <w:spacing w:before="40" w:after="40"/>
            </w:pPr>
            <w:r>
              <w:rPr>
                <w:color w:val="4A5568"/>
                <w:sz w:val="18"/>
              </w:rPr>
              <w:t>$10M</w:t>
            </w:r>
          </w:p>
        </w:tc>
        <w:tc>
          <w:tcPr>
            <w:tcW w:w="2000" w:type="dxa"/>
          </w:tcPr>
          <w:p>
            <w:pPr>
              <w:spacing w:before="40" w:after="40"/>
            </w:pPr>
            <w:r>
              <w:rPr>
                <w:color w:val="4A5568"/>
                <w:sz w:val="18"/>
              </w:rPr>
              <w:t>$5M</w:t>
            </w:r>
          </w:p>
        </w:tc>
        <w:tc>
          <w:tcPr>
            <w:tcW w:w="2000" w:type="dxa"/>
          </w:tcPr>
          <w:p>
            <w:pPr>
              <w:spacing w:before="40" w:after="40"/>
            </w:pPr>
            <w:r>
              <w:rPr>
                <w:color w:val="4A5568"/>
                <w:sz w:val="18"/>
              </w:rPr>
              <w:t>$40M</w:t>
            </w:r>
          </w:p>
        </w:tc>
        <w:tc>
          <w:tcPr>
            <w:tcW w:w="2000" w:type="dxa"/>
          </w:tcPr>
          <w:p>
            <w:pPr>
              <w:spacing w:before="40" w:after="40"/>
            </w:pPr>
            <w:r>
              <w:rPr>
                <w:color w:val="4A5568"/>
                <w:sz w:val="18"/>
              </w:rPr>
              <w:t>$15M</w:t>
            </w:r>
          </w:p>
        </w:tc>
      </w:tr>
    </w:tbl>
    <w:p>
      <w:pPr>
        <w:spacing w:before="120" w:after="120"/>
      </w:pPr>
    </w:p>
    <w:p>
      <w:pPr>
        <w:pStyle w:val="Heading2"/>
      </w:pPr>
      <w:r>
        <w:t>VC Valuation -- Multi-Methodology Summary</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tblGrid>
      <w:tr>
        <w:trPr>
          <w:tblHeader/>
        </w:trPr>
        <w:tc>
          <w:tcPr>
            <w:tcW w:w="2000" w:type="dxa"/>
            <w:shd w:val="clear" w:fill="1B3A4B"/>
          </w:tcPr>
          <w:p>
            <w:pPr>
              <w:spacing w:before="40" w:after="40"/>
            </w:pPr>
            <w:r>
              <w:rPr>
                <w:b/>
                <w:color w:val="FFFFFF"/>
                <w:sz w:val="18"/>
              </w:rPr>
              <w:t>Method</w:t>
            </w:r>
          </w:p>
        </w:tc>
        <w:tc>
          <w:tcPr>
            <w:tcW w:w="2000" w:type="dxa"/>
            <w:shd w:val="clear" w:fill="1B3A4B"/>
          </w:tcPr>
          <w:p>
            <w:pPr>
              <w:spacing w:before="40" w:after="40"/>
            </w:pPr>
            <w:r>
              <w:rPr>
                <w:b/>
                <w:color w:val="FFFFFF"/>
                <w:sz w:val="18"/>
              </w:rPr>
              <w:t>Conservative</w:t>
            </w:r>
          </w:p>
        </w:tc>
        <w:tc>
          <w:tcPr>
            <w:tcW w:w="2000" w:type="dxa"/>
            <w:shd w:val="clear" w:fill="1B3A4B"/>
          </w:tcPr>
          <w:p>
            <w:pPr>
              <w:spacing w:before="40" w:after="40"/>
            </w:pPr>
            <w:r>
              <w:rPr>
                <w:b/>
                <w:color w:val="FFFFFF"/>
                <w:sz w:val="18"/>
              </w:rPr>
              <w:t>Base Case</w:t>
            </w:r>
          </w:p>
        </w:tc>
        <w:tc>
          <w:tcPr>
            <w:tcW w:w="2000" w:type="dxa"/>
            <w:shd w:val="clear" w:fill="1B3A4B"/>
          </w:tcPr>
          <w:p>
            <w:pPr>
              <w:spacing w:before="40" w:after="40"/>
            </w:pPr>
            <w:r>
              <w:rPr>
                <w:b/>
                <w:color w:val="FFFFFF"/>
                <w:sz w:val="18"/>
              </w:rPr>
              <w:t>Optimistic</w:t>
            </w:r>
          </w:p>
        </w:tc>
        <w:tc>
          <w:tcPr>
            <w:tcW w:w="2000" w:type="dxa"/>
            <w:shd w:val="clear" w:fill="1B3A4B"/>
          </w:tcPr>
          <w:p>
            <w:pPr>
              <w:spacing w:before="40" w:after="40"/>
            </w:pPr>
            <w:r>
              <w:rPr>
                <w:b/>
                <w:color w:val="FFFFFF"/>
                <w:sz w:val="18"/>
              </w:rPr>
              <w:t>Weight</w:t>
            </w:r>
          </w:p>
        </w:tc>
      </w:tr>
      <w:tr>
        <w:tc>
          <w:tcPr>
            <w:tcW w:w="2000" w:type="dxa"/>
          </w:tcPr>
          <w:p>
            <w:pPr>
              <w:spacing w:before="40" w:after="40"/>
            </w:pPr>
            <w:r>
              <w:rPr>
                <w:color w:val="4A5568"/>
                <w:sz w:val="18"/>
              </w:rPr>
              <w:t>DCF (Discounted Cash Flow)</w:t>
            </w:r>
          </w:p>
        </w:tc>
        <w:tc>
          <w:tcPr>
            <w:tcW w:w="2000" w:type="dxa"/>
          </w:tcPr>
          <w:p>
            <w:pPr>
              <w:spacing w:before="40" w:after="40"/>
            </w:pPr>
            <w:r>
              <w:rPr>
                <w:color w:val="4A5568"/>
                <w:sz w:val="18"/>
              </w:rPr>
              <w:t>$69M</w:t>
            </w:r>
          </w:p>
        </w:tc>
        <w:tc>
          <w:tcPr>
            <w:tcW w:w="2000" w:type="dxa"/>
          </w:tcPr>
          <w:p>
            <w:pPr>
              <w:spacing w:before="40" w:after="40"/>
            </w:pPr>
            <w:r>
              <w:rPr>
                <w:color w:val="4A5568"/>
                <w:sz w:val="18"/>
              </w:rPr>
              <w:t>$101M</w:t>
            </w:r>
          </w:p>
        </w:tc>
        <w:tc>
          <w:tcPr>
            <w:tcW w:w="2000" w:type="dxa"/>
          </w:tcPr>
          <w:p>
            <w:pPr>
              <w:spacing w:before="40" w:after="40"/>
            </w:pPr>
            <w:r>
              <w:rPr>
                <w:color w:val="4A5568"/>
                <w:sz w:val="18"/>
              </w:rPr>
              <w:t>$139M</w:t>
            </w:r>
          </w:p>
        </w:tc>
        <w:tc>
          <w:tcPr>
            <w:tcW w:w="2000" w:type="dxa"/>
          </w:tcPr>
          <w:p>
            <w:pPr>
              <w:spacing w:before="40" w:after="40"/>
            </w:pPr>
            <w:r>
              <w:rPr>
                <w:color w:val="4A5568"/>
                <w:sz w:val="18"/>
              </w:rPr>
              <w:t>40%</w:t>
            </w:r>
          </w:p>
        </w:tc>
      </w:tr>
      <w:tr>
        <w:tc>
          <w:tcPr>
            <w:tcW w:w="2000" w:type="dxa"/>
          </w:tcPr>
          <w:p>
            <w:pPr>
              <w:spacing w:before="40" w:after="40"/>
            </w:pPr>
            <w:r>
              <w:rPr>
                <w:color w:val="4A5568"/>
                <w:sz w:val="18"/>
              </w:rPr>
              <w:t>Comparable Companies (Year 5)</w:t>
            </w:r>
          </w:p>
        </w:tc>
        <w:tc>
          <w:tcPr>
            <w:tcW w:w="2000" w:type="dxa"/>
          </w:tcPr>
          <w:p>
            <w:pPr>
              <w:spacing w:before="40" w:after="40"/>
            </w:pPr>
            <w:r>
              <w:rPr>
                <w:color w:val="4A5568"/>
                <w:sz w:val="18"/>
              </w:rPr>
              <w:t>$1,377M</w:t>
            </w:r>
          </w:p>
        </w:tc>
        <w:tc>
          <w:tcPr>
            <w:tcW w:w="2000" w:type="dxa"/>
          </w:tcPr>
          <w:p>
            <w:pPr>
              <w:spacing w:before="40" w:after="40"/>
            </w:pPr>
            <w:r>
              <w:rPr>
                <w:color w:val="4A5568"/>
                <w:sz w:val="18"/>
              </w:rPr>
              <w:t>$2,295M</w:t>
            </w:r>
          </w:p>
        </w:tc>
        <w:tc>
          <w:tcPr>
            <w:tcW w:w="2000" w:type="dxa"/>
          </w:tcPr>
          <w:p>
            <w:pPr>
              <w:spacing w:before="40" w:after="40"/>
            </w:pPr>
            <w:r>
              <w:rPr>
                <w:color w:val="4A5568"/>
                <w:sz w:val="18"/>
              </w:rPr>
              <w:t>$3,213M</w:t>
            </w:r>
          </w:p>
        </w:tc>
        <w:tc>
          <w:tcPr>
            <w:tcW w:w="2000" w:type="dxa"/>
          </w:tcPr>
          <w:p>
            <w:pPr>
              <w:spacing w:before="40" w:after="40"/>
            </w:pPr>
            <w:r>
              <w:rPr>
                <w:color w:val="4A5568"/>
                <w:sz w:val="18"/>
              </w:rPr>
              <w:t>35%</w:t>
            </w:r>
          </w:p>
        </w:tc>
      </w:tr>
      <w:tr>
        <w:tc>
          <w:tcPr>
            <w:tcW w:w="2000" w:type="dxa"/>
          </w:tcPr>
          <w:p>
            <w:pPr>
              <w:spacing w:before="40" w:after="40"/>
            </w:pPr>
            <w:r>
              <w:rPr>
                <w:color w:val="4A5568"/>
                <w:sz w:val="18"/>
              </w:rPr>
              <w:t>Precedent Transaction Analysis</w:t>
            </w:r>
          </w:p>
        </w:tc>
        <w:tc>
          <w:tcPr>
            <w:tcW w:w="2000" w:type="dxa"/>
          </w:tcPr>
          <w:p>
            <w:pPr>
              <w:spacing w:before="40" w:after="40"/>
            </w:pPr>
            <w:r>
              <w:rPr>
                <w:color w:val="4A5568"/>
                <w:sz w:val="18"/>
              </w:rPr>
              <w:t>$5,939M</w:t>
            </w:r>
          </w:p>
        </w:tc>
        <w:tc>
          <w:tcPr>
            <w:tcW w:w="2000" w:type="dxa"/>
          </w:tcPr>
          <w:p>
            <w:pPr>
              <w:spacing w:before="40" w:after="40"/>
            </w:pPr>
            <w:r>
              <w:rPr>
                <w:color w:val="4A5568"/>
                <w:sz w:val="18"/>
              </w:rPr>
              <w:t>$8,315M</w:t>
            </w:r>
          </w:p>
        </w:tc>
        <w:tc>
          <w:tcPr>
            <w:tcW w:w="2000" w:type="dxa"/>
          </w:tcPr>
          <w:p>
            <w:pPr>
              <w:spacing w:before="40" w:after="40"/>
            </w:pPr>
            <w:r>
              <w:rPr>
                <w:color w:val="4A5568"/>
                <w:sz w:val="18"/>
              </w:rPr>
              <w:t>$10,690M</w:t>
            </w:r>
          </w:p>
        </w:tc>
        <w:tc>
          <w:tcPr>
            <w:tcW w:w="2000" w:type="dxa"/>
          </w:tcPr>
          <w:p>
            <w:pPr>
              <w:spacing w:before="40" w:after="40"/>
            </w:pPr>
            <w:r>
              <w:rPr>
                <w:color w:val="4A5568"/>
                <w:sz w:val="18"/>
              </w:rPr>
              <w:t>25%</w:t>
            </w:r>
          </w:p>
        </w:tc>
      </w:tr>
      <w:tr>
        <w:tc>
          <w:tcPr>
            <w:tcW w:w="2000" w:type="dxa"/>
          </w:tcPr>
          <w:p>
            <w:pPr>
              <w:spacing w:before="40" w:after="40"/>
            </w:pPr>
            <w:r>
              <w:rPr>
                <w:color w:val="4A5568"/>
                <w:sz w:val="18"/>
              </w:rPr>
              <w:t>Weighted Average Enterprise Value</w:t>
            </w:r>
          </w:p>
        </w:tc>
        <w:tc>
          <w:tcPr>
            <w:tcW w:w="2000" w:type="dxa"/>
          </w:tcPr>
          <w:p>
            <w:pPr>
              <w:spacing w:before="40" w:after="40"/>
            </w:pPr>
            <w:r>
              <w:rPr>
                <w:color w:val="4A5568"/>
                <w:sz w:val="18"/>
              </w:rPr>
              <w:t>$1,995M</w:t>
            </w:r>
          </w:p>
        </w:tc>
        <w:tc>
          <w:tcPr>
            <w:tcW w:w="2000" w:type="dxa"/>
          </w:tcPr>
          <w:p>
            <w:pPr>
              <w:spacing w:before="40" w:after="40"/>
            </w:pPr>
            <w:r>
              <w:rPr>
                <w:color w:val="4A5568"/>
                <w:sz w:val="18"/>
              </w:rPr>
              <w:t>$2,923M</w:t>
            </w:r>
          </w:p>
        </w:tc>
        <w:tc>
          <w:tcPr>
            <w:tcW w:w="2000" w:type="dxa"/>
          </w:tcPr>
          <w:p>
            <w:pPr>
              <w:spacing w:before="40" w:after="40"/>
            </w:pPr>
            <w:r>
              <w:rPr>
                <w:color w:val="4A5568"/>
                <w:sz w:val="18"/>
              </w:rPr>
              <w:t>$3,853M</w:t>
            </w:r>
          </w:p>
        </w:tc>
        <w:tc>
          <w:tcPr>
            <w:tcW w:w="2000" w:type="dxa"/>
          </w:tcPr>
          <w:p>
            <w:pPr>
              <w:spacing w:before="40" w:after="40"/>
            </w:pPr>
            <w:r>
              <w:rPr>
                <w:color w:val="4A5568"/>
                <w:sz w:val="18"/>
              </w:rPr>
              <w:t>--</w:t>
            </w:r>
          </w:p>
        </w:tc>
      </w:tr>
    </w:tbl>
    <w:p>
      <w:pPr>
        <w:spacing w:before="120" w:after="120"/>
      </w:pPr>
    </w:p>
    <w:p>
      <w:pPr>
        <w:pStyle w:val="Heading2"/>
      </w:pPr>
      <w:r>
        <w:t>Funding Round Architecture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gridCol w:w="2000"/>
      </w:tblGrid>
      <w:tr>
        <w:trPr>
          <w:tblHeader/>
        </w:trPr>
        <w:tc>
          <w:tcPr>
            <w:tcW w:w="2000" w:type="dxa"/>
            <w:shd w:val="clear" w:fill="1B3A4B"/>
          </w:tcPr>
          <w:p>
            <w:pPr>
              <w:spacing w:before="40" w:after="40"/>
            </w:pPr>
            <w:r>
              <w:rPr>
                <w:b/>
                <w:color w:val="FFFFFF"/>
                <w:sz w:val="18"/>
              </w:rPr>
              <w:t>Round</w:t>
            </w:r>
          </w:p>
        </w:tc>
        <w:tc>
          <w:tcPr>
            <w:tcW w:w="2000" w:type="dxa"/>
            <w:shd w:val="clear" w:fill="1B3A4B"/>
          </w:tcPr>
          <w:p>
            <w:pPr>
              <w:spacing w:before="40" w:after="40"/>
            </w:pPr>
            <w:r>
              <w:rPr>
                <w:b/>
                <w:color w:val="FFFFFF"/>
                <w:sz w:val="18"/>
              </w:rPr>
              <w:t>Amount</w:t>
            </w:r>
          </w:p>
        </w:tc>
        <w:tc>
          <w:tcPr>
            <w:tcW w:w="2000" w:type="dxa"/>
            <w:shd w:val="clear" w:fill="1B3A4B"/>
          </w:tcPr>
          <w:p>
            <w:pPr>
              <w:spacing w:before="40" w:after="40"/>
            </w:pPr>
            <w:r>
              <w:rPr>
                <w:b/>
                <w:color w:val="FFFFFF"/>
                <w:sz w:val="18"/>
              </w:rPr>
              <w:t>Pre-Money</w:t>
            </w:r>
          </w:p>
        </w:tc>
        <w:tc>
          <w:tcPr>
            <w:tcW w:w="2000" w:type="dxa"/>
            <w:shd w:val="clear" w:fill="1B3A4B"/>
          </w:tcPr>
          <w:p>
            <w:pPr>
              <w:spacing w:before="40" w:after="40"/>
            </w:pPr>
            <w:r>
              <w:rPr>
                <w:b/>
                <w:color w:val="FFFFFF"/>
                <w:sz w:val="18"/>
              </w:rPr>
              <w:t>Post-Money</w:t>
            </w:r>
          </w:p>
        </w:tc>
        <w:tc>
          <w:tcPr>
            <w:tcW w:w="2000" w:type="dxa"/>
            <w:shd w:val="clear" w:fill="1B3A4B"/>
          </w:tcPr>
          <w:p>
            <w:pPr>
              <w:spacing w:before="40" w:after="40"/>
            </w:pPr>
            <w:r>
              <w:rPr>
                <w:b/>
                <w:color w:val="FFFFFF"/>
                <w:sz w:val="18"/>
              </w:rPr>
              <w:t>Dilution</w:t>
            </w:r>
          </w:p>
        </w:tc>
        <w:tc>
          <w:tcPr>
            <w:tcW w:w="2000" w:type="dxa"/>
            <w:shd w:val="clear" w:fill="1B3A4B"/>
          </w:tcPr>
          <w:p>
            <w:pPr>
              <w:spacing w:before="40" w:after="40"/>
            </w:pPr>
            <w:r>
              <w:rPr>
                <w:b/>
                <w:color w:val="FFFFFF"/>
                <w:sz w:val="18"/>
              </w:rPr>
              <w:t>Key Milestone</w:t>
            </w:r>
          </w:p>
        </w:tc>
      </w:tr>
      <w:tr>
        <w:tc>
          <w:tcPr>
            <w:tcW w:w="2000" w:type="dxa"/>
          </w:tcPr>
          <w:p>
            <w:pPr>
              <w:spacing w:before="40" w:after="40"/>
            </w:pPr>
            <w:r>
              <w:rPr>
                <w:color w:val="4A5568"/>
                <w:sz w:val="18"/>
              </w:rPr>
              <w:t>Pre-Seed</w:t>
            </w:r>
          </w:p>
        </w:tc>
        <w:tc>
          <w:tcPr>
            <w:tcW w:w="2000" w:type="dxa"/>
          </w:tcPr>
          <w:p>
            <w:pPr>
              <w:spacing w:before="40" w:after="40"/>
            </w:pPr>
            <w:r>
              <w:rPr>
                <w:color w:val="4A5568"/>
                <w:sz w:val="18"/>
              </w:rPr>
              <w:t>$500K</w:t>
            </w:r>
          </w:p>
        </w:tc>
        <w:tc>
          <w:tcPr>
            <w:tcW w:w="2000" w:type="dxa"/>
          </w:tcPr>
          <w:p>
            <w:pPr>
              <w:spacing w:before="40" w:after="40"/>
            </w:pPr>
            <w:r>
              <w:rPr>
                <w:color w:val="4A5568"/>
                <w:sz w:val="18"/>
              </w:rPr>
              <w:t>$5.0M</w:t>
            </w:r>
          </w:p>
        </w:tc>
        <w:tc>
          <w:tcPr>
            <w:tcW w:w="2000" w:type="dxa"/>
          </w:tcPr>
          <w:p>
            <w:pPr>
              <w:spacing w:before="40" w:after="40"/>
            </w:pPr>
            <w:r>
              <w:rPr>
                <w:color w:val="4A5568"/>
                <w:sz w:val="18"/>
              </w:rPr>
              <w:t>$5.5M</w:t>
            </w:r>
          </w:p>
        </w:tc>
        <w:tc>
          <w:tcPr>
            <w:tcW w:w="2000" w:type="dxa"/>
          </w:tcPr>
          <w:p>
            <w:pPr>
              <w:spacing w:before="40" w:after="40"/>
            </w:pPr>
            <w:r>
              <w:rPr>
                <w:color w:val="4A5568"/>
                <w:sz w:val="18"/>
              </w:rPr>
              <w:t>9.1%</w:t>
            </w:r>
          </w:p>
        </w:tc>
        <w:tc>
          <w:tcPr>
            <w:tcW w:w="2000" w:type="dxa"/>
          </w:tcPr>
          <w:p>
            <w:pPr>
              <w:spacing w:before="40" w:after="40"/>
            </w:pPr>
            <w:r>
              <w:rPr>
                <w:color w:val="4A5568"/>
                <w:sz w:val="18"/>
              </w:rPr>
              <w:t>MASTERNEX.os Core beta; 3 pilot modules; 50 beta contractors</w:t>
            </w:r>
          </w:p>
        </w:tc>
      </w:tr>
      <w:tr>
        <w:tc>
          <w:tcPr>
            <w:tcW w:w="2000" w:type="dxa"/>
          </w:tcPr>
          <w:p>
            <w:pPr>
              <w:spacing w:before="40" w:after="40"/>
            </w:pPr>
            <w:r>
              <w:rPr>
                <w:color w:val="4A5568"/>
                <w:sz w:val="18"/>
              </w:rPr>
              <w:t>Seed</w:t>
            </w:r>
          </w:p>
        </w:tc>
        <w:tc>
          <w:tcPr>
            <w:tcW w:w="2000" w:type="dxa"/>
          </w:tcPr>
          <w:p>
            <w:pPr>
              <w:spacing w:before="40" w:after="40"/>
            </w:pPr>
            <w:r>
              <w:rPr>
                <w:color w:val="4A5568"/>
                <w:sz w:val="18"/>
              </w:rPr>
              <w:t>$2.5M</w:t>
            </w:r>
          </w:p>
        </w:tc>
        <w:tc>
          <w:tcPr>
            <w:tcW w:w="2000" w:type="dxa"/>
          </w:tcPr>
          <w:p>
            <w:pPr>
              <w:spacing w:before="40" w:after="40"/>
            </w:pPr>
            <w:r>
              <w:rPr>
                <w:color w:val="4A5568"/>
                <w:sz w:val="18"/>
              </w:rPr>
              <w:t>$15.0M</w:t>
            </w:r>
          </w:p>
        </w:tc>
        <w:tc>
          <w:tcPr>
            <w:tcW w:w="2000" w:type="dxa"/>
          </w:tcPr>
          <w:p>
            <w:pPr>
              <w:spacing w:before="40" w:after="40"/>
            </w:pPr>
            <w:r>
              <w:rPr>
                <w:color w:val="4A5568"/>
                <w:sz w:val="18"/>
              </w:rPr>
              <w:t>$17.5M</w:t>
            </w:r>
          </w:p>
        </w:tc>
        <w:tc>
          <w:tcPr>
            <w:tcW w:w="2000" w:type="dxa"/>
          </w:tcPr>
          <w:p>
            <w:pPr>
              <w:spacing w:before="40" w:after="40"/>
            </w:pPr>
            <w:r>
              <w:rPr>
                <w:color w:val="4A5568"/>
                <w:sz w:val="18"/>
              </w:rPr>
              <w:t>14.3%</w:t>
            </w:r>
          </w:p>
        </w:tc>
        <w:tc>
          <w:tcPr>
            <w:tcW w:w="2000" w:type="dxa"/>
          </w:tcPr>
          <w:p>
            <w:pPr>
              <w:spacing w:before="40" w:after="40"/>
            </w:pPr>
            <w:r>
              <w:rPr>
                <w:color w:val="4A5568"/>
                <w:sz w:val="18"/>
              </w:rPr>
              <w:t>$500K ARR; 500 active users; VIVELLA Verify network launch</w:t>
            </w:r>
          </w:p>
        </w:tc>
      </w:tr>
      <w:tr>
        <w:tc>
          <w:tcPr>
            <w:tcW w:w="2000" w:type="dxa"/>
          </w:tcPr>
          <w:p>
            <w:pPr>
              <w:spacing w:before="40" w:after="40"/>
            </w:pPr>
            <w:r>
              <w:rPr>
                <w:color w:val="4A5568"/>
                <w:sz w:val="18"/>
              </w:rPr>
              <w:t>Series A</w:t>
            </w:r>
          </w:p>
        </w:tc>
        <w:tc>
          <w:tcPr>
            <w:tcW w:w="2000" w:type="dxa"/>
          </w:tcPr>
          <w:p>
            <w:pPr>
              <w:spacing w:before="40" w:after="40"/>
            </w:pPr>
            <w:r>
              <w:rPr>
                <w:color w:val="4A5568"/>
                <w:sz w:val="18"/>
              </w:rPr>
              <w:t>$10.0M</w:t>
            </w:r>
          </w:p>
        </w:tc>
        <w:tc>
          <w:tcPr>
            <w:tcW w:w="2000" w:type="dxa"/>
          </w:tcPr>
          <w:p>
            <w:pPr>
              <w:spacing w:before="40" w:after="40"/>
            </w:pPr>
            <w:r>
              <w:rPr>
                <w:color w:val="4A5568"/>
                <w:sz w:val="18"/>
              </w:rPr>
              <w:t>$50.0M</w:t>
            </w:r>
          </w:p>
        </w:tc>
        <w:tc>
          <w:tcPr>
            <w:tcW w:w="2000" w:type="dxa"/>
          </w:tcPr>
          <w:p>
            <w:pPr>
              <w:spacing w:before="40" w:after="40"/>
            </w:pPr>
            <w:r>
              <w:rPr>
                <w:color w:val="4A5568"/>
                <w:sz w:val="18"/>
              </w:rPr>
              <w:t>$60.0M</w:t>
            </w:r>
          </w:p>
        </w:tc>
        <w:tc>
          <w:tcPr>
            <w:tcW w:w="2000" w:type="dxa"/>
          </w:tcPr>
          <w:p>
            <w:pPr>
              <w:spacing w:before="40" w:after="40"/>
            </w:pPr>
            <w:r>
              <w:rPr>
                <w:color w:val="4A5568"/>
                <w:sz w:val="18"/>
              </w:rPr>
              <w:t>16.7%</w:t>
            </w:r>
          </w:p>
        </w:tc>
        <w:tc>
          <w:tcPr>
            <w:tcW w:w="2000" w:type="dxa"/>
          </w:tcPr>
          <w:p>
            <w:pPr>
              <w:spacing w:before="40" w:after="40"/>
            </w:pPr>
            <w:r>
              <w:rPr>
                <w:color w:val="4A5568"/>
                <w:sz w:val="18"/>
              </w:rPr>
              <w:t>$5M ARR; 5,000 users; Truth Credit economy live</w:t>
            </w:r>
          </w:p>
        </w:tc>
      </w:tr>
      <w:tr>
        <w:tc>
          <w:tcPr>
            <w:tcW w:w="2000" w:type="dxa"/>
          </w:tcPr>
          <w:p>
            <w:pPr>
              <w:spacing w:before="40" w:after="40"/>
            </w:pPr>
            <w:r>
              <w:rPr>
                <w:color w:val="4A5568"/>
                <w:sz w:val="18"/>
              </w:rPr>
              <w:t>Series B</w:t>
            </w:r>
          </w:p>
        </w:tc>
        <w:tc>
          <w:tcPr>
            <w:tcW w:w="2000" w:type="dxa"/>
          </w:tcPr>
          <w:p>
            <w:pPr>
              <w:spacing w:before="40" w:after="40"/>
            </w:pPr>
            <w:r>
              <w:rPr>
                <w:color w:val="4A5568"/>
                <w:sz w:val="18"/>
              </w:rPr>
              <w:t>$35.0M</w:t>
            </w:r>
          </w:p>
        </w:tc>
        <w:tc>
          <w:tcPr>
            <w:tcW w:w="2000" w:type="dxa"/>
          </w:tcPr>
          <w:p>
            <w:pPr>
              <w:spacing w:before="40" w:after="40"/>
            </w:pPr>
            <w:r>
              <w:rPr>
                <w:color w:val="4A5568"/>
                <w:sz w:val="18"/>
              </w:rPr>
              <w:t>$175.0M</w:t>
            </w:r>
          </w:p>
        </w:tc>
        <w:tc>
          <w:tcPr>
            <w:tcW w:w="2000" w:type="dxa"/>
          </w:tcPr>
          <w:p>
            <w:pPr>
              <w:spacing w:before="40" w:after="40"/>
            </w:pPr>
            <w:r>
              <w:rPr>
                <w:color w:val="4A5568"/>
                <w:sz w:val="18"/>
              </w:rPr>
              <w:t>$210.0M</w:t>
            </w:r>
          </w:p>
        </w:tc>
        <w:tc>
          <w:tcPr>
            <w:tcW w:w="2000" w:type="dxa"/>
          </w:tcPr>
          <w:p>
            <w:pPr>
              <w:spacing w:before="40" w:after="40"/>
            </w:pPr>
            <w:r>
              <w:rPr>
                <w:color w:val="4A5568"/>
                <w:sz w:val="18"/>
              </w:rPr>
              <w:t>16.7%</w:t>
            </w:r>
          </w:p>
        </w:tc>
        <w:tc>
          <w:tcPr>
            <w:tcW w:w="2000" w:type="dxa"/>
          </w:tcPr>
          <w:p>
            <w:pPr>
              <w:spacing w:before="40" w:after="40"/>
            </w:pPr>
            <w:r>
              <w:rPr>
                <w:color w:val="4A5568"/>
                <w:sz w:val="18"/>
              </w:rPr>
              <w:t>$25M ARR; 25,000 users; 10+ insurer partnerships</w:t>
            </w:r>
          </w:p>
        </w:tc>
      </w:tr>
      <w:tr>
        <w:tc>
          <w:tcPr>
            <w:tcW w:w="2000" w:type="dxa"/>
          </w:tcPr>
          <w:p>
            <w:pPr>
              <w:spacing w:before="40" w:after="40"/>
            </w:pPr>
            <w:r>
              <w:rPr>
                <w:color w:val="4A5568"/>
                <w:sz w:val="18"/>
              </w:rPr>
              <w:t>Series C</w:t>
            </w:r>
          </w:p>
        </w:tc>
        <w:tc>
          <w:tcPr>
            <w:tcW w:w="2000" w:type="dxa"/>
          </w:tcPr>
          <w:p>
            <w:pPr>
              <w:spacing w:before="40" w:after="40"/>
            </w:pPr>
            <w:r>
              <w:rPr>
                <w:color w:val="4A5568"/>
                <w:sz w:val="18"/>
              </w:rPr>
              <w:t>$100.0M</w:t>
            </w:r>
          </w:p>
        </w:tc>
        <w:tc>
          <w:tcPr>
            <w:tcW w:w="2000" w:type="dxa"/>
          </w:tcPr>
          <w:p>
            <w:pPr>
              <w:spacing w:before="40" w:after="40"/>
            </w:pPr>
            <w:r>
              <w:rPr>
                <w:color w:val="4A5568"/>
                <w:sz w:val="18"/>
              </w:rPr>
              <w:t>$500.0M</w:t>
            </w:r>
          </w:p>
        </w:tc>
        <w:tc>
          <w:tcPr>
            <w:tcW w:w="2000" w:type="dxa"/>
          </w:tcPr>
          <w:p>
            <w:pPr>
              <w:spacing w:before="40" w:after="40"/>
            </w:pPr>
            <w:r>
              <w:rPr>
                <w:color w:val="4A5568"/>
                <w:sz w:val="18"/>
              </w:rPr>
              <w:t>$600.0M</w:t>
            </w:r>
          </w:p>
        </w:tc>
        <w:tc>
          <w:tcPr>
            <w:tcW w:w="2000" w:type="dxa"/>
          </w:tcPr>
          <w:p>
            <w:pPr>
              <w:spacing w:before="40" w:after="40"/>
            </w:pPr>
            <w:r>
              <w:rPr>
                <w:color w:val="4A5568"/>
                <w:sz w:val="18"/>
              </w:rPr>
              <w:t>16.7%</w:t>
            </w:r>
          </w:p>
        </w:tc>
        <w:tc>
          <w:tcPr>
            <w:tcW w:w="2000" w:type="dxa"/>
          </w:tcPr>
          <w:p>
            <w:pPr>
              <w:spacing w:before="40" w:after="40"/>
            </w:pPr>
            <w:r>
              <w:rPr>
                <w:color w:val="4A5568"/>
                <w:sz w:val="18"/>
              </w:rPr>
              <w:t>$100M ARR; 100,000+ users; IPO readiness</w:t>
            </w:r>
          </w:p>
        </w:tc>
      </w:tr>
    </w:tbl>
    <w:p>
      <w:pPr>
        <w:spacing w:before="120" w:after="120"/>
      </w:pPr>
    </w:p>
    <w:p>
      <w:pPr>
        <w:pStyle w:val="Heading2"/>
      </w:pPr>
      <w:r>
        <w:t>Sector Comparable Multiples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Sector</w:t>
            </w:r>
          </w:p>
        </w:tc>
        <w:tc>
          <w:tcPr>
            <w:tcW w:w="2000" w:type="dxa"/>
            <w:shd w:val="clear" w:fill="1B3A4B"/>
          </w:tcPr>
          <w:p>
            <w:pPr>
              <w:spacing w:before="40" w:after="40"/>
            </w:pPr>
            <w:r>
              <w:rPr>
                <w:b/>
                <w:color w:val="FFFFFF"/>
                <w:sz w:val="18"/>
              </w:rPr>
              <w:t>Weight</w:t>
            </w:r>
          </w:p>
        </w:tc>
        <w:tc>
          <w:tcPr>
            <w:tcW w:w="2000" w:type="dxa"/>
            <w:shd w:val="clear" w:fill="1B3A4B"/>
          </w:tcPr>
          <w:p>
            <w:pPr>
              <w:spacing w:before="40" w:after="40"/>
            </w:pPr>
            <w:r>
              <w:rPr>
                <w:b/>
                <w:color w:val="FFFFFF"/>
                <w:sz w:val="18"/>
              </w:rPr>
              <w:t>Median EV/Revenue</w:t>
            </w:r>
          </w:p>
        </w:tc>
        <w:tc>
          <w:tcPr>
            <w:tcW w:w="2000" w:type="dxa"/>
            <w:shd w:val="clear" w:fill="1B3A4B"/>
          </w:tcPr>
          <w:p>
            <w:pPr>
              <w:spacing w:before="40" w:after="40"/>
            </w:pPr>
            <w:r>
              <w:rPr>
                <w:b/>
                <w:color w:val="FFFFFF"/>
                <w:sz w:val="18"/>
              </w:rPr>
              <w:t>Contribution</w:t>
            </w:r>
          </w:p>
        </w:tc>
      </w:tr>
      <w:tr>
        <w:tc>
          <w:tcPr>
            <w:tcW w:w="2000" w:type="dxa"/>
          </w:tcPr>
          <w:p>
            <w:pPr>
              <w:spacing w:before="40" w:after="40"/>
            </w:pPr>
            <w:r>
              <w:rPr>
                <w:color w:val="4A5568"/>
                <w:sz w:val="18"/>
              </w:rPr>
              <w:t>PropTech / Property Intelligence</w:t>
            </w:r>
          </w:p>
        </w:tc>
        <w:tc>
          <w:tcPr>
            <w:tcW w:w="2000" w:type="dxa"/>
          </w:tcPr>
          <w:p>
            <w:pPr>
              <w:spacing w:before="40" w:after="40"/>
            </w:pPr>
            <w:r>
              <w:rPr>
                <w:color w:val="4A5568"/>
                <w:sz w:val="18"/>
              </w:rPr>
              <w:t>35%</w:t>
            </w:r>
          </w:p>
        </w:tc>
        <w:tc>
          <w:tcPr>
            <w:tcW w:w="2000" w:type="dxa"/>
          </w:tcPr>
          <w:p>
            <w:pPr>
              <w:spacing w:before="40" w:after="40"/>
            </w:pPr>
            <w:r>
              <w:rPr>
                <w:color w:val="4A5568"/>
                <w:sz w:val="18"/>
              </w:rPr>
              <w:t>3.70x</w:t>
            </w:r>
          </w:p>
        </w:tc>
        <w:tc>
          <w:tcPr>
            <w:tcW w:w="2000" w:type="dxa"/>
          </w:tcPr>
          <w:p>
            <w:pPr>
              <w:spacing w:before="40" w:after="40"/>
            </w:pPr>
            <w:r>
              <w:rPr>
                <w:color w:val="4A5568"/>
                <w:sz w:val="18"/>
              </w:rPr>
              <w:t>1.29x</w:t>
            </w:r>
          </w:p>
        </w:tc>
      </w:tr>
      <w:tr>
        <w:tc>
          <w:tcPr>
            <w:tcW w:w="2000" w:type="dxa"/>
          </w:tcPr>
          <w:p>
            <w:pPr>
              <w:spacing w:before="40" w:after="40"/>
            </w:pPr>
            <w:r>
              <w:rPr>
                <w:color w:val="4A5568"/>
                <w:sz w:val="18"/>
              </w:rPr>
              <w:t>AR / VR / Spatial Computing</w:t>
            </w:r>
          </w:p>
        </w:tc>
        <w:tc>
          <w:tcPr>
            <w:tcW w:w="2000" w:type="dxa"/>
          </w:tcPr>
          <w:p>
            <w:pPr>
              <w:spacing w:before="40" w:after="40"/>
            </w:pPr>
            <w:r>
              <w:rPr>
                <w:color w:val="4A5568"/>
                <w:sz w:val="18"/>
              </w:rPr>
              <w:t>20%</w:t>
            </w:r>
          </w:p>
        </w:tc>
        <w:tc>
          <w:tcPr>
            <w:tcW w:w="2000" w:type="dxa"/>
          </w:tcPr>
          <w:p>
            <w:pPr>
              <w:spacing w:before="40" w:after="40"/>
            </w:pPr>
            <w:r>
              <w:rPr>
                <w:color w:val="4A5568"/>
                <w:sz w:val="18"/>
              </w:rPr>
              <w:t>3.90x</w:t>
            </w:r>
          </w:p>
        </w:tc>
        <w:tc>
          <w:tcPr>
            <w:tcW w:w="2000" w:type="dxa"/>
          </w:tcPr>
          <w:p>
            <w:pPr>
              <w:spacing w:before="40" w:after="40"/>
            </w:pPr>
            <w:r>
              <w:rPr>
                <w:color w:val="4A5568"/>
                <w:sz w:val="18"/>
              </w:rPr>
              <w:t>0.78x</w:t>
            </w:r>
          </w:p>
        </w:tc>
      </w:tr>
      <w:tr>
        <w:tc>
          <w:tcPr>
            <w:tcW w:w="2000" w:type="dxa"/>
          </w:tcPr>
          <w:p>
            <w:pPr>
              <w:spacing w:before="40" w:after="40"/>
            </w:pPr>
            <w:r>
              <w:rPr>
                <w:color w:val="4A5568"/>
                <w:sz w:val="18"/>
              </w:rPr>
              <w:t>Gig Economy / Verification</w:t>
            </w:r>
          </w:p>
        </w:tc>
        <w:tc>
          <w:tcPr>
            <w:tcW w:w="2000" w:type="dxa"/>
          </w:tcPr>
          <w:p>
            <w:pPr>
              <w:spacing w:before="40" w:after="40"/>
            </w:pPr>
            <w:r>
              <w:rPr>
                <w:color w:val="4A5568"/>
                <w:sz w:val="18"/>
              </w:rPr>
              <w:t>25%</w:t>
            </w:r>
          </w:p>
        </w:tc>
        <w:tc>
          <w:tcPr>
            <w:tcW w:w="2000" w:type="dxa"/>
          </w:tcPr>
          <w:p>
            <w:pPr>
              <w:spacing w:before="40" w:after="40"/>
            </w:pPr>
            <w:r>
              <w:rPr>
                <w:color w:val="4A5568"/>
                <w:sz w:val="18"/>
              </w:rPr>
              <w:t>2.30x</w:t>
            </w:r>
          </w:p>
        </w:tc>
        <w:tc>
          <w:tcPr>
            <w:tcW w:w="2000" w:type="dxa"/>
          </w:tcPr>
          <w:p>
            <w:pPr>
              <w:spacing w:before="40" w:after="40"/>
            </w:pPr>
            <w:r>
              <w:rPr>
                <w:color w:val="4A5568"/>
                <w:sz w:val="18"/>
              </w:rPr>
              <w:t>0.57x</w:t>
            </w:r>
          </w:p>
        </w:tc>
      </w:tr>
      <w:tr>
        <w:tc>
          <w:tcPr>
            <w:tcW w:w="2000" w:type="dxa"/>
          </w:tcPr>
          <w:p>
            <w:pPr>
              <w:spacing w:before="40" w:after="40"/>
            </w:pPr>
            <w:r>
              <w:rPr>
                <w:color w:val="4A5568"/>
                <w:sz w:val="18"/>
              </w:rPr>
              <w:t>AI / ML Platforms</w:t>
            </w:r>
          </w:p>
        </w:tc>
        <w:tc>
          <w:tcPr>
            <w:tcW w:w="2000" w:type="dxa"/>
          </w:tcPr>
          <w:p>
            <w:pPr>
              <w:spacing w:before="40" w:after="40"/>
            </w:pPr>
            <w:r>
              <w:rPr>
                <w:color w:val="4A5568"/>
                <w:sz w:val="18"/>
              </w:rPr>
              <w:t>15%</w:t>
            </w:r>
          </w:p>
        </w:tc>
        <w:tc>
          <w:tcPr>
            <w:tcW w:w="2000" w:type="dxa"/>
          </w:tcPr>
          <w:p>
            <w:pPr>
              <w:spacing w:before="40" w:after="40"/>
            </w:pPr>
            <w:r>
              <w:rPr>
                <w:color w:val="4A5568"/>
                <w:sz w:val="18"/>
              </w:rPr>
              <w:t>17.90x</w:t>
            </w:r>
          </w:p>
        </w:tc>
        <w:tc>
          <w:tcPr>
            <w:tcW w:w="2000" w:type="dxa"/>
          </w:tcPr>
          <w:p>
            <w:pPr>
              <w:spacing w:before="40" w:after="40"/>
            </w:pPr>
            <w:r>
              <w:rPr>
                <w:color w:val="4A5568"/>
                <w:sz w:val="18"/>
              </w:rPr>
              <w:t>2.68x</w:t>
            </w:r>
          </w:p>
        </w:tc>
      </w:tr>
      <w:tr>
        <w:tc>
          <w:tcPr>
            <w:tcW w:w="2000" w:type="dxa"/>
          </w:tcPr>
          <w:p>
            <w:pPr>
              <w:spacing w:before="40" w:after="40"/>
            </w:pPr>
            <w:r>
              <w:rPr>
                <w:color w:val="4A5568"/>
                <w:sz w:val="18"/>
              </w:rPr>
              <w:t>Construction / Contractor Tech</w:t>
            </w:r>
          </w:p>
        </w:tc>
        <w:tc>
          <w:tcPr>
            <w:tcW w:w="2000" w:type="dxa"/>
          </w:tcPr>
          <w:p>
            <w:pPr>
              <w:spacing w:before="40" w:after="40"/>
            </w:pPr>
            <w:r>
              <w:rPr>
                <w:color w:val="4A5568"/>
                <w:sz w:val="18"/>
              </w:rPr>
              <w:t>5%</w:t>
            </w:r>
          </w:p>
        </w:tc>
        <w:tc>
          <w:tcPr>
            <w:tcW w:w="2000" w:type="dxa"/>
          </w:tcPr>
          <w:p>
            <w:pPr>
              <w:spacing w:before="40" w:after="40"/>
            </w:pPr>
            <w:r>
              <w:rPr>
                <w:color w:val="4A5568"/>
                <w:sz w:val="18"/>
              </w:rPr>
              <w:t>8.90x</w:t>
            </w:r>
          </w:p>
        </w:tc>
        <w:tc>
          <w:tcPr>
            <w:tcW w:w="2000" w:type="dxa"/>
          </w:tcPr>
          <w:p>
            <w:pPr>
              <w:spacing w:before="40" w:after="40"/>
            </w:pPr>
            <w:r>
              <w:rPr>
                <w:color w:val="4A5568"/>
                <w:sz w:val="18"/>
              </w:rPr>
              <w:t>0.45x</w:t>
            </w:r>
          </w:p>
        </w:tc>
      </w:tr>
      <w:tr>
        <w:tc>
          <w:tcPr>
            <w:tcW w:w="2000" w:type="dxa"/>
          </w:tcPr>
          <w:p>
            <w:pPr>
              <w:spacing w:before="40" w:after="40"/>
            </w:pPr>
            <w:r>
              <w:rPr>
                <w:color w:val="4A5568"/>
                <w:sz w:val="18"/>
              </w:rPr>
              <w:t>Weighted Blended Average</w:t>
            </w:r>
          </w:p>
        </w:tc>
        <w:tc>
          <w:tcPr>
            <w:tcW w:w="2000" w:type="dxa"/>
          </w:tcPr>
          <w:p>
            <w:pPr>
              <w:spacing w:before="40" w:after="40"/>
            </w:pPr>
            <w:r>
              <w:rPr>
                <w:color w:val="4A5568"/>
                <w:sz w:val="18"/>
              </w:rPr>
              <w:t>100%</w:t>
            </w:r>
          </w:p>
        </w:tc>
        <w:tc>
          <w:tcPr>
            <w:tcW w:w="2000" w:type="dxa"/>
          </w:tcPr>
          <w:p>
            <w:pPr>
              <w:spacing w:before="40" w:after="40"/>
            </w:pPr>
            <w:r>
              <w:rPr>
                <w:color w:val="4A5568"/>
                <w:sz w:val="18"/>
              </w:rPr>
              <w:t>--</w:t>
            </w:r>
          </w:p>
        </w:tc>
        <w:tc>
          <w:tcPr>
            <w:tcW w:w="2000" w:type="dxa"/>
          </w:tcPr>
          <w:p>
            <w:pPr>
              <w:spacing w:before="40" w:after="40"/>
            </w:pPr>
            <w:r>
              <w:rPr>
                <w:color w:val="4A5568"/>
                <w:sz w:val="18"/>
              </w:rPr>
              <w:t>5.78x</w:t>
            </w:r>
          </w:p>
        </w:tc>
      </w:tr>
    </w:tbl>
    <w:p>
      <w:pPr>
        <w:spacing w:before="120" w:after="120"/>
      </w:pPr>
    </w:p>
    <w:p>
      <w:pPr>
        <w:pStyle w:val="Heading1"/>
      </w:pPr>
      <w:r>
        <w:t>CHAPTER 07: Growth Architecture &amp; Compass Rose Flywheel</w:t>
      </w:r>
      <w:bookmarkStart w:name="_H8" w:id="8"/>
      <w:bookmarkEnd w:id="8"/>
    </w:p>
    <w:p>
      <w:pPr>
        <w:pStyle w:val="Heading2"/>
      </w:pPr>
      <w:r>
        <w:t>The Compass Rose Data Flywheel</w:t>
      </w:r>
    </w:p>
    <w:p>
      <w:r>
        <w:t>The defining competitive advantage of VIVELLA Property Intelligence is not any individual module but the integration layer that makes six modules operate as one on the Compass Rose architecture. This creates a data flywheel that compounds with every verified data point:</w:t>
      </w:r>
    </w:p>
    <w:p>
      <w:pPr>
        <w:numPr>
          <w:ilvl w:val="0"/>
          <w:numId w:val="1"/>
        </w:numPr>
      </w:pPr>
      <w:r>
        <w:t>Step 1 -- Observe: Recon Engine captures storm damage probability. Sentinel Scanner captures property condition degradation. Real Estate Prospector captures investment opportunity signals. Probate Pipeline captures estate status changes. All feed into MASTERNEX.os.</w:t>
      </w:r>
    </w:p>
    <w:p>
      <w:pPr>
        <w:numPr>
          <w:ilvl w:val="0"/>
          <w:numId w:val="1"/>
        </w:numPr>
      </w:pPr>
      <w:r>
        <w:t>Step 2 -- Attribute: DTA computes Shapley values to determine the precise contribution of each data source to every intelligence output. Was the storm prediction more valuable than the satellite imagery? The attribution is mathematical, transparent, and auditable.</w:t>
      </w:r>
    </w:p>
    <w:p>
      <w:pPr>
        <w:numPr>
          <w:ilvl w:val="0"/>
          <w:numId w:val="1"/>
        </w:numPr>
      </w:pPr>
      <w:r>
        <w:t>Step 3 -- Verify: VIVELLA Verified gig workers confirm ground truth. Zero-knowledge proofs create immutable verification records. The Citizen's Ledger anchors everything to blockchain.</w:t>
      </w:r>
    </w:p>
    <w:p>
      <w:pPr>
        <w:numPr>
          <w:ilvl w:val="0"/>
          <w:numId w:val="1"/>
        </w:numPr>
      </w:pPr>
      <w:r>
        <w:t>Step 4 -- Distribute: Smart contracts execute proportional reward distribution. Truth Credits flow to data contributors, gig verifiers, and module operators. Everyone is paid for their contribution.</w:t>
      </w:r>
    </w:p>
    <w:p>
      <w:pPr>
        <w:numPr>
          <w:ilvl w:val="0"/>
          <w:numId w:val="1"/>
        </w:numPr>
      </w:pPr>
      <w:r>
        <w:t>Step 5 -- Reinvest: Verified data retrains MASTERNEX.os AI models. Each cycle makes the next prediction more accurate. The flywheel accelerates exponentially with scale.</w:t>
      </w:r>
    </w:p>
    <w:p>
      <w:pPr>
        <w:pStyle w:val="Heading2"/>
      </w:pPr>
      <w:r>
        <w:t>Cross-Vertical Data Synergies</w:t>
      </w:r>
    </w:p>
    <w:tbl>
      <w:tblPr>
        <w:tblW w:w="5000" w:type="pct"/>
        <w:tblBorders>
          <w:top w:val="single" w:color="C9A84C" w:sz="8"/>
          <w:left w:val="nil"/>
          <w:bottom w:val="single" w:color="C9A84C" w:sz="8"/>
          <w:right w:val="nil"/>
          <w:insideH w:val="single" w:color="D8D0C0" w:sz="4"/>
          <w:insideV w:val="nil"/>
        </w:tblBorders>
      </w:tblPr>
      <w:tblGrid>
        <w:gridCol w:w="2000"/>
        <w:gridCol w:w="2000"/>
      </w:tblGrid>
      <w:tr>
        <w:trPr>
          <w:tblHeader/>
        </w:trPr>
        <w:tc>
          <w:tcPr>
            <w:tcW w:w="2000" w:type="dxa"/>
            <w:shd w:val="clear" w:fill="1B3A4B"/>
          </w:tcPr>
          <w:p>
            <w:pPr>
              <w:spacing w:before="40" w:after="40"/>
            </w:pPr>
            <w:r>
              <w:rPr>
                <w:b/>
                <w:color w:val="FFFFFF"/>
                <w:sz w:val="18"/>
              </w:rPr>
              <w:t>Data Source</w:t>
            </w:r>
          </w:p>
        </w:tc>
        <w:tc>
          <w:tcPr>
            <w:tcW w:w="2000" w:type="dxa"/>
            <w:shd w:val="clear" w:fill="1B3A4B"/>
          </w:tcPr>
          <w:p>
            <w:pPr>
              <w:spacing w:before="40" w:after="40"/>
            </w:pPr>
            <w:r>
              <w:rPr>
                <w:b/>
                <w:color w:val="FFFFFF"/>
                <w:sz w:val="18"/>
              </w:rPr>
              <w:t>Cross-Vertical Value</w:t>
            </w:r>
          </w:p>
        </w:tc>
      </w:tr>
      <w:tr>
        <w:tc>
          <w:tcPr>
            <w:tcW w:w="2000" w:type="dxa"/>
          </w:tcPr>
          <w:p>
            <w:pPr>
              <w:spacing w:before="40" w:after="40"/>
            </w:pPr>
            <w:r>
              <w:rPr>
                <w:color w:val="4A5568"/>
                <w:sz w:val="18"/>
              </w:rPr>
              <w:t>Property condition imagery (Recon + Sentinel)</w:t>
            </w:r>
          </w:p>
        </w:tc>
        <w:tc>
          <w:tcPr>
            <w:tcW w:w="2000" w:type="dxa"/>
          </w:tcPr>
          <w:p>
            <w:pPr>
              <w:spacing w:before="40" w:after="40"/>
            </w:pPr>
            <w:r>
              <w:rPr>
                <w:color w:val="4A5568"/>
                <w:sz w:val="18"/>
              </w:rPr>
              <w:t>Insurance underwriting risk scoring; real estate AVM calibration; contractor bidding accuracy</w:t>
            </w:r>
          </w:p>
        </w:tc>
      </w:tr>
      <w:tr>
        <w:tc>
          <w:tcPr>
            <w:tcW w:w="2000" w:type="dxa"/>
          </w:tcPr>
          <w:p>
            <w:pPr>
              <w:spacing w:before="40" w:after="40"/>
            </w:pPr>
            <w:r>
              <w:rPr>
                <w:color w:val="4A5568"/>
                <w:sz w:val="18"/>
              </w:rPr>
              <w:t>Contractor performance outcomes (Apex Insight)</w:t>
            </w:r>
          </w:p>
        </w:tc>
        <w:tc>
          <w:tcPr>
            <w:tcW w:w="2000" w:type="dxa"/>
          </w:tcPr>
          <w:p>
            <w:pPr>
              <w:spacing w:before="40" w:after="40"/>
            </w:pPr>
            <w:r>
              <w:rPr>
                <w:color w:val="4A5568"/>
                <w:sz w:val="18"/>
              </w:rPr>
              <w:t>Property management vendor programs; insurance preferred vendor networks</w:t>
            </w:r>
          </w:p>
        </w:tc>
      </w:tr>
      <w:tr>
        <w:tc>
          <w:tcPr>
            <w:tcW w:w="2000" w:type="dxa"/>
          </w:tcPr>
          <w:p>
            <w:pPr>
              <w:spacing w:before="40" w:after="40"/>
            </w:pPr>
            <w:r>
              <w:rPr>
                <w:color w:val="4A5568"/>
                <w:sz w:val="18"/>
              </w:rPr>
              <w:t>Probate timelines and estate records</w:t>
            </w:r>
          </w:p>
        </w:tc>
        <w:tc>
          <w:tcPr>
            <w:tcW w:w="2000" w:type="dxa"/>
          </w:tcPr>
          <w:p>
            <w:pPr>
              <w:spacing w:before="40" w:after="40"/>
            </w:pPr>
            <w:r>
              <w:rPr>
                <w:color w:val="4A5568"/>
                <w:sz w:val="18"/>
              </w:rPr>
              <w:t>Real estate market timing signals; off-market property identification</w:t>
            </w:r>
          </w:p>
        </w:tc>
      </w:tr>
      <w:tr>
        <w:tc>
          <w:tcPr>
            <w:tcW w:w="2000" w:type="dxa"/>
          </w:tcPr>
          <w:p>
            <w:pPr>
              <w:spacing w:before="40" w:after="40"/>
            </w:pPr>
            <w:r>
              <w:rPr>
                <w:color w:val="4A5568"/>
                <w:sz w:val="18"/>
              </w:rPr>
              <w:t>Storm damage patterns (Recon Engine)</w:t>
            </w:r>
          </w:p>
        </w:tc>
        <w:tc>
          <w:tcPr>
            <w:tcW w:w="2000" w:type="dxa"/>
          </w:tcPr>
          <w:p>
            <w:pPr>
              <w:spacing w:before="40" w:after="40"/>
            </w:pPr>
            <w:r>
              <w:rPr>
                <w:color w:val="4A5568"/>
                <w:sz w:val="18"/>
              </w:rPr>
              <w:t>Insurance catastrophe risk modeling; contractor capacity pre-positioning</w:t>
            </w:r>
          </w:p>
        </w:tc>
      </w:tr>
      <w:tr>
        <w:tc>
          <w:tcPr>
            <w:tcW w:w="2000" w:type="dxa"/>
          </w:tcPr>
          <w:p>
            <w:pPr>
              <w:spacing w:before="40" w:after="40"/>
            </w:pPr>
            <w:r>
              <w:rPr>
                <w:color w:val="4A5568"/>
                <w:sz w:val="18"/>
              </w:rPr>
              <w:t>Gig verification outcomes (VIVELLA Verified)</w:t>
            </w:r>
          </w:p>
        </w:tc>
        <w:tc>
          <w:tcPr>
            <w:tcW w:w="2000" w:type="dxa"/>
          </w:tcPr>
          <w:p>
            <w:pPr>
              <w:spacing w:before="40" w:after="40"/>
            </w:pPr>
            <w:r>
              <w:rPr>
                <w:color w:val="4A5568"/>
                <w:sz w:val="18"/>
              </w:rPr>
              <w:t>AI model retraining; contractor credential scoring; fraud signal enrichment</w:t>
            </w:r>
          </w:p>
        </w:tc>
      </w:tr>
    </w:tbl>
    <w:p>
      <w:pPr>
        <w:spacing w:before="120" w:after="120"/>
      </w:pPr>
    </w:p>
    <w:p>
      <w:pPr>
        <w:pStyle w:val="Heading2"/>
      </w:pPr>
      <w:r>
        <w:t>Geographic Expansion Strategy</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Phase</w:t>
            </w:r>
          </w:p>
        </w:tc>
        <w:tc>
          <w:tcPr>
            <w:tcW w:w="2000" w:type="dxa"/>
            <w:shd w:val="clear" w:fill="1B3A4B"/>
          </w:tcPr>
          <w:p>
            <w:pPr>
              <w:spacing w:before="40" w:after="40"/>
            </w:pPr>
            <w:r>
              <w:rPr>
                <w:b/>
                <w:color w:val="FFFFFF"/>
                <w:sz w:val="18"/>
              </w:rPr>
              <w:t>Regions</w:t>
            </w:r>
          </w:p>
        </w:tc>
        <w:tc>
          <w:tcPr>
            <w:tcW w:w="2000" w:type="dxa"/>
            <w:shd w:val="clear" w:fill="1B3A4B"/>
          </w:tcPr>
          <w:p>
            <w:pPr>
              <w:spacing w:before="40" w:after="40"/>
            </w:pPr>
            <w:r>
              <w:rPr>
                <w:b/>
                <w:color w:val="FFFFFF"/>
                <w:sz w:val="18"/>
              </w:rPr>
              <w:t>Market Size</w:t>
            </w:r>
          </w:p>
        </w:tc>
        <w:tc>
          <w:tcPr>
            <w:tcW w:w="2000" w:type="dxa"/>
            <w:shd w:val="clear" w:fill="1B3A4B"/>
          </w:tcPr>
          <w:p>
            <w:pPr>
              <w:spacing w:before="40" w:after="40"/>
            </w:pPr>
            <w:r>
              <w:rPr>
                <w:b/>
                <w:color w:val="FFFFFF"/>
                <w:sz w:val="18"/>
              </w:rPr>
              <w:t>Entry Strategy</w:t>
            </w:r>
          </w:p>
        </w:tc>
      </w:tr>
      <w:tr>
        <w:tc>
          <w:tcPr>
            <w:tcW w:w="2000" w:type="dxa"/>
          </w:tcPr>
          <w:p>
            <w:pPr>
              <w:spacing w:before="40" w:after="40"/>
            </w:pPr>
            <w:r>
              <w:rPr>
                <w:color w:val="4A5568"/>
                <w:sz w:val="18"/>
              </w:rPr>
              <w:t>Phase 1 (Active)</w:t>
            </w:r>
          </w:p>
        </w:tc>
        <w:tc>
          <w:tcPr>
            <w:tcW w:w="2000" w:type="dxa"/>
          </w:tcPr>
          <w:p>
            <w:pPr>
              <w:spacing w:before="40" w:after="40"/>
            </w:pPr>
            <w:r>
              <w:rPr>
                <w:color w:val="4A5568"/>
                <w:sz w:val="18"/>
              </w:rPr>
              <w:t>Texas, Florida, Oklahoma -- Hail Belt</w:t>
            </w:r>
          </w:p>
        </w:tc>
        <w:tc>
          <w:tcPr>
            <w:tcW w:w="2000" w:type="dxa"/>
          </w:tcPr>
          <w:p>
            <w:pPr>
              <w:spacing w:before="40" w:after="40"/>
            </w:pPr>
            <w:r>
              <w:rPr>
                <w:color w:val="4A5568"/>
                <w:sz w:val="18"/>
              </w:rPr>
              <w:t>$5B</w:t>
            </w:r>
          </w:p>
        </w:tc>
        <w:tc>
          <w:tcPr>
            <w:tcW w:w="2000" w:type="dxa"/>
          </w:tcPr>
          <w:p>
            <w:pPr>
              <w:spacing w:before="40" w:after="40"/>
            </w:pPr>
            <w:r>
              <w:rPr>
                <w:color w:val="4A5568"/>
                <w:sz w:val="18"/>
              </w:rPr>
              <w:t>Direct sales; Burleson Pilot; InsightLPR anchor</w:t>
            </w:r>
          </w:p>
        </w:tc>
      </w:tr>
      <w:tr>
        <w:tc>
          <w:tcPr>
            <w:tcW w:w="2000" w:type="dxa"/>
          </w:tcPr>
          <w:p>
            <w:pPr>
              <w:spacing w:before="40" w:after="40"/>
            </w:pPr>
            <w:r>
              <w:rPr>
                <w:color w:val="4A5568"/>
                <w:sz w:val="18"/>
              </w:rPr>
              <w:t>Phase 2 (Q2 2025)</w:t>
            </w:r>
          </w:p>
        </w:tc>
        <w:tc>
          <w:tcPr>
            <w:tcW w:w="2000" w:type="dxa"/>
          </w:tcPr>
          <w:p>
            <w:pPr>
              <w:spacing w:before="40" w:after="40"/>
            </w:pPr>
            <w:r>
              <w:rPr>
                <w:color w:val="4A5568"/>
                <w:sz w:val="18"/>
              </w:rPr>
              <w:t>Midwest, Southeast -- secondary hail</w:t>
            </w:r>
          </w:p>
        </w:tc>
        <w:tc>
          <w:tcPr>
            <w:tcW w:w="2000" w:type="dxa"/>
          </w:tcPr>
          <w:p>
            <w:pPr>
              <w:spacing w:before="40" w:after="40"/>
            </w:pPr>
            <w:r>
              <w:rPr>
                <w:color w:val="4A5568"/>
                <w:sz w:val="18"/>
              </w:rPr>
              <w:t>$8B</w:t>
            </w:r>
          </w:p>
        </w:tc>
        <w:tc>
          <w:tcPr>
            <w:tcW w:w="2000" w:type="dxa"/>
          </w:tcPr>
          <w:p>
            <w:pPr>
              <w:spacing w:before="40" w:after="40"/>
            </w:pPr>
            <w:r>
              <w:rPr>
                <w:color w:val="4A5568"/>
                <w:sz w:val="18"/>
              </w:rPr>
              <w:t>Channel partner networks; regional office</w:t>
            </w:r>
          </w:p>
        </w:tc>
      </w:tr>
      <w:tr>
        <w:tc>
          <w:tcPr>
            <w:tcW w:w="2000" w:type="dxa"/>
          </w:tcPr>
          <w:p>
            <w:pPr>
              <w:spacing w:before="40" w:after="40"/>
            </w:pPr>
            <w:r>
              <w:rPr>
                <w:color w:val="4A5568"/>
                <w:sz w:val="18"/>
              </w:rPr>
              <w:t>Phase 3 (Q4 2025)</w:t>
            </w:r>
          </w:p>
        </w:tc>
        <w:tc>
          <w:tcPr>
            <w:tcW w:w="2000" w:type="dxa"/>
          </w:tcPr>
          <w:p>
            <w:pPr>
              <w:spacing w:before="40" w:after="40"/>
            </w:pPr>
            <w:r>
              <w:rPr>
                <w:color w:val="4A5568"/>
                <w:sz w:val="18"/>
              </w:rPr>
              <w:t>Northeast, West Coast -- enterprise</w:t>
            </w:r>
          </w:p>
        </w:tc>
        <w:tc>
          <w:tcPr>
            <w:tcW w:w="2000" w:type="dxa"/>
          </w:tcPr>
          <w:p>
            <w:pPr>
              <w:spacing w:before="40" w:after="40"/>
            </w:pPr>
            <w:r>
              <w:rPr>
                <w:color w:val="4A5568"/>
                <w:sz w:val="18"/>
              </w:rPr>
              <w:t>$12B</w:t>
            </w:r>
          </w:p>
        </w:tc>
        <w:tc>
          <w:tcPr>
            <w:tcW w:w="2000" w:type="dxa"/>
          </w:tcPr>
          <w:p>
            <w:pPr>
              <w:spacing w:before="40" w:after="40"/>
            </w:pPr>
            <w:r>
              <w:rPr>
                <w:color w:val="4A5568"/>
                <w:sz w:val="18"/>
              </w:rPr>
              <w:t>Enterprise sales motion; acquisition targets</w:t>
            </w:r>
          </w:p>
        </w:tc>
      </w:tr>
      <w:tr>
        <w:tc>
          <w:tcPr>
            <w:tcW w:w="2000" w:type="dxa"/>
          </w:tcPr>
          <w:p>
            <w:pPr>
              <w:spacing w:before="40" w:after="40"/>
            </w:pPr>
            <w:r>
              <w:rPr>
                <w:color w:val="4A5568"/>
                <w:sz w:val="18"/>
              </w:rPr>
              <w:t>Phase 4 (2026)</w:t>
            </w:r>
          </w:p>
        </w:tc>
        <w:tc>
          <w:tcPr>
            <w:tcW w:w="2000" w:type="dxa"/>
          </w:tcPr>
          <w:p>
            <w:pPr>
              <w:spacing w:before="40" w:after="40"/>
            </w:pPr>
            <w:r>
              <w:rPr>
                <w:color w:val="4A5568"/>
                <w:sz w:val="18"/>
              </w:rPr>
              <w:t>Canada, Mexico -- cross-border</w:t>
            </w:r>
          </w:p>
        </w:tc>
        <w:tc>
          <w:tcPr>
            <w:tcW w:w="2000" w:type="dxa"/>
          </w:tcPr>
          <w:p>
            <w:pPr>
              <w:spacing w:before="40" w:after="40"/>
            </w:pPr>
            <w:r>
              <w:rPr>
                <w:color w:val="4A5568"/>
                <w:sz w:val="18"/>
              </w:rPr>
              <w:t>$3B</w:t>
            </w:r>
          </w:p>
        </w:tc>
        <w:tc>
          <w:tcPr>
            <w:tcW w:w="2000" w:type="dxa"/>
          </w:tcPr>
          <w:p>
            <w:pPr>
              <w:spacing w:before="40" w:after="40"/>
            </w:pPr>
            <w:r>
              <w:rPr>
                <w:color w:val="4A5568"/>
                <w:sz w:val="18"/>
              </w:rPr>
              <w:t>Strategic distribution partnerships</w:t>
            </w:r>
          </w:p>
        </w:tc>
      </w:tr>
      <w:tr>
        <w:tc>
          <w:tcPr>
            <w:tcW w:w="2000" w:type="dxa"/>
          </w:tcPr>
          <w:p>
            <w:pPr>
              <w:spacing w:before="40" w:after="40"/>
            </w:pPr>
            <w:r>
              <w:rPr>
                <w:color w:val="4A5568"/>
                <w:sz w:val="18"/>
              </w:rPr>
              <w:t>Phase 5 (2027+)</w:t>
            </w:r>
          </w:p>
        </w:tc>
        <w:tc>
          <w:tcPr>
            <w:tcW w:w="2000" w:type="dxa"/>
          </w:tcPr>
          <w:p>
            <w:pPr>
              <w:spacing w:before="40" w:after="40"/>
            </w:pPr>
            <w:r>
              <w:rPr>
                <w:color w:val="4A5568"/>
                <w:sz w:val="18"/>
              </w:rPr>
              <w:t>UK, Australia -- common-law</w:t>
            </w:r>
          </w:p>
        </w:tc>
        <w:tc>
          <w:tcPr>
            <w:tcW w:w="2000" w:type="dxa"/>
          </w:tcPr>
          <w:p>
            <w:pPr>
              <w:spacing w:before="40" w:after="40"/>
            </w:pPr>
            <w:r>
              <w:rPr>
                <w:color w:val="4A5568"/>
                <w:sz w:val="18"/>
              </w:rPr>
              <w:t>$5B</w:t>
            </w:r>
          </w:p>
        </w:tc>
        <w:tc>
          <w:tcPr>
            <w:tcW w:w="2000" w:type="dxa"/>
          </w:tcPr>
          <w:p>
            <w:pPr>
              <w:spacing w:before="40" w:after="40"/>
            </w:pPr>
            <w:r>
              <w:rPr>
                <w:color w:val="4A5568"/>
                <w:sz w:val="18"/>
              </w:rPr>
              <w:t>Joint ventures; probate localization</w:t>
            </w:r>
          </w:p>
        </w:tc>
      </w:tr>
    </w:tbl>
    <w:p>
      <w:pPr>
        <w:spacing w:before="120" w:after="120"/>
      </w:pPr>
    </w:p>
    <w:p>
      <w:pPr>
        <w:pStyle w:val="Heading2"/>
      </w:pPr>
      <w:r>
        <w:t>M&amp;A Target Categories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gridCol w:w="2000"/>
      </w:tblGrid>
      <w:tr>
        <w:trPr>
          <w:tblHeader/>
        </w:trPr>
        <w:tc>
          <w:tcPr>
            <w:tcW w:w="2000" w:type="dxa"/>
            <w:shd w:val="clear" w:fill="1B3A4B"/>
          </w:tcPr>
          <w:p>
            <w:pPr>
              <w:spacing w:before="40" w:after="40"/>
            </w:pPr>
            <w:r>
              <w:rPr>
                <w:b/>
                <w:color w:val="FFFFFF"/>
                <w:sz w:val="18"/>
              </w:rPr>
              <w:t>Category</w:t>
            </w:r>
          </w:p>
        </w:tc>
        <w:tc>
          <w:tcPr>
            <w:tcW w:w="2000" w:type="dxa"/>
            <w:shd w:val="clear" w:fill="1B3A4B"/>
          </w:tcPr>
          <w:p>
            <w:pPr>
              <w:spacing w:before="40" w:after="40"/>
            </w:pPr>
            <w:r>
              <w:rPr>
                <w:b/>
                <w:color w:val="FFFFFF"/>
                <w:sz w:val="18"/>
              </w:rPr>
              <w:t>Target Examples</w:t>
            </w:r>
          </w:p>
        </w:tc>
        <w:tc>
          <w:tcPr>
            <w:tcW w:w="2000" w:type="dxa"/>
            <w:shd w:val="clear" w:fill="1B3A4B"/>
          </w:tcPr>
          <w:p>
            <w:pPr>
              <w:spacing w:before="40" w:after="40"/>
            </w:pPr>
            <w:r>
              <w:rPr>
                <w:b/>
                <w:color w:val="FFFFFF"/>
                <w:sz w:val="18"/>
              </w:rPr>
              <w:t>Strategic Value</w:t>
            </w:r>
          </w:p>
        </w:tc>
        <w:tc>
          <w:tcPr>
            <w:tcW w:w="2000" w:type="dxa"/>
            <w:shd w:val="clear" w:fill="1B3A4B"/>
          </w:tcPr>
          <w:p>
            <w:pPr>
              <w:spacing w:before="40" w:after="40"/>
            </w:pPr>
            <w:r>
              <w:rPr>
                <w:b/>
                <w:color w:val="FFFFFF"/>
                <w:sz w:val="18"/>
              </w:rPr>
              <w:t>Estimated Cost</w:t>
            </w:r>
          </w:p>
        </w:tc>
        <w:tc>
          <w:tcPr>
            <w:tcW w:w="2000" w:type="dxa"/>
            <w:shd w:val="clear" w:fill="1B3A4B"/>
          </w:tcPr>
          <w:p>
            <w:pPr>
              <w:spacing w:before="40" w:after="40"/>
            </w:pPr>
            <w:r>
              <w:rPr>
                <w:b/>
                <w:color w:val="FFFFFF"/>
                <w:sz w:val="18"/>
              </w:rPr>
              <w:t>Priority</w:t>
            </w:r>
          </w:p>
        </w:tc>
      </w:tr>
      <w:tr>
        <w:tc>
          <w:tcPr>
            <w:tcW w:w="2000" w:type="dxa"/>
          </w:tcPr>
          <w:p>
            <w:pPr>
              <w:spacing w:before="40" w:after="40"/>
            </w:pPr>
            <w:r>
              <w:rPr>
                <w:color w:val="4A5568"/>
                <w:sz w:val="18"/>
              </w:rPr>
              <w:t>Storm Data Providers</w:t>
            </w:r>
          </w:p>
        </w:tc>
        <w:tc>
          <w:tcPr>
            <w:tcW w:w="2000" w:type="dxa"/>
          </w:tcPr>
          <w:p>
            <w:pPr>
              <w:spacing w:before="40" w:after="40"/>
            </w:pPr>
            <w:r>
              <w:rPr>
                <w:color w:val="4A5568"/>
                <w:sz w:val="18"/>
              </w:rPr>
              <w:t>Hail Recon, HAAG Storm</w:t>
            </w:r>
          </w:p>
        </w:tc>
        <w:tc>
          <w:tcPr>
            <w:tcW w:w="2000" w:type="dxa"/>
          </w:tcPr>
          <w:p>
            <w:pPr>
              <w:spacing w:before="40" w:after="40"/>
            </w:pPr>
            <w:r>
              <w:rPr>
                <w:color w:val="4A5568"/>
                <w:sz w:val="18"/>
              </w:rPr>
              <w:t>Customer base; proprietary storm dataset</w:t>
            </w:r>
          </w:p>
        </w:tc>
        <w:tc>
          <w:tcPr>
            <w:tcW w:w="2000" w:type="dxa"/>
          </w:tcPr>
          <w:p>
            <w:pPr>
              <w:spacing w:before="40" w:after="40"/>
            </w:pPr>
            <w:r>
              <w:rPr>
                <w:color w:val="4A5568"/>
                <w:sz w:val="18"/>
              </w:rPr>
              <w:t>$5M-$20M</w:t>
            </w:r>
          </w:p>
        </w:tc>
        <w:tc>
          <w:tcPr>
            <w:tcW w:w="2000" w:type="dxa"/>
          </w:tcPr>
          <w:p>
            <w:pPr>
              <w:spacing w:before="40" w:after="40"/>
            </w:pPr>
            <w:r>
              <w:rPr>
                <w:color w:val="4A5568"/>
                <w:sz w:val="18"/>
              </w:rPr>
              <w:t>P1 -- Q1/Q2 2025</w:t>
            </w:r>
          </w:p>
        </w:tc>
      </w:tr>
      <w:tr>
        <w:tc>
          <w:tcPr>
            <w:tcW w:w="2000" w:type="dxa"/>
          </w:tcPr>
          <w:p>
            <w:pPr>
              <w:spacing w:before="40" w:after="40"/>
            </w:pPr>
            <w:r>
              <w:rPr>
                <w:color w:val="4A5568"/>
                <w:sz w:val="18"/>
              </w:rPr>
              <w:t>Estimating Software</w:t>
            </w:r>
          </w:p>
        </w:tc>
        <w:tc>
          <w:tcPr>
            <w:tcW w:w="2000" w:type="dxa"/>
          </w:tcPr>
          <w:p>
            <w:pPr>
              <w:spacing w:before="40" w:after="40"/>
            </w:pPr>
            <w:r>
              <w:rPr>
                <w:color w:val="4A5568"/>
                <w:sz w:val="18"/>
              </w:rPr>
              <w:t>Small Xactimate competitors</w:t>
            </w:r>
          </w:p>
        </w:tc>
        <w:tc>
          <w:tcPr>
            <w:tcW w:w="2000" w:type="dxa"/>
          </w:tcPr>
          <w:p>
            <w:pPr>
              <w:spacing w:before="40" w:after="40"/>
            </w:pPr>
            <w:r>
              <w:rPr>
                <w:color w:val="4A5568"/>
                <w:sz w:val="18"/>
              </w:rPr>
              <w:t>Technology + user base; displacement</w:t>
            </w:r>
          </w:p>
        </w:tc>
        <w:tc>
          <w:tcPr>
            <w:tcW w:w="2000" w:type="dxa"/>
          </w:tcPr>
          <w:p>
            <w:pPr>
              <w:spacing w:before="40" w:after="40"/>
            </w:pPr>
            <w:r>
              <w:rPr>
                <w:color w:val="4A5568"/>
                <w:sz w:val="18"/>
              </w:rPr>
              <w:t>$10M-$50M</w:t>
            </w:r>
          </w:p>
        </w:tc>
        <w:tc>
          <w:tcPr>
            <w:tcW w:w="2000" w:type="dxa"/>
          </w:tcPr>
          <w:p>
            <w:pPr>
              <w:spacing w:before="40" w:after="40"/>
            </w:pPr>
            <w:r>
              <w:rPr>
                <w:color w:val="4A5568"/>
                <w:sz w:val="18"/>
              </w:rPr>
              <w:t>P2 -- Q2/Q3 2025</w:t>
            </w:r>
          </w:p>
        </w:tc>
      </w:tr>
      <w:tr>
        <w:tc>
          <w:tcPr>
            <w:tcW w:w="2000" w:type="dxa"/>
          </w:tcPr>
          <w:p>
            <w:pPr>
              <w:spacing w:before="40" w:after="40"/>
            </w:pPr>
            <w:r>
              <w:rPr>
                <w:color w:val="4A5568"/>
                <w:sz w:val="18"/>
              </w:rPr>
              <w:t>Measurement Services</w:t>
            </w:r>
          </w:p>
        </w:tc>
        <w:tc>
          <w:tcPr>
            <w:tcW w:w="2000" w:type="dxa"/>
          </w:tcPr>
          <w:p>
            <w:pPr>
              <w:spacing w:before="40" w:after="40"/>
            </w:pPr>
            <w:r>
              <w:rPr>
                <w:color w:val="4A5568"/>
                <w:sz w:val="18"/>
              </w:rPr>
              <w:t>Roofr, local measurement providers</w:t>
            </w:r>
          </w:p>
        </w:tc>
        <w:tc>
          <w:tcPr>
            <w:tcW w:w="2000" w:type="dxa"/>
          </w:tcPr>
          <w:p>
            <w:pPr>
              <w:spacing w:before="40" w:after="40"/>
            </w:pPr>
            <w:r>
              <w:rPr>
                <w:color w:val="4A5568"/>
                <w:sz w:val="18"/>
              </w:rPr>
              <w:t>AI model enrichment; aerial expansion</w:t>
            </w:r>
          </w:p>
        </w:tc>
        <w:tc>
          <w:tcPr>
            <w:tcW w:w="2000" w:type="dxa"/>
          </w:tcPr>
          <w:p>
            <w:pPr>
              <w:spacing w:before="40" w:after="40"/>
            </w:pPr>
            <w:r>
              <w:rPr>
                <w:color w:val="4A5568"/>
                <w:sz w:val="18"/>
              </w:rPr>
              <w:t>$15M-$40M</w:t>
            </w:r>
          </w:p>
        </w:tc>
        <w:tc>
          <w:tcPr>
            <w:tcW w:w="2000" w:type="dxa"/>
          </w:tcPr>
          <w:p>
            <w:pPr>
              <w:spacing w:before="40" w:after="40"/>
            </w:pPr>
            <w:r>
              <w:rPr>
                <w:color w:val="4A5568"/>
                <w:sz w:val="18"/>
              </w:rPr>
              <w:t>P2</w:t>
            </w:r>
          </w:p>
        </w:tc>
      </w:tr>
      <w:tr>
        <w:tc>
          <w:tcPr>
            <w:tcW w:w="2000" w:type="dxa"/>
          </w:tcPr>
          <w:p>
            <w:pPr>
              <w:spacing w:before="40" w:after="40"/>
            </w:pPr>
            <w:r>
              <w:rPr>
                <w:color w:val="4A5568"/>
                <w:sz w:val="18"/>
              </w:rPr>
              <w:t>Restoration CRM Platforms</w:t>
            </w:r>
          </w:p>
        </w:tc>
        <w:tc>
          <w:tcPr>
            <w:tcW w:w="2000" w:type="dxa"/>
          </w:tcPr>
          <w:p>
            <w:pPr>
              <w:spacing w:before="40" w:after="40"/>
            </w:pPr>
            <w:r>
              <w:rPr>
                <w:color w:val="4A5568"/>
                <w:sz w:val="18"/>
              </w:rPr>
              <w:t>Restoration-focused CRM tools</w:t>
            </w:r>
          </w:p>
        </w:tc>
        <w:tc>
          <w:tcPr>
            <w:tcW w:w="2000" w:type="dxa"/>
          </w:tcPr>
          <w:p>
            <w:pPr>
              <w:spacing w:before="40" w:after="40"/>
            </w:pPr>
            <w:r>
              <w:rPr>
                <w:color w:val="4A5568"/>
                <w:sz w:val="18"/>
              </w:rPr>
              <w:t>Integration lock-in; ACV expansion</w:t>
            </w:r>
          </w:p>
        </w:tc>
        <w:tc>
          <w:tcPr>
            <w:tcW w:w="2000" w:type="dxa"/>
          </w:tcPr>
          <w:p>
            <w:pPr>
              <w:spacing w:before="40" w:after="40"/>
            </w:pPr>
            <w:r>
              <w:rPr>
                <w:color w:val="4A5568"/>
                <w:sz w:val="18"/>
              </w:rPr>
              <w:t>$20M-$60M</w:t>
            </w:r>
          </w:p>
        </w:tc>
        <w:tc>
          <w:tcPr>
            <w:tcW w:w="2000" w:type="dxa"/>
          </w:tcPr>
          <w:p>
            <w:pPr>
              <w:spacing w:before="40" w:after="40"/>
            </w:pPr>
            <w:r>
              <w:rPr>
                <w:color w:val="4A5568"/>
                <w:sz w:val="18"/>
              </w:rPr>
              <w:t>P3 -- Q3/Q4 2025</w:t>
            </w:r>
          </w:p>
        </w:tc>
      </w:tr>
      <w:tr>
        <w:tc>
          <w:tcPr>
            <w:tcW w:w="2000" w:type="dxa"/>
          </w:tcPr>
          <w:p>
            <w:pPr>
              <w:spacing w:before="40" w:after="40"/>
            </w:pPr>
            <w:r>
              <w:rPr>
                <w:color w:val="4A5568"/>
                <w:sz w:val="18"/>
              </w:rPr>
              <w:t>Data Analytics Firms</w:t>
            </w:r>
          </w:p>
        </w:tc>
        <w:tc>
          <w:tcPr>
            <w:tcW w:w="2000" w:type="dxa"/>
          </w:tcPr>
          <w:p>
            <w:pPr>
              <w:spacing w:before="40" w:after="40"/>
            </w:pPr>
            <w:r>
              <w:rPr>
                <w:color w:val="4A5568"/>
                <w:sz w:val="18"/>
              </w:rPr>
              <w:t>Property intelligence startups</w:t>
            </w:r>
          </w:p>
        </w:tc>
        <w:tc>
          <w:tcPr>
            <w:tcW w:w="2000" w:type="dxa"/>
          </w:tcPr>
          <w:p>
            <w:pPr>
              <w:spacing w:before="40" w:after="40"/>
            </w:pPr>
            <w:r>
              <w:rPr>
                <w:color w:val="4A5568"/>
                <w:sz w:val="18"/>
              </w:rPr>
              <w:t>ML talent; algorithm enrichment</w:t>
            </w:r>
          </w:p>
        </w:tc>
        <w:tc>
          <w:tcPr>
            <w:tcW w:w="2000" w:type="dxa"/>
          </w:tcPr>
          <w:p>
            <w:pPr>
              <w:spacing w:before="40" w:after="40"/>
            </w:pPr>
            <w:r>
              <w:rPr>
                <w:color w:val="4A5568"/>
                <w:sz w:val="18"/>
              </w:rPr>
              <w:t>$10M-$30M</w:t>
            </w:r>
          </w:p>
        </w:tc>
        <w:tc>
          <w:tcPr>
            <w:tcW w:w="2000" w:type="dxa"/>
          </w:tcPr>
          <w:p>
            <w:pPr>
              <w:spacing w:before="40" w:after="40"/>
            </w:pPr>
            <w:r>
              <w:rPr>
                <w:color w:val="4A5568"/>
                <w:sz w:val="18"/>
              </w:rPr>
              <w:t>P4 -- 2026+</w:t>
            </w:r>
          </w:p>
        </w:tc>
      </w:tr>
    </w:tbl>
    <w:p>
      <w:pPr>
        <w:spacing w:before="120" w:after="120"/>
      </w:pPr>
    </w:p>
    <w:p>
      <w:pPr>
        <w:pStyle w:val="Heading1"/>
      </w:pPr>
      <w:r>
        <w:t>CHAPTER 08: FRACTURE &amp; Civic Intelligence Platform</w:t>
      </w:r>
      <w:bookmarkStart w:name="_H9" w:id="9"/>
      <w:bookmarkEnd w:id="9"/>
    </w:p>
    <w:p>
      <w:r>
        <w:t>Embedded within the Property Intelligence architecture is FRACTURE -- a persistent, global metagame known as FRACTURE: The Reality War. This operational mythology provides users with a narrative framework for their real-world data contributions, turning property analysis, verification, and civic participation into gamified rituals for factional sovereignty.</w:t>
      </w:r>
    </w:p>
    <w:p>
      <w:pPr>
        <w:pStyle w:val="Heading2"/>
      </w:pPr>
      <w:r>
        <w:t>The Four Factions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Faction</w:t>
            </w:r>
          </w:p>
        </w:tc>
        <w:tc>
          <w:tcPr>
            <w:tcW w:w="2000" w:type="dxa"/>
            <w:shd w:val="clear" w:fill="1B3A4B"/>
          </w:tcPr>
          <w:p>
            <w:pPr>
              <w:spacing w:before="40" w:after="40"/>
            </w:pPr>
            <w:r>
              <w:rPr>
                <w:b/>
                <w:color w:val="FFFFFF"/>
                <w:sz w:val="18"/>
              </w:rPr>
              <w:t>Focus Domain</w:t>
            </w:r>
          </w:p>
        </w:tc>
        <w:tc>
          <w:tcPr>
            <w:tcW w:w="2000" w:type="dxa"/>
            <w:shd w:val="clear" w:fill="1B3A4B"/>
          </w:tcPr>
          <w:p>
            <w:pPr>
              <w:spacing w:before="40" w:after="40"/>
            </w:pPr>
            <w:r>
              <w:rPr>
                <w:b/>
                <w:color w:val="FFFFFF"/>
                <w:sz w:val="18"/>
              </w:rPr>
              <w:t>Real-World Data Role</w:t>
            </w:r>
          </w:p>
        </w:tc>
        <w:tc>
          <w:tcPr>
            <w:tcW w:w="2000" w:type="dxa"/>
            <w:shd w:val="clear" w:fill="1B3A4B"/>
          </w:tcPr>
          <w:p>
            <w:pPr>
              <w:spacing w:before="40" w:after="40"/>
            </w:pPr>
            <w:r>
              <w:rPr>
                <w:b/>
                <w:color w:val="FFFFFF"/>
                <w:sz w:val="18"/>
              </w:rPr>
              <w:t>VIVELLA Module</w:t>
            </w:r>
          </w:p>
        </w:tc>
      </w:tr>
      <w:tr>
        <w:tc>
          <w:tcPr>
            <w:tcW w:w="2000" w:type="dxa"/>
          </w:tcPr>
          <w:p>
            <w:pPr>
              <w:spacing w:before="40" w:after="40"/>
            </w:pPr>
            <w:r>
              <w:rPr>
                <w:color w:val="4A5568"/>
                <w:sz w:val="18"/>
              </w:rPr>
              <w:t>EcoGuardians (ECO)</w:t>
            </w:r>
          </w:p>
        </w:tc>
        <w:tc>
          <w:tcPr>
            <w:tcW w:w="2000" w:type="dxa"/>
          </w:tcPr>
          <w:p>
            <w:pPr>
              <w:spacing w:before="40" w:after="40"/>
            </w:pPr>
            <w:r>
              <w:rPr>
                <w:color w:val="4A5568"/>
                <w:sz w:val="18"/>
              </w:rPr>
              <w:t>Biological restoration, urban green-space</w:t>
            </w:r>
          </w:p>
        </w:tc>
        <w:tc>
          <w:tcPr>
            <w:tcW w:w="2000" w:type="dxa"/>
          </w:tcPr>
          <w:p>
            <w:pPr>
              <w:spacing w:before="40" w:after="40"/>
            </w:pPr>
            <w:r>
              <w:rPr>
                <w:color w:val="4A5568"/>
                <w:sz w:val="18"/>
              </w:rPr>
              <w:t>Trash detection; vegetation health verification</w:t>
            </w:r>
          </w:p>
        </w:tc>
        <w:tc>
          <w:tcPr>
            <w:tcW w:w="2000" w:type="dxa"/>
          </w:tcPr>
          <w:p>
            <w:pPr>
              <w:spacing w:before="40" w:after="40"/>
            </w:pPr>
            <w:r>
              <w:rPr>
                <w:color w:val="4A5568"/>
                <w:sz w:val="18"/>
              </w:rPr>
              <w:t>VIVELLA Learn -- CivicCore</w:t>
            </w:r>
          </w:p>
        </w:tc>
      </w:tr>
      <w:tr>
        <w:tc>
          <w:tcPr>
            <w:tcW w:w="2000" w:type="dxa"/>
          </w:tcPr>
          <w:p>
            <w:pPr>
              <w:spacing w:before="40" w:after="40"/>
            </w:pPr>
            <w:r>
              <w:rPr>
                <w:color w:val="4A5568"/>
                <w:sz w:val="18"/>
              </w:rPr>
              <w:t>DataSentinels (DATA)</w:t>
            </w:r>
          </w:p>
        </w:tc>
        <w:tc>
          <w:tcPr>
            <w:tcW w:w="2000" w:type="dxa"/>
          </w:tcPr>
          <w:p>
            <w:pPr>
              <w:spacing w:before="40" w:after="40"/>
            </w:pPr>
            <w:r>
              <w:rPr>
                <w:color w:val="4A5568"/>
                <w:sz w:val="18"/>
              </w:rPr>
              <w:t>Verifiable truth and order</w:t>
            </w:r>
          </w:p>
        </w:tc>
        <w:tc>
          <w:tcPr>
            <w:tcW w:w="2000" w:type="dxa"/>
          </w:tcPr>
          <w:p>
            <w:pPr>
              <w:spacing w:before="40" w:after="40"/>
            </w:pPr>
            <w:r>
              <w:rPr>
                <w:color w:val="4A5568"/>
                <w:sz w:val="18"/>
              </w:rPr>
              <w:t>Asset audits, property condition, vital records</w:t>
            </w:r>
          </w:p>
        </w:tc>
        <w:tc>
          <w:tcPr>
            <w:tcW w:w="2000" w:type="dxa"/>
          </w:tcPr>
          <w:p>
            <w:pPr>
              <w:spacing w:before="40" w:after="40"/>
            </w:pPr>
            <w:r>
              <w:rPr>
                <w:color w:val="4A5568"/>
                <w:sz w:val="18"/>
              </w:rPr>
              <w:t>VIVELLA Guard -- Verify</w:t>
            </w:r>
          </w:p>
        </w:tc>
      </w:tr>
      <w:tr>
        <w:tc>
          <w:tcPr>
            <w:tcW w:w="2000" w:type="dxa"/>
          </w:tcPr>
          <w:p>
            <w:pPr>
              <w:spacing w:before="40" w:after="40"/>
            </w:pPr>
            <w:r>
              <w:rPr>
                <w:color w:val="4A5568"/>
                <w:sz w:val="18"/>
              </w:rPr>
              <w:t>Architects (TECH)</w:t>
            </w:r>
          </w:p>
        </w:tc>
        <w:tc>
          <w:tcPr>
            <w:tcW w:w="2000" w:type="dxa"/>
          </w:tcPr>
          <w:p>
            <w:pPr>
              <w:spacing w:before="40" w:after="40"/>
            </w:pPr>
            <w:r>
              <w:rPr>
                <w:color w:val="4A5568"/>
                <w:sz w:val="18"/>
              </w:rPr>
              <w:t>Infrastructure progress</w:t>
            </w:r>
          </w:p>
        </w:tc>
        <w:tc>
          <w:tcPr>
            <w:tcW w:w="2000" w:type="dxa"/>
          </w:tcPr>
          <w:p>
            <w:pPr>
              <w:spacing w:before="40" w:after="40"/>
            </w:pPr>
            <w:r>
              <w:rPr>
                <w:color w:val="4A5568"/>
                <w:sz w:val="18"/>
              </w:rPr>
              <w:t>3D city twins, traffic optimization, LiDAR</w:t>
            </w:r>
          </w:p>
        </w:tc>
        <w:tc>
          <w:tcPr>
            <w:tcW w:w="2000" w:type="dxa"/>
          </w:tcPr>
          <w:p>
            <w:pPr>
              <w:spacing w:before="40" w:after="40"/>
            </w:pPr>
            <w:r>
              <w:rPr>
                <w:color w:val="4A5568"/>
                <w:sz w:val="18"/>
              </w:rPr>
              <w:t>VIVELLA [+] -- NEXUS EDGE</w:t>
            </w:r>
          </w:p>
        </w:tc>
      </w:tr>
      <w:tr>
        <w:tc>
          <w:tcPr>
            <w:tcW w:w="2000" w:type="dxa"/>
          </w:tcPr>
          <w:p>
            <w:pPr>
              <w:spacing w:before="40" w:after="40"/>
            </w:pPr>
            <w:r>
              <w:rPr>
                <w:color w:val="4A5568"/>
                <w:sz w:val="18"/>
              </w:rPr>
              <w:t>TruthSeekers (SHADOW)</w:t>
            </w:r>
          </w:p>
        </w:tc>
        <w:tc>
          <w:tcPr>
            <w:tcW w:w="2000" w:type="dxa"/>
          </w:tcPr>
          <w:p>
            <w:pPr>
              <w:spacing w:before="40" w:after="40"/>
            </w:pPr>
            <w:r>
              <w:rPr>
                <w:color w:val="4A5568"/>
                <w:sz w:val="18"/>
              </w:rPr>
              <w:t>Anomaly hunting, investigation</w:t>
            </w:r>
          </w:p>
        </w:tc>
        <w:tc>
          <w:tcPr>
            <w:tcW w:w="2000" w:type="dxa"/>
          </w:tcPr>
          <w:p>
            <w:pPr>
              <w:spacing w:before="40" w:after="40"/>
            </w:pPr>
            <w:r>
              <w:rPr>
                <w:color w:val="4A5568"/>
                <w:sz w:val="18"/>
              </w:rPr>
              <w:t>Skip-tracing, fraud detection, outlier investigation</w:t>
            </w:r>
          </w:p>
        </w:tc>
        <w:tc>
          <w:tcPr>
            <w:tcW w:w="2000" w:type="dxa"/>
          </w:tcPr>
          <w:p>
            <w:pPr>
              <w:spacing w:before="40" w:after="40"/>
            </w:pPr>
            <w:r>
              <w:rPr>
                <w:color w:val="4A5568"/>
                <w:sz w:val="18"/>
              </w:rPr>
              <w:t>VIVELLA Guard -- Fiduciary OS</w:t>
            </w:r>
          </w:p>
        </w:tc>
      </w:tr>
    </w:tbl>
    <w:p>
      <w:pPr>
        <w:spacing w:before="120" w:after="120"/>
      </w:pPr>
    </w:p>
    <w:p>
      <w:pPr>
        <w:pStyle w:val="Heading2"/>
      </w:pPr>
      <w:r>
        <w:t>Signal Strength Anti-Spoofing</w:t>
      </w:r>
    </w:p>
    <w:p>
      <w:r>
        <w:t>Signal Strength is FRACTURE's diegetic anti-fraud mechanic. It represents the literal connection quality between a user and the MASTERNEX.os core. High signal provides a crisp, stable interface; low signal causes visual fragmentation and triggers investigation by SHADOW faction players. Signal strength improves through high-quality verified data submission and degrades through spoofed GPS, fraudulent reports, or anomalies -- creating a self-policing network of Reality Verifiers.</w:t>
      </w:r>
    </w:p>
    <w:p>
      <w:pPr>
        <w:pStyle w:val="Heading2"/>
      </w:pPr>
      <w:r>
        <w:t>The EXPECT ME Protocol</w:t>
      </w:r>
    </w:p>
    <w:p>
      <w:r>
        <w:t>15% of all FRACTURE-generated revenue is hardcoded by architecture to anti-trafficking awareness and prevention infrastructure -- not a CSR pledge, but a protocol-level allocation enforced at the smart contract layer. This is the EXPECT ME Protocol: the platform's core civic covenant, ensuring that every property verified contributes to human protection.</w:t>
      </w:r>
    </w:p>
    <w:p>
      <w:pPr>
        <w:pStyle w:val="Heading1"/>
      </w:pPr>
      <w:r>
        <w:t>CHAPTER 09: Strategic Partnerships &amp; Flywheel Activation</w:t>
      </w:r>
      <w:bookmarkStart w:name="_H10" w:id="10"/>
      <w:bookmarkEnd w:id="10"/>
    </w:p>
    <w:p>
      <w:pPr>
        <w:pStyle w:val="Heading2"/>
      </w:pPr>
      <w:r>
        <w:t>InsightLPR -- Anchor Revenue Partnership</w:t>
      </w:r>
    </w:p>
    <w:p>
      <w:r>
        <w:t>InsightLPR represents the first contracted ARR anchor: 50,000 LPR devices at $1.50/device/month = $900,000 annually in defensible, bottoms-up contracted ARR. The Master Omnibus Proposal, Edge License Addendum, and meeting request package are fully drafted pending five pre-send gates.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Gate</w:t>
            </w:r>
          </w:p>
        </w:tc>
        <w:tc>
          <w:tcPr>
            <w:tcW w:w="2000" w:type="dxa"/>
            <w:shd w:val="clear" w:fill="1B3A4B"/>
          </w:tcPr>
          <w:p>
            <w:pPr>
              <w:spacing w:before="40" w:after="40"/>
            </w:pPr>
            <w:r>
              <w:rPr>
                <w:b/>
                <w:color w:val="FFFFFF"/>
                <w:sz w:val="18"/>
              </w:rPr>
              <w:t>Status</w:t>
            </w:r>
          </w:p>
        </w:tc>
        <w:tc>
          <w:tcPr>
            <w:tcW w:w="2000" w:type="dxa"/>
            <w:shd w:val="clear" w:fill="1B3A4B"/>
          </w:tcPr>
          <w:p>
            <w:pPr>
              <w:spacing w:before="40" w:after="40"/>
            </w:pPr>
            <w:r>
              <w:rPr>
                <w:b/>
                <w:color w:val="FFFFFF"/>
                <w:sz w:val="18"/>
              </w:rPr>
              <w:t>Blocking Condition</w:t>
            </w:r>
          </w:p>
        </w:tc>
      </w:tr>
      <w:tr>
        <w:tc>
          <w:tcPr>
            <w:tcW w:w="2000" w:type="dxa"/>
          </w:tcPr>
          <w:p>
            <w:pPr>
              <w:spacing w:before="40" w:after="40"/>
            </w:pPr>
            <w:r>
              <w:rPr>
                <w:color w:val="4A5568"/>
                <w:sz w:val="18"/>
              </w:rPr>
              <w:t>Revenue Reconciliation</w:t>
            </w:r>
          </w:p>
        </w:tc>
        <w:tc>
          <w:tcPr>
            <w:tcW w:w="2000" w:type="dxa"/>
          </w:tcPr>
          <w:p>
            <w:pPr>
              <w:spacing w:before="40" w:after="40"/>
            </w:pPr>
            <w:r>
              <w:rPr>
                <w:color w:val="4A5568"/>
                <w:sz w:val="18"/>
              </w:rPr>
              <w:t>OPEN</w:t>
            </w:r>
          </w:p>
        </w:tc>
        <w:tc>
          <w:tcPr>
            <w:tcW w:w="2000" w:type="dxa"/>
          </w:tcPr>
          <w:p>
            <w:pPr>
              <w:spacing w:before="40" w:after="40"/>
            </w:pPr>
            <w:r>
              <w:rPr>
                <w:color w:val="4A5568"/>
                <w:sz w:val="18"/>
              </w:rPr>
              <w:t>NVIN, Seven Silos, and InsightLPR figures must be unified</w:t>
            </w:r>
          </w:p>
        </w:tc>
      </w:tr>
      <w:tr>
        <w:tc>
          <w:tcPr>
            <w:tcW w:w="2000" w:type="dxa"/>
          </w:tcPr>
          <w:p>
            <w:pPr>
              <w:spacing w:before="40" w:after="40"/>
            </w:pPr>
            <w:r>
              <w:rPr>
                <w:color w:val="4A5568"/>
                <w:sz w:val="18"/>
              </w:rPr>
              <w:t>Patent Posture Decision</w:t>
            </w:r>
          </w:p>
        </w:tc>
        <w:tc>
          <w:tcPr>
            <w:tcW w:w="2000" w:type="dxa"/>
          </w:tcPr>
          <w:p>
            <w:pPr>
              <w:spacing w:before="40" w:after="40"/>
            </w:pPr>
            <w:r>
              <w:rPr>
                <w:color w:val="4A5568"/>
                <w:sz w:val="18"/>
              </w:rPr>
              <w:t>OPEN</w:t>
            </w:r>
          </w:p>
        </w:tc>
        <w:tc>
          <w:tcPr>
            <w:tcW w:w="2000" w:type="dxa"/>
          </w:tcPr>
          <w:p>
            <w:pPr>
              <w:spacing w:before="40" w:after="40"/>
            </w:pPr>
            <w:r>
              <w:rPr>
                <w:color w:val="4A5568"/>
                <w:sz w:val="18"/>
              </w:rPr>
              <w:t>T1-C and T1-E provisional applications are critically urgent</w:t>
            </w:r>
          </w:p>
        </w:tc>
      </w:tr>
      <w:tr>
        <w:tc>
          <w:tcPr>
            <w:tcW w:w="2000" w:type="dxa"/>
          </w:tcPr>
          <w:p>
            <w:pPr>
              <w:spacing w:before="40" w:after="40"/>
            </w:pPr>
            <w:r>
              <w:rPr>
                <w:color w:val="4A5568"/>
                <w:sz w:val="18"/>
              </w:rPr>
              <w:t>InsightLPR Address</w:t>
            </w:r>
          </w:p>
        </w:tc>
        <w:tc>
          <w:tcPr>
            <w:tcW w:w="2000" w:type="dxa"/>
          </w:tcPr>
          <w:p>
            <w:pPr>
              <w:spacing w:before="40" w:after="40"/>
            </w:pPr>
            <w:r>
              <w:rPr>
                <w:color w:val="4A5568"/>
                <w:sz w:val="18"/>
              </w:rPr>
              <w:t>OPEN</w:t>
            </w:r>
          </w:p>
        </w:tc>
        <w:tc>
          <w:tcPr>
            <w:tcW w:w="2000" w:type="dxa"/>
          </w:tcPr>
          <w:p>
            <w:pPr>
              <w:spacing w:before="40" w:after="40"/>
            </w:pPr>
            <w:r>
              <w:rPr>
                <w:color w:val="4A5568"/>
                <w:sz w:val="18"/>
              </w:rPr>
              <w:t>Physical address in LOI requires confirmation</w:t>
            </w:r>
          </w:p>
        </w:tc>
      </w:tr>
      <w:tr>
        <w:tc>
          <w:tcPr>
            <w:tcW w:w="2000" w:type="dxa"/>
          </w:tcPr>
          <w:p>
            <w:pPr>
              <w:spacing w:before="40" w:after="40"/>
            </w:pPr>
            <w:r>
              <w:rPr>
                <w:color w:val="4A5568"/>
                <w:sz w:val="18"/>
              </w:rPr>
              <w:t>Onboarding Hours</w:t>
            </w:r>
          </w:p>
        </w:tc>
        <w:tc>
          <w:tcPr>
            <w:tcW w:w="2000" w:type="dxa"/>
          </w:tcPr>
          <w:p>
            <w:pPr>
              <w:spacing w:before="40" w:after="40"/>
            </w:pPr>
            <w:r>
              <w:rPr>
                <w:color w:val="4A5568"/>
                <w:sz w:val="18"/>
              </w:rPr>
              <w:t>OPEN</w:t>
            </w:r>
          </w:p>
        </w:tc>
        <w:tc>
          <w:tcPr>
            <w:tcW w:w="2000" w:type="dxa"/>
          </w:tcPr>
          <w:p>
            <w:pPr>
              <w:spacing w:before="40" w:after="40"/>
            </w:pPr>
            <w:r>
              <w:rPr>
                <w:color w:val="4A5568"/>
                <w:sz w:val="18"/>
              </w:rPr>
              <w:t>Exhibit A services schedule blank for onboarding hours</w:t>
            </w:r>
          </w:p>
        </w:tc>
      </w:tr>
      <w:tr>
        <w:tc>
          <w:tcPr>
            <w:tcW w:w="2000" w:type="dxa"/>
          </w:tcPr>
          <w:p>
            <w:pPr>
              <w:spacing w:before="40" w:after="40"/>
            </w:pPr>
            <w:r>
              <w:rPr>
                <w:color w:val="4A5568"/>
                <w:sz w:val="18"/>
              </w:rPr>
              <w:t>EIN Confirmation</w:t>
            </w:r>
          </w:p>
        </w:tc>
        <w:tc>
          <w:tcPr>
            <w:tcW w:w="2000" w:type="dxa"/>
          </w:tcPr>
          <w:p>
            <w:pPr>
              <w:spacing w:before="40" w:after="40"/>
            </w:pPr>
            <w:r>
              <w:rPr>
                <w:color w:val="4A5568"/>
                <w:sz w:val="18"/>
              </w:rPr>
              <w:t>OPEN</w:t>
            </w:r>
          </w:p>
        </w:tc>
        <w:tc>
          <w:tcPr>
            <w:tcW w:w="2000" w:type="dxa"/>
          </w:tcPr>
          <w:p>
            <w:pPr>
              <w:spacing w:before="40" w:after="40"/>
            </w:pPr>
            <w:r>
              <w:rPr>
                <w:color w:val="4A5568"/>
                <w:sz w:val="18"/>
              </w:rPr>
              <w:t>All external disclosure gated on EIN receipt</w:t>
            </w:r>
          </w:p>
        </w:tc>
      </w:tr>
    </w:tbl>
    <w:p>
      <w:pPr>
        <w:spacing w:before="120" w:after="120"/>
      </w:pPr>
    </w:p>
    <w:p>
      <w:pPr>
        <w:pStyle w:val="Heading2"/>
      </w:pPr>
      <w:r>
        <w:t>The Four-Party Strategic Flywheel</w:t>
      </w:r>
    </w:p>
    <w:p>
      <w:r>
        <w:t>The strategic flywheel connects four entities: ODASI Technologies (MASTERNEX.os substrate) x InsightLPR (LPR device network) x Insight Enterprises (enterprise channel) x Scott Jackson (angel/advisor bridge with DRN exit lineage). This flywheel ensures that every partnership decision strengthens the entire ecosystem rather than serving a single vertical.</w:t>
      </w:r>
    </w:p>
    <w:p>
      <w:pPr>
        <w:pStyle w:val="Heading1"/>
      </w:pPr>
      <w:r>
        <w:t>CHAPTER 10: Corporate Structure, IP, and Legal Architecture</w:t>
      </w:r>
      <w:bookmarkStart w:name="_H11" w:id="11"/>
      <w:bookmarkEnd w:id="11"/>
    </w:p>
    <w:p>
      <w:pPr>
        <w:pStyle w:val="Heading2"/>
      </w:pPr>
      <w:r>
        <w:t>ODASI Technologies, Inc. -- Corporate Structure</w:t>
      </w:r>
    </w:p>
    <w:tbl>
      <w:tblPr>
        <w:tblW w:w="5000" w:type="pct"/>
        <w:tblBorders>
          <w:top w:val="single" w:color="C9A84C" w:sz="8"/>
          <w:left w:val="nil"/>
          <w:bottom w:val="single" w:color="C9A84C" w:sz="8"/>
          <w:right w:val="nil"/>
          <w:insideH w:val="single" w:color="D8D0C0" w:sz="4"/>
          <w:insideV w:val="nil"/>
        </w:tblBorders>
      </w:tblPr>
      <w:tblGrid>
        <w:gridCol w:w="2000"/>
        <w:gridCol w:w="2000"/>
      </w:tblGrid>
      <w:tr>
        <w:trPr>
          <w:tblHeader/>
        </w:trPr>
        <w:tc>
          <w:tcPr>
            <w:tcW w:w="2000" w:type="dxa"/>
            <w:shd w:val="clear" w:fill="1B3A4B"/>
          </w:tcPr>
          <w:p>
            <w:pPr>
              <w:spacing w:before="40" w:after="40"/>
            </w:pPr>
            <w:r>
              <w:rPr>
                <w:b/>
                <w:color w:val="FFFFFF"/>
                <w:sz w:val="18"/>
              </w:rPr>
              <w:t>Element</w:t>
            </w:r>
          </w:p>
        </w:tc>
        <w:tc>
          <w:tcPr>
            <w:tcW w:w="2000" w:type="dxa"/>
            <w:shd w:val="clear" w:fill="1B3A4B"/>
          </w:tcPr>
          <w:p>
            <w:pPr>
              <w:spacing w:before="40" w:after="40"/>
            </w:pPr>
            <w:r>
              <w:rPr>
                <w:b/>
                <w:color w:val="FFFFFF"/>
                <w:sz w:val="18"/>
              </w:rPr>
              <w:t>Detail</w:t>
            </w:r>
          </w:p>
        </w:tc>
      </w:tr>
      <w:tr>
        <w:tc>
          <w:tcPr>
            <w:tcW w:w="2000" w:type="dxa"/>
          </w:tcPr>
          <w:p>
            <w:pPr>
              <w:spacing w:before="40" w:after="40"/>
            </w:pPr>
            <w:r>
              <w:rPr>
                <w:color w:val="4A5568"/>
                <w:sz w:val="18"/>
              </w:rPr>
              <w:t>Legal Entity</w:t>
            </w:r>
          </w:p>
        </w:tc>
        <w:tc>
          <w:tcPr>
            <w:tcW w:w="2000" w:type="dxa"/>
          </w:tcPr>
          <w:p>
            <w:pPr>
              <w:spacing w:before="40" w:after="40"/>
            </w:pPr>
            <w:r>
              <w:rPr>
                <w:color w:val="4A5568"/>
                <w:sz w:val="18"/>
              </w:rPr>
              <w:t>Texas C Corporation</w:t>
            </w:r>
          </w:p>
        </w:tc>
      </w:tr>
      <w:tr>
        <w:tc>
          <w:tcPr>
            <w:tcW w:w="2000" w:type="dxa"/>
          </w:tcPr>
          <w:p>
            <w:pPr>
              <w:spacing w:before="40" w:after="40"/>
            </w:pPr>
            <w:r>
              <w:rPr>
                <w:color w:val="4A5568"/>
                <w:sz w:val="18"/>
              </w:rPr>
              <w:t>Formation</w:t>
            </w:r>
          </w:p>
        </w:tc>
        <w:tc>
          <w:tcPr>
            <w:tcW w:w="2000" w:type="dxa"/>
          </w:tcPr>
          <w:p>
            <w:pPr>
              <w:spacing w:before="40" w:after="40"/>
            </w:pPr>
            <w:r>
              <w:rPr>
                <w:color w:val="4A5568"/>
                <w:sz w:val="18"/>
              </w:rPr>
              <w:t>Clerky / Northwest Registered Agent</w:t>
            </w:r>
          </w:p>
        </w:tc>
      </w:tr>
      <w:tr>
        <w:tc>
          <w:tcPr>
            <w:tcW w:w="2000" w:type="dxa"/>
          </w:tcPr>
          <w:p>
            <w:pPr>
              <w:spacing w:before="40" w:after="40"/>
            </w:pPr>
            <w:r>
              <w:rPr>
                <w:color w:val="4A5568"/>
                <w:sz w:val="18"/>
              </w:rPr>
              <w:t>EIN Status</w:t>
            </w:r>
          </w:p>
        </w:tc>
        <w:tc>
          <w:tcPr>
            <w:tcW w:w="2000" w:type="dxa"/>
          </w:tcPr>
          <w:p>
            <w:pPr>
              <w:spacing w:before="40" w:after="40"/>
            </w:pPr>
            <w:r>
              <w:rPr>
                <w:color w:val="4A5568"/>
                <w:sz w:val="18"/>
              </w:rPr>
              <w:t>Expected imminently</w:t>
            </w:r>
          </w:p>
        </w:tc>
      </w:tr>
      <w:tr>
        <w:tc>
          <w:tcPr>
            <w:tcW w:w="2000" w:type="dxa"/>
          </w:tcPr>
          <w:p>
            <w:pPr>
              <w:spacing w:before="40" w:after="40"/>
            </w:pPr>
            <w:r>
              <w:rPr>
                <w:color w:val="4A5568"/>
                <w:sz w:val="18"/>
              </w:rPr>
              <w:t>Headquarters</w:t>
            </w:r>
          </w:p>
        </w:tc>
        <w:tc>
          <w:tcPr>
            <w:tcW w:w="2000" w:type="dxa"/>
          </w:tcPr>
          <w:p>
            <w:pPr>
              <w:spacing w:before="40" w:after="40"/>
            </w:pPr>
            <w:r>
              <w:rPr>
                <w:color w:val="4A5568"/>
                <w:sz w:val="18"/>
              </w:rPr>
              <w:t>Fort Worth-Dallas Metroplex, Tarrant County, Texas</w:t>
            </w:r>
          </w:p>
        </w:tc>
      </w:tr>
      <w:tr>
        <w:tc>
          <w:tcPr>
            <w:tcW w:w="2000" w:type="dxa"/>
          </w:tcPr>
          <w:p>
            <w:pPr>
              <w:spacing w:before="40" w:after="40"/>
            </w:pPr>
            <w:r>
              <w:rPr>
                <w:color w:val="4A5568"/>
                <w:sz w:val="18"/>
              </w:rPr>
              <w:t>Authorized Shares</w:t>
            </w:r>
          </w:p>
        </w:tc>
        <w:tc>
          <w:tcPr>
            <w:tcW w:w="2000" w:type="dxa"/>
          </w:tcPr>
          <w:p>
            <w:pPr>
              <w:spacing w:before="40" w:after="40"/>
            </w:pPr>
            <w:r>
              <w:rPr>
                <w:color w:val="4A5568"/>
                <w:sz w:val="18"/>
              </w:rPr>
              <w:t>10,000,000 shares at $0.00001 par value</w:t>
            </w:r>
          </w:p>
        </w:tc>
      </w:tr>
      <w:tr>
        <w:tc>
          <w:tcPr>
            <w:tcW w:w="2000" w:type="dxa"/>
          </w:tcPr>
          <w:p>
            <w:pPr>
              <w:spacing w:before="40" w:after="40"/>
            </w:pPr>
            <w:r>
              <w:rPr>
                <w:color w:val="4A5568"/>
                <w:sz w:val="18"/>
              </w:rPr>
              <w:t>83(b) Election</w:t>
            </w:r>
          </w:p>
        </w:tc>
        <w:tc>
          <w:tcPr>
            <w:tcW w:w="2000" w:type="dxa"/>
          </w:tcPr>
          <w:p>
            <w:pPr>
              <w:spacing w:before="40" w:after="40"/>
            </w:pPr>
            <w:r>
              <w:rPr>
                <w:color w:val="4A5568"/>
                <w:sz w:val="18"/>
              </w:rPr>
              <w:t>30-day post-formation window -- highest priority action</w:t>
            </w:r>
          </w:p>
        </w:tc>
      </w:tr>
    </w:tbl>
    <w:p>
      <w:pPr>
        <w:spacing w:before="120" w:after="120"/>
      </w:pPr>
    </w:p>
    <w:p>
      <w:pPr>
        <w:pStyle w:val="Heading2"/>
      </w:pPr>
      <w:r>
        <w:t>Cap Table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Shareholder</w:t>
            </w:r>
          </w:p>
        </w:tc>
        <w:tc>
          <w:tcPr>
            <w:tcW w:w="2000" w:type="dxa"/>
            <w:shd w:val="clear" w:fill="1B3A4B"/>
          </w:tcPr>
          <w:p>
            <w:pPr>
              <w:spacing w:before="40" w:after="40"/>
            </w:pPr>
            <w:r>
              <w:rPr>
                <w:b/>
                <w:color w:val="FFFFFF"/>
                <w:sz w:val="18"/>
              </w:rPr>
              <w:t>Ownership</w:t>
            </w:r>
          </w:p>
        </w:tc>
        <w:tc>
          <w:tcPr>
            <w:tcW w:w="2000" w:type="dxa"/>
            <w:shd w:val="clear" w:fill="1B3A4B"/>
          </w:tcPr>
          <w:p>
            <w:pPr>
              <w:spacing w:before="40" w:after="40"/>
            </w:pPr>
            <w:r>
              <w:rPr>
                <w:b/>
                <w:color w:val="FFFFFF"/>
                <w:sz w:val="18"/>
              </w:rPr>
              <w:t>Vesting / Conditions</w:t>
            </w:r>
          </w:p>
        </w:tc>
      </w:tr>
      <w:tr>
        <w:tc>
          <w:tcPr>
            <w:tcW w:w="2000" w:type="dxa"/>
          </w:tcPr>
          <w:p>
            <w:pPr>
              <w:spacing w:before="40" w:after="40"/>
            </w:pPr>
            <w:r>
              <w:rPr>
                <w:color w:val="4A5568"/>
                <w:sz w:val="18"/>
              </w:rPr>
              <w:t>Marcus McCarty (Wylder) -- Founder &amp; CEO</w:t>
            </w:r>
          </w:p>
        </w:tc>
        <w:tc>
          <w:tcPr>
            <w:tcW w:w="2000" w:type="dxa"/>
          </w:tcPr>
          <w:p>
            <w:pPr>
              <w:spacing w:before="40" w:after="40"/>
            </w:pPr>
            <w:r>
              <w:rPr>
                <w:color w:val="4A5568"/>
                <w:sz w:val="18"/>
              </w:rPr>
              <w:t>80%</w:t>
            </w:r>
          </w:p>
        </w:tc>
        <w:tc>
          <w:tcPr>
            <w:tcW w:w="2000" w:type="dxa"/>
          </w:tcPr>
          <w:p>
            <w:pPr>
              <w:spacing w:before="40" w:after="40"/>
            </w:pPr>
            <w:r>
              <w:rPr>
                <w:color w:val="4A5568"/>
                <w:sz w:val="18"/>
              </w:rPr>
              <w:t>Founders' shares; 83(b) election required</w:t>
            </w:r>
          </w:p>
        </w:tc>
      </w:tr>
      <w:tr>
        <w:tc>
          <w:tcPr>
            <w:tcW w:w="2000" w:type="dxa"/>
          </w:tcPr>
          <w:p>
            <w:pPr>
              <w:spacing w:before="40" w:after="40"/>
            </w:pPr>
            <w:r>
              <w:rPr>
                <w:color w:val="4A5568"/>
                <w:sz w:val="18"/>
              </w:rPr>
              <w:t>Daniel Woodman -- Co-Founder &amp; Co-Inventor</w:t>
            </w:r>
          </w:p>
        </w:tc>
        <w:tc>
          <w:tcPr>
            <w:tcW w:w="2000" w:type="dxa"/>
          </w:tcPr>
          <w:p>
            <w:pPr>
              <w:spacing w:before="40" w:after="40"/>
            </w:pPr>
            <w:r>
              <w:rPr>
                <w:color w:val="4A5568"/>
                <w:sz w:val="18"/>
              </w:rPr>
              <w:t>10%</w:t>
            </w:r>
          </w:p>
        </w:tc>
        <w:tc>
          <w:tcPr>
            <w:tcW w:w="2000" w:type="dxa"/>
          </w:tcPr>
          <w:p>
            <w:pPr>
              <w:spacing w:before="40" w:after="40"/>
            </w:pPr>
            <w:r>
              <w:rPr>
                <w:color w:val="4A5568"/>
                <w:sz w:val="18"/>
              </w:rPr>
              <w:t>4-year vest, 1-year cliff</w:t>
            </w:r>
          </w:p>
        </w:tc>
      </w:tr>
      <w:tr>
        <w:tc>
          <w:tcPr>
            <w:tcW w:w="2000" w:type="dxa"/>
          </w:tcPr>
          <w:p>
            <w:pPr>
              <w:spacing w:before="40" w:after="40"/>
            </w:pPr>
            <w:r>
              <w:rPr>
                <w:color w:val="4A5568"/>
                <w:sz w:val="18"/>
              </w:rPr>
              <w:t>Option Pool</w:t>
            </w:r>
          </w:p>
        </w:tc>
        <w:tc>
          <w:tcPr>
            <w:tcW w:w="2000" w:type="dxa"/>
          </w:tcPr>
          <w:p>
            <w:pPr>
              <w:spacing w:before="40" w:after="40"/>
            </w:pPr>
            <w:r>
              <w:rPr>
                <w:color w:val="4A5568"/>
                <w:sz w:val="18"/>
              </w:rPr>
              <w:t>10%</w:t>
            </w:r>
          </w:p>
        </w:tc>
        <w:tc>
          <w:tcPr>
            <w:tcW w:w="2000" w:type="dxa"/>
          </w:tcPr>
          <w:p>
            <w:pPr>
              <w:spacing w:before="40" w:after="40"/>
            </w:pPr>
            <w:r>
              <w:rPr>
                <w:color w:val="4A5568"/>
                <w:sz w:val="18"/>
              </w:rPr>
              <w:t>Reserved for future employee equity grants</w:t>
            </w:r>
          </w:p>
        </w:tc>
      </w:tr>
    </w:tbl>
    <w:p>
      <w:pPr>
        <w:spacing w:before="120" w:after="120"/>
      </w:pPr>
    </w:p>
    <w:p>
      <w:pPr>
        <w:pStyle w:val="Heading2"/>
      </w:pPr>
      <w:r>
        <w:t>The Sovereign SAFE Structure</w:t>
      </w:r>
    </w:p>
    <w:p>
      <w:r>
        <w:t>ODASI Technologies has designed a three-tier Sovereign SAFE structure extending the standard YC-style SAFE with a DTA Attribution Rider (Shapley-value royalty mechanism ensuring contributor attribution) and a Festival Equity Option (community-round access mechanism). All three tiers are QSBS Section 1202 eligible.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tblGrid>
      <w:tr>
        <w:trPr>
          <w:tblHeader/>
        </w:trPr>
        <w:tc>
          <w:tcPr>
            <w:tcW w:w="2000" w:type="dxa"/>
            <w:shd w:val="clear" w:fill="1B3A4B"/>
          </w:tcPr>
          <w:p>
            <w:pPr>
              <w:spacing w:before="40" w:after="40"/>
            </w:pPr>
            <w:r>
              <w:rPr>
                <w:b/>
                <w:color w:val="FFFFFF"/>
                <w:sz w:val="18"/>
              </w:rPr>
              <w:t>Tier</w:t>
            </w:r>
          </w:p>
        </w:tc>
        <w:tc>
          <w:tcPr>
            <w:tcW w:w="2000" w:type="dxa"/>
            <w:shd w:val="clear" w:fill="1B3A4B"/>
          </w:tcPr>
          <w:p>
            <w:pPr>
              <w:spacing w:before="40" w:after="40"/>
            </w:pPr>
            <w:r>
              <w:rPr>
                <w:b/>
                <w:color w:val="FFFFFF"/>
                <w:sz w:val="18"/>
              </w:rPr>
              <w:t>Investor Profile</w:t>
            </w:r>
          </w:p>
        </w:tc>
        <w:tc>
          <w:tcPr>
            <w:tcW w:w="2000" w:type="dxa"/>
            <w:shd w:val="clear" w:fill="1B3A4B"/>
          </w:tcPr>
          <w:p>
            <w:pPr>
              <w:spacing w:before="40" w:after="40"/>
            </w:pPr>
            <w:r>
              <w:rPr>
                <w:b/>
                <w:color w:val="FFFFFF"/>
                <w:sz w:val="18"/>
              </w:rPr>
              <w:t>Key Terms</w:t>
            </w:r>
          </w:p>
        </w:tc>
      </w:tr>
      <w:tr>
        <w:tc>
          <w:tcPr>
            <w:tcW w:w="2000" w:type="dxa"/>
          </w:tcPr>
          <w:p>
            <w:pPr>
              <w:spacing w:before="40" w:after="40"/>
            </w:pPr>
            <w:r>
              <w:rPr>
                <w:color w:val="4A5568"/>
                <w:sz w:val="18"/>
              </w:rPr>
              <w:t>Tier 1 -- Strategic Sovereign</w:t>
            </w:r>
          </w:p>
        </w:tc>
        <w:tc>
          <w:tcPr>
            <w:tcW w:w="2000" w:type="dxa"/>
          </w:tcPr>
          <w:p>
            <w:pPr>
              <w:spacing w:before="40" w:after="40"/>
            </w:pPr>
            <w:r>
              <w:rPr>
                <w:color w:val="4A5568"/>
                <w:sz w:val="18"/>
              </w:rPr>
              <w:t>Institutional angels, ex-DRN network, strategic partners</w:t>
            </w:r>
          </w:p>
        </w:tc>
        <w:tc>
          <w:tcPr>
            <w:tcW w:w="2000" w:type="dxa"/>
          </w:tcPr>
          <w:p>
            <w:pPr>
              <w:spacing w:before="40" w:after="40"/>
            </w:pPr>
            <w:r>
              <w:rPr>
                <w:color w:val="4A5568"/>
                <w:sz w:val="18"/>
              </w:rPr>
              <w:t>QSBS 1202; DTA Attribution Rider; $45M pre-money cap</w:t>
            </w:r>
          </w:p>
        </w:tc>
      </w:tr>
      <w:tr>
        <w:tc>
          <w:tcPr>
            <w:tcW w:w="2000" w:type="dxa"/>
          </w:tcPr>
          <w:p>
            <w:pPr>
              <w:spacing w:before="40" w:after="40"/>
            </w:pPr>
            <w:r>
              <w:rPr>
                <w:color w:val="4A5568"/>
                <w:sz w:val="18"/>
              </w:rPr>
              <w:t>Tier 2 -- Community Sovereign</w:t>
            </w:r>
          </w:p>
        </w:tc>
        <w:tc>
          <w:tcPr>
            <w:tcW w:w="2000" w:type="dxa"/>
          </w:tcPr>
          <w:p>
            <w:pPr>
              <w:spacing w:before="40" w:after="40"/>
            </w:pPr>
            <w:r>
              <w:rPr>
                <w:color w:val="4A5568"/>
                <w:sz w:val="18"/>
              </w:rPr>
              <w:t>Accredited community investors; VIVELLA stakeholders</w:t>
            </w:r>
          </w:p>
        </w:tc>
        <w:tc>
          <w:tcPr>
            <w:tcW w:w="2000" w:type="dxa"/>
          </w:tcPr>
          <w:p>
            <w:pPr>
              <w:spacing w:before="40" w:after="40"/>
            </w:pPr>
            <w:r>
              <w:rPr>
                <w:color w:val="4A5568"/>
                <w:sz w:val="18"/>
              </w:rPr>
              <w:t>QSBS 1202; DTA Rider; Festival Equity Option</w:t>
            </w:r>
          </w:p>
        </w:tc>
      </w:tr>
      <w:tr>
        <w:tc>
          <w:tcPr>
            <w:tcW w:w="2000" w:type="dxa"/>
          </w:tcPr>
          <w:p>
            <w:pPr>
              <w:spacing w:before="40" w:after="40"/>
            </w:pPr>
            <w:r>
              <w:rPr>
                <w:color w:val="4A5568"/>
                <w:sz w:val="18"/>
              </w:rPr>
              <w:t>Tier 3 -- Foundation Partners</w:t>
            </w:r>
          </w:p>
        </w:tc>
        <w:tc>
          <w:tcPr>
            <w:tcW w:w="2000" w:type="dxa"/>
          </w:tcPr>
          <w:p>
            <w:pPr>
              <w:spacing w:before="40" w:after="40"/>
            </w:pPr>
            <w:r>
              <w:rPr>
                <w:color w:val="4A5568"/>
                <w:sz w:val="18"/>
              </w:rPr>
              <w:t>Mission-aligned foundations, civic institutions</w:t>
            </w:r>
          </w:p>
        </w:tc>
        <w:tc>
          <w:tcPr>
            <w:tcW w:w="2000" w:type="dxa"/>
          </w:tcPr>
          <w:p>
            <w:pPr>
              <w:spacing w:before="40" w:after="40"/>
            </w:pPr>
            <w:r>
              <w:rPr>
                <w:color w:val="4A5568"/>
                <w:sz w:val="18"/>
              </w:rPr>
              <w:t>QSBS 1202; EXPECT ME Protocol allocation</w:t>
            </w:r>
          </w:p>
        </w:tc>
      </w:tr>
    </w:tbl>
    <w:p>
      <w:pPr>
        <w:spacing w:before="120" w:after="120"/>
      </w:pPr>
    </w:p>
    <w:p>
      <w:pPr>
        <w:pStyle w:val="Heading2"/>
      </w:pPr>
      <w:r>
        <w:t>Patent Portfolio Status</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Component</w:t>
            </w:r>
          </w:p>
        </w:tc>
        <w:tc>
          <w:tcPr>
            <w:tcW w:w="2000" w:type="dxa"/>
            <w:shd w:val="clear" w:fill="1B3A4B"/>
          </w:tcPr>
          <w:p>
            <w:pPr>
              <w:spacing w:before="40" w:after="40"/>
            </w:pPr>
            <w:r>
              <w:rPr>
                <w:b/>
                <w:color w:val="FFFFFF"/>
                <w:sz w:val="18"/>
              </w:rPr>
              <w:t>Count</w:t>
            </w:r>
          </w:p>
        </w:tc>
        <w:tc>
          <w:tcPr>
            <w:tcW w:w="2000" w:type="dxa"/>
            <w:shd w:val="clear" w:fill="1B3A4B"/>
          </w:tcPr>
          <w:p>
            <w:pPr>
              <w:spacing w:before="40" w:after="40"/>
            </w:pPr>
            <w:r>
              <w:rPr>
                <w:b/>
                <w:color w:val="FFFFFF"/>
                <w:sz w:val="18"/>
              </w:rPr>
              <w:t>Status</w:t>
            </w:r>
          </w:p>
        </w:tc>
        <w:tc>
          <w:tcPr>
            <w:tcW w:w="2000" w:type="dxa"/>
            <w:shd w:val="clear" w:fill="1B3A4B"/>
          </w:tcPr>
          <w:p>
            <w:pPr>
              <w:spacing w:before="40" w:after="40"/>
            </w:pPr>
            <w:r>
              <w:rPr>
                <w:b/>
                <w:color w:val="FFFFFF"/>
                <w:sz w:val="18"/>
              </w:rPr>
              <w:t>Action Required</w:t>
            </w:r>
          </w:p>
        </w:tc>
      </w:tr>
      <w:tr>
        <w:tc>
          <w:tcPr>
            <w:tcW w:w="2000" w:type="dxa"/>
          </w:tcPr>
          <w:p>
            <w:pPr>
              <w:spacing w:before="40" w:after="40"/>
            </w:pPr>
            <w:r>
              <w:rPr>
                <w:color w:val="4A5568"/>
                <w:sz w:val="18"/>
              </w:rPr>
              <w:t>Total Patent Filings Cataloged</w:t>
            </w:r>
          </w:p>
        </w:tc>
        <w:tc>
          <w:tcPr>
            <w:tcW w:w="2000" w:type="dxa"/>
          </w:tcPr>
          <w:p>
            <w:pPr>
              <w:spacing w:before="40" w:after="40"/>
            </w:pPr>
            <w:r>
              <w:rPr>
                <w:color w:val="4A5568"/>
                <w:sz w:val="18"/>
              </w:rPr>
              <w:t>21+</w:t>
            </w:r>
          </w:p>
        </w:tc>
        <w:tc>
          <w:tcPr>
            <w:tcW w:w="2000" w:type="dxa"/>
          </w:tcPr>
          <w:p>
            <w:pPr>
              <w:spacing w:before="40" w:after="40"/>
            </w:pPr>
            <w:r>
              <w:rPr>
                <w:color w:val="4A5568"/>
                <w:sz w:val="18"/>
              </w:rPr>
              <w:t>Across three tranches; DIY swarm strategy</w:t>
            </w:r>
          </w:p>
        </w:tc>
        <w:tc>
          <w:tcPr>
            <w:tcW w:w="2000" w:type="dxa"/>
          </w:tcPr>
          <w:p>
            <w:pPr>
              <w:spacing w:before="40" w:after="40"/>
            </w:pPr>
            <w:r>
              <w:rPr>
                <w:color w:val="4A5568"/>
                <w:sz w:val="18"/>
              </w:rPr>
              <w:t>Filing queue established</w:t>
            </w:r>
          </w:p>
        </w:tc>
      </w:tr>
      <w:tr>
        <w:tc>
          <w:tcPr>
            <w:tcW w:w="2000" w:type="dxa"/>
          </w:tcPr>
          <w:p>
            <w:pPr>
              <w:spacing w:before="40" w:after="40"/>
            </w:pPr>
            <w:r>
              <w:rPr>
                <w:color w:val="4A5568"/>
                <w:sz w:val="18"/>
              </w:rPr>
              <w:t>Gap Inventions Identified</w:t>
            </w:r>
          </w:p>
        </w:tc>
        <w:tc>
          <w:tcPr>
            <w:tcW w:w="2000" w:type="dxa"/>
          </w:tcPr>
          <w:p>
            <w:pPr>
              <w:spacing w:before="40" w:after="40"/>
            </w:pPr>
            <w:r>
              <w:rPr>
                <w:color w:val="4A5568"/>
                <w:sz w:val="18"/>
              </w:rPr>
              <w:t>9</w:t>
            </w:r>
          </w:p>
        </w:tc>
        <w:tc>
          <w:tcPr>
            <w:tcW w:w="2000" w:type="dxa"/>
          </w:tcPr>
          <w:p>
            <w:pPr>
              <w:spacing w:before="40" w:after="40"/>
            </w:pPr>
            <w:r>
              <w:rPr>
                <w:color w:val="4A5568"/>
                <w:sz w:val="18"/>
              </w:rPr>
              <w:t>Identified through portfolio audit</w:t>
            </w:r>
          </w:p>
        </w:tc>
        <w:tc>
          <w:tcPr>
            <w:tcW w:w="2000" w:type="dxa"/>
          </w:tcPr>
          <w:p>
            <w:pPr>
              <w:spacing w:before="40" w:after="40"/>
            </w:pPr>
            <w:r>
              <w:rPr>
                <w:color w:val="4A5568"/>
                <w:sz w:val="18"/>
              </w:rPr>
              <w:t>Provisional applications required</w:t>
            </w:r>
          </w:p>
        </w:tc>
      </w:tr>
      <w:tr>
        <w:tc>
          <w:tcPr>
            <w:tcW w:w="2000" w:type="dxa"/>
          </w:tcPr>
          <w:p>
            <w:pPr>
              <w:spacing w:before="40" w:after="40"/>
            </w:pPr>
            <w:r>
              <w:rPr>
                <w:color w:val="4A5568"/>
                <w:sz w:val="18"/>
              </w:rPr>
              <w:t>GAP-3 (Intent Graph DAG Anti-Collusion)</w:t>
            </w:r>
          </w:p>
        </w:tc>
        <w:tc>
          <w:tcPr>
            <w:tcW w:w="2000" w:type="dxa"/>
          </w:tcPr>
          <w:p>
            <w:pPr>
              <w:spacing w:before="40" w:after="40"/>
            </w:pPr>
            <w:r>
              <w:rPr>
                <w:color w:val="4A5568"/>
                <w:sz w:val="18"/>
              </w:rPr>
              <w:t>1</w:t>
            </w:r>
          </w:p>
        </w:tc>
        <w:tc>
          <w:tcPr>
            <w:tcW w:w="2000" w:type="dxa"/>
          </w:tcPr>
          <w:p>
            <w:pPr>
              <w:spacing w:before="40" w:after="40"/>
            </w:pPr>
            <w:r>
              <w:rPr>
                <w:color w:val="4A5568"/>
                <w:sz w:val="18"/>
              </w:rPr>
              <w:t>87% probability of patentability</w:t>
            </w:r>
          </w:p>
        </w:tc>
        <w:tc>
          <w:tcPr>
            <w:tcW w:w="2000" w:type="dxa"/>
          </w:tcPr>
          <w:p>
            <w:pPr>
              <w:spacing w:before="40" w:after="40"/>
            </w:pPr>
            <w:r>
              <w:rPr>
                <w:color w:val="4A5568"/>
                <w:sz w:val="18"/>
              </w:rPr>
              <w:t>Priority provisional filing</w:t>
            </w:r>
          </w:p>
        </w:tc>
      </w:tr>
      <w:tr>
        <w:tc>
          <w:tcPr>
            <w:tcW w:w="2000" w:type="dxa"/>
          </w:tcPr>
          <w:p>
            <w:pPr>
              <w:spacing w:before="40" w:after="40"/>
            </w:pPr>
            <w:r>
              <w:rPr>
                <w:color w:val="4A5568"/>
                <w:sz w:val="18"/>
              </w:rPr>
              <w:t>T1-C and T1-E Filings</w:t>
            </w:r>
          </w:p>
        </w:tc>
        <w:tc>
          <w:tcPr>
            <w:tcW w:w="2000" w:type="dxa"/>
          </w:tcPr>
          <w:p>
            <w:pPr>
              <w:spacing w:before="40" w:after="40"/>
            </w:pPr>
            <w:r>
              <w:rPr>
                <w:color w:val="4A5568"/>
                <w:sz w:val="18"/>
              </w:rPr>
              <w:t>2</w:t>
            </w:r>
          </w:p>
        </w:tc>
        <w:tc>
          <w:tcPr>
            <w:tcW w:w="2000" w:type="dxa"/>
          </w:tcPr>
          <w:p>
            <w:pPr>
              <w:spacing w:before="40" w:after="40"/>
            </w:pPr>
            <w:r>
              <w:rPr>
                <w:color w:val="4A5568"/>
                <w:sz w:val="18"/>
              </w:rPr>
              <w:t>CRITICALLY URGENT -- prior art publications live</w:t>
            </w:r>
          </w:p>
        </w:tc>
        <w:tc>
          <w:tcPr>
            <w:tcW w:w="2000" w:type="dxa"/>
          </w:tcPr>
          <w:p>
            <w:pPr>
              <w:spacing w:before="40" w:after="40"/>
            </w:pPr>
            <w:r>
              <w:rPr>
                <w:color w:val="4A5568"/>
                <w:sz w:val="18"/>
              </w:rPr>
              <w:t>Provisional MUST be filed before disclosure</w:t>
            </w:r>
          </w:p>
        </w:tc>
      </w:tr>
    </w:tbl>
    <w:p>
      <w:pPr>
        <w:spacing w:before="120" w:after="120"/>
      </w:pPr>
    </w:p>
    <w:p>
      <w:pPr>
        <w:pStyle w:val="Heading1"/>
      </w:pPr>
      <w:r>
        <w:t>CHAPTER 11: Implementation Roadmap</w:t>
      </w:r>
      <w:bookmarkStart w:name="_H12" w:id="12"/>
      <w:bookmarkEnd w:id="12"/>
    </w:p>
    <w:p>
      <w:pPr>
        <w:pStyle w:val="Heading2"/>
      </w:pPr>
      <w:r>
        <w:t>Three-Phase Deployment Architecture</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Phase</w:t>
            </w:r>
          </w:p>
        </w:tc>
        <w:tc>
          <w:tcPr>
            <w:tcW w:w="2000" w:type="dxa"/>
            <w:shd w:val="clear" w:fill="1B3A4B"/>
          </w:tcPr>
          <w:p>
            <w:pPr>
              <w:spacing w:before="40" w:after="40"/>
            </w:pPr>
            <w:r>
              <w:rPr>
                <w:b/>
                <w:color w:val="FFFFFF"/>
                <w:sz w:val="18"/>
              </w:rPr>
              <w:t>Timeline</w:t>
            </w:r>
          </w:p>
        </w:tc>
        <w:tc>
          <w:tcPr>
            <w:tcW w:w="2000" w:type="dxa"/>
            <w:shd w:val="clear" w:fill="1B3A4B"/>
          </w:tcPr>
          <w:p>
            <w:pPr>
              <w:spacing w:before="40" w:after="40"/>
            </w:pPr>
            <w:r>
              <w:rPr>
                <w:b/>
                <w:color w:val="FFFFFF"/>
                <w:sz w:val="18"/>
              </w:rPr>
              <w:t>Milestone</w:t>
            </w:r>
          </w:p>
        </w:tc>
        <w:tc>
          <w:tcPr>
            <w:tcW w:w="2000" w:type="dxa"/>
            <w:shd w:val="clear" w:fill="1B3A4B"/>
          </w:tcPr>
          <w:p>
            <w:pPr>
              <w:spacing w:before="40" w:after="40"/>
            </w:pPr>
            <w:r>
              <w:rPr>
                <w:b/>
                <w:color w:val="FFFFFF"/>
                <w:sz w:val="18"/>
              </w:rPr>
              <w:t>Key Modules Live</w:t>
            </w:r>
          </w:p>
        </w:tc>
      </w:tr>
      <w:tr>
        <w:tc>
          <w:tcPr>
            <w:tcW w:w="2000" w:type="dxa"/>
          </w:tcPr>
          <w:p>
            <w:pPr>
              <w:spacing w:before="40" w:after="40"/>
            </w:pPr>
            <w:r>
              <w:rPr>
                <w:color w:val="4A5568"/>
                <w:sz w:val="18"/>
              </w:rPr>
              <w:t>Phase 1 -- Foundation</w:t>
            </w:r>
          </w:p>
        </w:tc>
        <w:tc>
          <w:tcPr>
            <w:tcW w:w="2000" w:type="dxa"/>
          </w:tcPr>
          <w:p>
            <w:pPr>
              <w:spacing w:before="40" w:after="40"/>
            </w:pPr>
            <w:r>
              <w:rPr>
                <w:color w:val="4A5568"/>
                <w:sz w:val="18"/>
              </w:rPr>
              <w:t>Q4 2025 (active)</w:t>
            </w:r>
          </w:p>
        </w:tc>
        <w:tc>
          <w:tcPr>
            <w:tcW w:w="2000" w:type="dxa"/>
          </w:tcPr>
          <w:p>
            <w:pPr>
              <w:spacing w:before="40" w:after="40"/>
            </w:pPr>
            <w:r>
              <w:rPr>
                <w:color w:val="4A5568"/>
                <w:sz w:val="18"/>
              </w:rPr>
              <w:t>Multi-source image pipeline established; Burleson Pilot operational</w:t>
            </w:r>
          </w:p>
        </w:tc>
        <w:tc>
          <w:tcPr>
            <w:tcW w:w="2000" w:type="dxa"/>
          </w:tcPr>
          <w:p>
            <w:pPr>
              <w:spacing w:before="40" w:after="40"/>
            </w:pPr>
            <w:r>
              <w:rPr>
                <w:color w:val="4A5568"/>
                <w:sz w:val="18"/>
              </w:rPr>
              <w:t>Recon Engine, Sentinel Scanner, VIVELLA Verify, Apex Insight</w:t>
            </w:r>
          </w:p>
        </w:tc>
      </w:tr>
      <w:tr>
        <w:tc>
          <w:tcPr>
            <w:tcW w:w="2000" w:type="dxa"/>
          </w:tcPr>
          <w:p>
            <w:pPr>
              <w:spacing w:before="40" w:after="40"/>
            </w:pPr>
            <w:r>
              <w:rPr>
                <w:color w:val="4A5568"/>
                <w:sz w:val="18"/>
              </w:rPr>
              <w:t>Phase 2 -- Integration</w:t>
            </w:r>
          </w:p>
        </w:tc>
        <w:tc>
          <w:tcPr>
            <w:tcW w:w="2000" w:type="dxa"/>
          </w:tcPr>
          <w:p>
            <w:pPr>
              <w:spacing w:before="40" w:after="40"/>
            </w:pPr>
            <w:r>
              <w:rPr>
                <w:color w:val="4A5568"/>
                <w:sz w:val="18"/>
              </w:rPr>
              <w:t>Q2 2026 (active)</w:t>
            </w:r>
          </w:p>
        </w:tc>
        <w:tc>
          <w:tcPr>
            <w:tcW w:w="2000" w:type="dxa"/>
          </w:tcPr>
          <w:p>
            <w:pPr>
              <w:spacing w:before="40" w:after="40"/>
            </w:pPr>
            <w:r>
              <w:rPr>
                <w:color w:val="4A5568"/>
                <w:sz w:val="18"/>
              </w:rPr>
              <w:t>Recon Engine contractor launch; Probate Pipeline investor launch; edge computing deployment</w:t>
            </w:r>
          </w:p>
        </w:tc>
        <w:tc>
          <w:tcPr>
            <w:tcW w:w="2000" w:type="dxa"/>
          </w:tcPr>
          <w:p>
            <w:pPr>
              <w:spacing w:before="40" w:after="40"/>
            </w:pPr>
            <w:r>
              <w:rPr>
                <w:color w:val="4A5568"/>
                <w:sz w:val="18"/>
              </w:rPr>
              <w:t>Probate Pipeline, Real Estate Prospector, NEXUS EDGE, InsightLPR</w:t>
            </w:r>
          </w:p>
        </w:tc>
      </w:tr>
      <w:tr>
        <w:tc>
          <w:tcPr>
            <w:tcW w:w="2000" w:type="dxa"/>
          </w:tcPr>
          <w:p>
            <w:pPr>
              <w:spacing w:before="40" w:after="40"/>
            </w:pPr>
            <w:r>
              <w:rPr>
                <w:color w:val="4A5568"/>
                <w:sz w:val="18"/>
              </w:rPr>
              <w:t>Phase 3 -- Autonomy</w:t>
            </w:r>
          </w:p>
        </w:tc>
        <w:tc>
          <w:tcPr>
            <w:tcW w:w="2000" w:type="dxa"/>
          </w:tcPr>
          <w:p>
            <w:pPr>
              <w:spacing w:before="40" w:after="40"/>
            </w:pPr>
            <w:r>
              <w:rPr>
                <w:color w:val="4A5568"/>
                <w:sz w:val="18"/>
              </w:rPr>
              <w:t>2027+</w:t>
            </w:r>
          </w:p>
        </w:tc>
        <w:tc>
          <w:tcPr>
            <w:tcW w:w="2000" w:type="dxa"/>
          </w:tcPr>
          <w:p>
            <w:pPr>
              <w:spacing w:before="40" w:after="40"/>
            </w:pPr>
            <w:r>
              <w:rPr>
                <w:color w:val="4A5568"/>
                <w:sz w:val="18"/>
              </w:rPr>
              <w:t>MASTERNEX.os 95% initial lead detection; on-device neuromorphic processing</w:t>
            </w:r>
          </w:p>
        </w:tc>
        <w:tc>
          <w:tcPr>
            <w:tcW w:w="2000" w:type="dxa"/>
          </w:tcPr>
          <w:p>
            <w:pPr>
              <w:spacing w:before="40" w:after="40"/>
            </w:pPr>
            <w:r>
              <w:rPr>
                <w:color w:val="4A5568"/>
                <w:sz w:val="18"/>
              </w:rPr>
              <w:t>Full suite; FRACTURE Platform; VIVELLA Voice AAC; VIVELLA Sign</w:t>
            </w:r>
          </w:p>
        </w:tc>
      </w:tr>
    </w:tbl>
    <w:p>
      <w:pPr>
        <w:spacing w:before="120" w:after="120"/>
      </w:pPr>
    </w:p>
    <w:p>
      <w:pPr>
        <w:pStyle w:val="Heading2"/>
      </w:pPr>
      <w:r>
        <w:t>Key Metrics Targets by Year</w:t>
      </w:r>
    </w:p>
    <w:tbl>
      <w:tblPr>
        <w:tblW w:w="5000" w:type="pct"/>
        <w:tblBorders>
          <w:top w:val="single" w:color="C9A84C" w:sz="8"/>
          <w:left w:val="nil"/>
          <w:bottom w:val="single" w:color="C9A84C" w:sz="8"/>
          <w:right w:val="nil"/>
          <w:insideH w:val="single" w:color="D8D0C0" w:sz="4"/>
          <w:insideV w:val="nil"/>
        </w:tblBorders>
      </w:tblPr>
      <w:tblGrid>
        <w:gridCol w:w="2000"/>
        <w:gridCol w:w="2000"/>
        <w:gridCol w:w="2000"/>
        <w:gridCol w:w="2000"/>
      </w:tblGrid>
      <w:tr>
        <w:trPr>
          <w:tblHeader/>
        </w:trPr>
        <w:tc>
          <w:tcPr>
            <w:tcW w:w="2000" w:type="dxa"/>
            <w:shd w:val="clear" w:fill="1B3A4B"/>
          </w:tcPr>
          <w:p>
            <w:pPr>
              <w:spacing w:before="40" w:after="40"/>
            </w:pPr>
            <w:r>
              <w:rPr>
                <w:b/>
                <w:color w:val="FFFFFF"/>
                <w:sz w:val="18"/>
              </w:rPr>
              <w:t>Metric</w:t>
            </w:r>
          </w:p>
        </w:tc>
        <w:tc>
          <w:tcPr>
            <w:tcW w:w="2000" w:type="dxa"/>
            <w:shd w:val="clear" w:fill="1B3A4B"/>
          </w:tcPr>
          <w:p>
            <w:pPr>
              <w:spacing w:before="40" w:after="40"/>
            </w:pPr>
            <w:r>
              <w:rPr>
                <w:b/>
                <w:color w:val="FFFFFF"/>
                <w:sz w:val="18"/>
              </w:rPr>
              <w:t>Year 1</w:t>
            </w:r>
          </w:p>
        </w:tc>
        <w:tc>
          <w:tcPr>
            <w:tcW w:w="2000" w:type="dxa"/>
            <w:shd w:val="clear" w:fill="1B3A4B"/>
          </w:tcPr>
          <w:p>
            <w:pPr>
              <w:spacing w:before="40" w:after="40"/>
            </w:pPr>
            <w:r>
              <w:rPr>
                <w:b/>
                <w:color w:val="FFFFFF"/>
                <w:sz w:val="18"/>
              </w:rPr>
              <w:t>Year 3</w:t>
            </w:r>
          </w:p>
        </w:tc>
        <w:tc>
          <w:tcPr>
            <w:tcW w:w="2000" w:type="dxa"/>
            <w:shd w:val="clear" w:fill="1B3A4B"/>
          </w:tcPr>
          <w:p>
            <w:pPr>
              <w:spacing w:before="40" w:after="40"/>
            </w:pPr>
            <w:r>
              <w:rPr>
                <w:b/>
                <w:color w:val="FFFFFF"/>
                <w:sz w:val="18"/>
              </w:rPr>
              <w:t>Year 5</w:t>
            </w:r>
          </w:p>
        </w:tc>
      </w:tr>
      <w:tr>
        <w:tc>
          <w:tcPr>
            <w:tcW w:w="2000" w:type="dxa"/>
          </w:tcPr>
          <w:p>
            <w:pPr>
              <w:spacing w:before="40" w:after="40"/>
            </w:pPr>
            <w:r>
              <w:rPr>
                <w:color w:val="4A5568"/>
                <w:sz w:val="18"/>
              </w:rPr>
              <w:t>Active Customers</w:t>
            </w:r>
          </w:p>
        </w:tc>
        <w:tc>
          <w:tcPr>
            <w:tcW w:w="2000" w:type="dxa"/>
          </w:tcPr>
          <w:p>
            <w:pPr>
              <w:spacing w:before="40" w:after="40"/>
            </w:pPr>
            <w:r>
              <w:rPr>
                <w:color w:val="4A5568"/>
                <w:sz w:val="18"/>
              </w:rPr>
              <w:t>50</w:t>
            </w:r>
          </w:p>
        </w:tc>
        <w:tc>
          <w:tcPr>
            <w:tcW w:w="2000" w:type="dxa"/>
          </w:tcPr>
          <w:p>
            <w:pPr>
              <w:spacing w:before="40" w:after="40"/>
            </w:pPr>
            <w:r>
              <w:rPr>
                <w:color w:val="4A5568"/>
                <w:sz w:val="18"/>
              </w:rPr>
              <w:t>300</w:t>
            </w:r>
          </w:p>
        </w:tc>
        <w:tc>
          <w:tcPr>
            <w:tcW w:w="2000" w:type="dxa"/>
          </w:tcPr>
          <w:p>
            <w:pPr>
              <w:spacing w:before="40" w:after="40"/>
            </w:pPr>
            <w:r>
              <w:rPr>
                <w:color w:val="4A5568"/>
                <w:sz w:val="18"/>
              </w:rPr>
              <w:t>1,000+</w:t>
            </w:r>
          </w:p>
        </w:tc>
      </w:tr>
      <w:tr>
        <w:tc>
          <w:tcPr>
            <w:tcW w:w="2000" w:type="dxa"/>
          </w:tcPr>
          <w:p>
            <w:pPr>
              <w:spacing w:before="40" w:after="40"/>
            </w:pPr>
            <w:r>
              <w:rPr>
                <w:color w:val="4A5568"/>
                <w:sz w:val="18"/>
              </w:rPr>
              <w:t>Properties Analyzed / Month</w:t>
            </w:r>
          </w:p>
        </w:tc>
        <w:tc>
          <w:tcPr>
            <w:tcW w:w="2000" w:type="dxa"/>
          </w:tcPr>
          <w:p>
            <w:pPr>
              <w:spacing w:before="40" w:after="40"/>
            </w:pPr>
            <w:r>
              <w:rPr>
                <w:color w:val="4A5568"/>
                <w:sz w:val="18"/>
              </w:rPr>
              <w:t>10,000</w:t>
            </w:r>
          </w:p>
        </w:tc>
        <w:tc>
          <w:tcPr>
            <w:tcW w:w="2000" w:type="dxa"/>
          </w:tcPr>
          <w:p>
            <w:pPr>
              <w:spacing w:before="40" w:after="40"/>
            </w:pPr>
            <w:r>
              <w:rPr>
                <w:color w:val="4A5568"/>
                <w:sz w:val="18"/>
              </w:rPr>
              <w:t>100,000</w:t>
            </w:r>
          </w:p>
        </w:tc>
        <w:tc>
          <w:tcPr>
            <w:tcW w:w="2000" w:type="dxa"/>
          </w:tcPr>
          <w:p>
            <w:pPr>
              <w:spacing w:before="40" w:after="40"/>
            </w:pPr>
            <w:r>
              <w:rPr>
                <w:color w:val="4A5568"/>
                <w:sz w:val="18"/>
              </w:rPr>
              <w:t>500,000+</w:t>
            </w:r>
          </w:p>
        </w:tc>
      </w:tr>
      <w:tr>
        <w:tc>
          <w:tcPr>
            <w:tcW w:w="2000" w:type="dxa"/>
          </w:tcPr>
          <w:p>
            <w:pPr>
              <w:spacing w:before="40" w:after="40"/>
            </w:pPr>
            <w:r>
              <w:rPr>
                <w:color w:val="4A5568"/>
                <w:sz w:val="18"/>
              </w:rPr>
              <w:t>Verified Inspections / Month</w:t>
            </w:r>
          </w:p>
        </w:tc>
        <w:tc>
          <w:tcPr>
            <w:tcW w:w="2000" w:type="dxa"/>
          </w:tcPr>
          <w:p>
            <w:pPr>
              <w:spacing w:before="40" w:after="40"/>
            </w:pPr>
            <w:r>
              <w:rPr>
                <w:color w:val="4A5568"/>
                <w:sz w:val="18"/>
              </w:rPr>
              <w:t>500</w:t>
            </w:r>
          </w:p>
        </w:tc>
        <w:tc>
          <w:tcPr>
            <w:tcW w:w="2000" w:type="dxa"/>
          </w:tcPr>
          <w:p>
            <w:pPr>
              <w:spacing w:before="40" w:after="40"/>
            </w:pPr>
            <w:r>
              <w:rPr>
                <w:color w:val="4A5568"/>
                <w:sz w:val="18"/>
              </w:rPr>
              <w:t>5,000</w:t>
            </w:r>
          </w:p>
        </w:tc>
        <w:tc>
          <w:tcPr>
            <w:tcW w:w="2000" w:type="dxa"/>
          </w:tcPr>
          <w:p>
            <w:pPr>
              <w:spacing w:before="40" w:after="40"/>
            </w:pPr>
            <w:r>
              <w:rPr>
                <w:color w:val="4A5568"/>
                <w:sz w:val="18"/>
              </w:rPr>
              <w:t>25,000+</w:t>
            </w:r>
          </w:p>
        </w:tc>
      </w:tr>
      <w:tr>
        <w:tc>
          <w:tcPr>
            <w:tcW w:w="2000" w:type="dxa"/>
          </w:tcPr>
          <w:p>
            <w:pPr>
              <w:spacing w:before="40" w:after="40"/>
            </w:pPr>
            <w:r>
              <w:rPr>
                <w:color w:val="4A5568"/>
                <w:sz w:val="18"/>
              </w:rPr>
              <w:t>VIVELLA Verified Gig Workers</w:t>
            </w:r>
          </w:p>
        </w:tc>
        <w:tc>
          <w:tcPr>
            <w:tcW w:w="2000" w:type="dxa"/>
          </w:tcPr>
          <w:p>
            <w:pPr>
              <w:spacing w:before="40" w:after="40"/>
            </w:pPr>
            <w:r>
              <w:rPr>
                <w:color w:val="4A5568"/>
                <w:sz w:val="18"/>
              </w:rPr>
              <w:t>1,000</w:t>
            </w:r>
          </w:p>
        </w:tc>
        <w:tc>
          <w:tcPr>
            <w:tcW w:w="2000" w:type="dxa"/>
          </w:tcPr>
          <w:p>
            <w:pPr>
              <w:spacing w:before="40" w:after="40"/>
            </w:pPr>
            <w:r>
              <w:rPr>
                <w:color w:val="4A5568"/>
                <w:sz w:val="18"/>
              </w:rPr>
              <w:t>10,000</w:t>
            </w:r>
          </w:p>
        </w:tc>
        <w:tc>
          <w:tcPr>
            <w:tcW w:w="2000" w:type="dxa"/>
          </w:tcPr>
          <w:p>
            <w:pPr>
              <w:spacing w:before="40" w:after="40"/>
            </w:pPr>
            <w:r>
              <w:rPr>
                <w:color w:val="4A5568"/>
                <w:sz w:val="18"/>
              </w:rPr>
              <w:t>50,000+</w:t>
            </w:r>
          </w:p>
        </w:tc>
      </w:tr>
      <w:tr>
        <w:tc>
          <w:tcPr>
            <w:tcW w:w="2000" w:type="dxa"/>
          </w:tcPr>
          <w:p>
            <w:pPr>
              <w:spacing w:before="40" w:after="40"/>
            </w:pPr>
            <w:r>
              <w:rPr>
                <w:color w:val="4A5568"/>
                <w:sz w:val="18"/>
              </w:rPr>
              <w:t>Net Promoter Score (NPS)</w:t>
            </w:r>
          </w:p>
        </w:tc>
        <w:tc>
          <w:tcPr>
            <w:tcW w:w="2000" w:type="dxa"/>
          </w:tcPr>
          <w:p>
            <w:pPr>
              <w:spacing w:before="40" w:after="40"/>
            </w:pPr>
            <w:r>
              <w:rPr>
                <w:color w:val="4A5568"/>
                <w:sz w:val="18"/>
              </w:rPr>
              <w:t>40</w:t>
            </w:r>
          </w:p>
        </w:tc>
        <w:tc>
          <w:tcPr>
            <w:tcW w:w="2000" w:type="dxa"/>
          </w:tcPr>
          <w:p>
            <w:pPr>
              <w:spacing w:before="40" w:after="40"/>
            </w:pPr>
            <w:r>
              <w:rPr>
                <w:color w:val="4A5568"/>
                <w:sz w:val="18"/>
              </w:rPr>
              <w:t>50</w:t>
            </w:r>
          </w:p>
        </w:tc>
        <w:tc>
          <w:tcPr>
            <w:tcW w:w="2000" w:type="dxa"/>
          </w:tcPr>
          <w:p>
            <w:pPr>
              <w:spacing w:before="40" w:after="40"/>
            </w:pPr>
            <w:r>
              <w:rPr>
                <w:color w:val="4A5568"/>
                <w:sz w:val="18"/>
              </w:rPr>
              <w:t>60+</w:t>
            </w:r>
          </w:p>
        </w:tc>
      </w:tr>
      <w:tr>
        <w:tc>
          <w:tcPr>
            <w:tcW w:w="2000" w:type="dxa"/>
          </w:tcPr>
          <w:p>
            <w:pPr>
              <w:spacing w:before="40" w:after="40"/>
            </w:pPr>
            <w:r>
              <w:rPr>
                <w:color w:val="4A5568"/>
                <w:sz w:val="18"/>
              </w:rPr>
              <w:t>Customer Retention Rate</w:t>
            </w:r>
          </w:p>
        </w:tc>
        <w:tc>
          <w:tcPr>
            <w:tcW w:w="2000" w:type="dxa"/>
          </w:tcPr>
          <w:p>
            <w:pPr>
              <w:spacing w:before="40" w:after="40"/>
            </w:pPr>
            <w:r>
              <w:rPr>
                <w:color w:val="4A5568"/>
                <w:sz w:val="18"/>
              </w:rPr>
              <w:t>80%</w:t>
            </w:r>
          </w:p>
        </w:tc>
        <w:tc>
          <w:tcPr>
            <w:tcW w:w="2000" w:type="dxa"/>
          </w:tcPr>
          <w:p>
            <w:pPr>
              <w:spacing w:before="40" w:after="40"/>
            </w:pPr>
            <w:r>
              <w:rPr>
                <w:color w:val="4A5568"/>
                <w:sz w:val="18"/>
              </w:rPr>
              <w:t>85%</w:t>
            </w:r>
          </w:p>
        </w:tc>
        <w:tc>
          <w:tcPr>
            <w:tcW w:w="2000" w:type="dxa"/>
          </w:tcPr>
          <w:p>
            <w:pPr>
              <w:spacing w:before="40" w:after="40"/>
            </w:pPr>
            <w:r>
              <w:rPr>
                <w:color w:val="4A5568"/>
                <w:sz w:val="18"/>
              </w:rPr>
              <w:t>90%+</w:t>
            </w:r>
          </w:p>
        </w:tc>
      </w:tr>
      <w:tr>
        <w:tc>
          <w:tcPr>
            <w:tcW w:w="2000" w:type="dxa"/>
          </w:tcPr>
          <w:p>
            <w:pPr>
              <w:spacing w:before="40" w:after="40"/>
            </w:pPr>
            <w:r>
              <w:rPr>
                <w:color w:val="4A5568"/>
                <w:sz w:val="18"/>
              </w:rPr>
              <w:t>MASTERNEX.os AI Automation Rate</w:t>
            </w:r>
          </w:p>
        </w:tc>
        <w:tc>
          <w:tcPr>
            <w:tcW w:w="2000" w:type="dxa"/>
          </w:tcPr>
          <w:p>
            <w:pPr>
              <w:spacing w:before="40" w:after="40"/>
            </w:pPr>
            <w:r>
              <w:rPr>
                <w:color w:val="4A5568"/>
                <w:sz w:val="18"/>
              </w:rPr>
              <w:t>40%</w:t>
            </w:r>
          </w:p>
        </w:tc>
        <w:tc>
          <w:tcPr>
            <w:tcW w:w="2000" w:type="dxa"/>
          </w:tcPr>
          <w:p>
            <w:pPr>
              <w:spacing w:before="40" w:after="40"/>
            </w:pPr>
            <w:r>
              <w:rPr>
                <w:color w:val="4A5568"/>
                <w:sz w:val="18"/>
              </w:rPr>
              <w:t>75%</w:t>
            </w:r>
          </w:p>
        </w:tc>
        <w:tc>
          <w:tcPr>
            <w:tcW w:w="2000" w:type="dxa"/>
          </w:tcPr>
          <w:p>
            <w:pPr>
              <w:spacing w:before="40" w:after="40"/>
            </w:pPr>
            <w:r>
              <w:rPr>
                <w:color w:val="4A5568"/>
                <w:sz w:val="18"/>
              </w:rPr>
              <w:t>95%+</w:t>
            </w:r>
          </w:p>
        </w:tc>
      </w:tr>
      <w:tr>
        <w:tc>
          <w:tcPr>
            <w:tcW w:w="2000" w:type="dxa"/>
          </w:tcPr>
          <w:p>
            <w:pPr>
              <w:spacing w:before="40" w:after="40"/>
            </w:pPr>
            <w:r>
              <w:rPr>
                <w:color w:val="4A5568"/>
                <w:sz w:val="18"/>
              </w:rPr>
              <w:t>DPS Model Accuracy</w:t>
            </w:r>
          </w:p>
        </w:tc>
        <w:tc>
          <w:tcPr>
            <w:tcW w:w="2000" w:type="dxa"/>
          </w:tcPr>
          <w:p>
            <w:pPr>
              <w:spacing w:before="40" w:after="40"/>
            </w:pPr>
            <w:r>
              <w:rPr>
                <w:color w:val="4A5568"/>
                <w:sz w:val="18"/>
              </w:rPr>
              <w:t>85%+</w:t>
            </w:r>
          </w:p>
        </w:tc>
        <w:tc>
          <w:tcPr>
            <w:tcW w:w="2000" w:type="dxa"/>
          </w:tcPr>
          <w:p>
            <w:pPr>
              <w:spacing w:before="40" w:after="40"/>
            </w:pPr>
            <w:r>
              <w:rPr>
                <w:color w:val="4A5568"/>
                <w:sz w:val="18"/>
              </w:rPr>
              <w:t>92%+</w:t>
            </w:r>
          </w:p>
        </w:tc>
        <w:tc>
          <w:tcPr>
            <w:tcW w:w="2000" w:type="dxa"/>
          </w:tcPr>
          <w:p>
            <w:pPr>
              <w:spacing w:before="40" w:after="40"/>
            </w:pPr>
            <w:r>
              <w:rPr>
                <w:color w:val="4A5568"/>
                <w:sz w:val="18"/>
              </w:rPr>
              <w:t>97%+</w:t>
            </w:r>
          </w:p>
        </w:tc>
      </w:tr>
    </w:tbl>
    <w:p>
      <w:pPr>
        <w:spacing w:before="120" w:after="120"/>
      </w:pPr>
    </w:p>
    <w:p>
      <w:r>
        <w:t>This omnibus represents the unified strategic foundation for the VIVELLA Property Intelligence division. All modules, all partnerships, all financial projections, and all technical architectures flow from the Compass Rose architecture and the MASTERNEX.os neuromorphic substrate. The property intelligence vertical is not a standalone business -- it is one face of the operating system for human flourishing. Reality begins now.</w:t>
      </w:r>
    </w:p>
    <w:p>
      <w:pPr>
        <w:sectPr>
          <w:headerReference w:type="default" r:id="R0f18e73064f24f38"/>
          <w:footerReference w:type="default" r:id="R3348565039fb4ed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g"/>
            <wp:cNvGraphicFramePr>
              <a:graphicFrameLocks noChangeAspect="1"/>
            </wp:cNvGraphicFramePr>
            <a:graphic>
              <a:graphicData uri="http://schemas.openxmlformats.org/drawingml/2006/picture">
                <pic:pic>
                  <pic:nvPicPr>
                    <pic:cNvPr id="0" name="bg.png"/>
                    <pic:cNvPicPr/>
                  </pic:nvPicPr>
                  <pic:blipFill>
                    <a:blip r:embed="R4c86feb9cf384705"/>
                    <a:stretch>
                      <a:fillRect/>
                    </a:stretch>
                  </pic:blipFill>
                  <pic:spPr>
                    <a:xfrm>
                      <a:off x="0" y="0"/>
                      <a:ext cx="7560000" cy="10692000"/>
                    </a:xfrm>
                    <a:prstGeom prst="rect"/>
                  </pic:spPr>
                </pic:pic>
              </a:graphicData>
            </a:graphic>
          </wp:anchor>
        </w:drawing>
      </w:r>
    </w:p>
    <w:p>
      <w:pPr>
        <w:spacing w:before="7000"/>
      </w:pPr>
      <w:r/>
    </w:p>
    <w:p>
      <w:pPr>
        <w:spacing w:before="0"/>
        <w:jc w:val="center"/>
      </w:pPr>
      <w:r>
        <w:rPr>
          <w:i/>
          <w:color w:val="C9A84C"/>
          <w:sz w:val="36"/>
        </w:rPr>
        <w:t>VIVELLA</w:t>
      </w:r>
    </w:p>
    <w:p>
      <w:pPr>
        <w:spacing w:before="200"/>
        <w:jc w:val="center"/>
      </w:pPr>
      <w:r>
        <w:rPr>
          <w:color w:val="E8D5A3"/>
          <w:sz w:val="20"/>
        </w:rPr>
        <w:t>The Operating System for Human Flourishing</w:t>
      </w:r>
    </w:p>
    <w:p>
      <w:pPr>
        <w:spacing w:before="300"/>
        <w:jc w:val="center"/>
      </w:pPr>
      <w:r>
        <w:rPr>
          <w:color w:val="E8D5A3"/>
          <w:sz w:val="16"/>
        </w:rPr>
        <w:t>Property Intelligence Division | Powered by MASTERNEX.os v6.1</w:t>
      </w:r>
    </w:p>
    <w:p>
      <w:pPr>
        <w:spacing w:before="100"/>
        <w:jc w:val="center"/>
      </w:pPr>
      <w:r>
        <w:rPr>
          <w:color w:val="E8D5A3"/>
          <w:sz w:val="16"/>
        </w:rPr>
        <w:t>ODASI Technologies | Navigate Your Reality. Own Your Journey.</w:t>
      </w:r>
    </w:p>
    <w:p>
      <w:pPr>
        <w:spacing w:before="200"/>
        <w:jc w:val="center"/>
      </w:pPr>
      <w:r>
        <w:rPr>
          <w:i/>
          <w:color w:val="4A5568"/>
          <w:sz w:val="14"/>
        </w:rPr>
        <w:t>© 2026 ODASI Technologies, Inc. | CONFIDENTIAL</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4A5568"/>
        <w:sz w:val="16"/>
      </w:rPr>
      <w:t xml:space="preserve">— </w:t>
    </w:r>
    <w:r>
      <w:rPr>
        <w:color w:val="4A5568"/>
        <w:sz w:val="16"/>
      </w:rPr>
      <w:fldChar w:fldCharType="begin"/>
    </w:r>
    <w:r>
      <w:rPr>
        <w:color w:val="4A5568"/>
        <w:sz w:val="16"/>
      </w:rPr>
      <w:instrText xml:space="preserve"> PAGE </w:instrText>
    </w:r>
    <w:r>
      <w:rPr>
        <w:color w:val="4A5568"/>
        <w:sz w:val="16"/>
      </w:rPr>
      <w:fldChar w:fldCharType="separate"/>
    </w:r>
    <w:r>
      <w:rPr>
        <w:color w:val="4A5568"/>
        <w:sz w:val="16"/>
      </w:rPr>
      <w:t>1</w:t>
    </w:r>
    <w:r>
      <w:rPr>
        <w:color w:val="4A5568"/>
        <w:sz w:val="16"/>
      </w:rPr>
      <w:fldChar w:fldCharType="end"/>
    </w:r>
    <w:r>
      <w:rPr>
        <w:color w:val="4A5568"/>
        <w:sz w:val="16"/>
      </w:rPr>
      <w:t xml:space="preserve"> —</w:t>
    </w:r>
  </w:p>
</w:ftr>
</file>

<file path=word/header1.xml><?xml version="1.0" encoding="utf-8"?>
<w:hdr xmlns:w="http://schemas.openxmlformats.org/wordprocessingml/2006/main">
  <w:p>
    <w:pPr>
      <w:jc w:val="right"/>
    </w:pPr>
    <w:r>
      <w:rPr>
        <w:i/>
        <w:color w:val="C9A84C"/>
        <w:sz w:val="16"/>
      </w:rPr>
      <w:t>VIVELLA Property Intelligence Omnibus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20" w:lineRule="auto"/>
    </w:pPr>
    <w:rPr>
      <w:rFonts w:ascii="Lato" w:hAnsi="Lato"/>
      <w:color w:val="4A5568"/>
      <w:sz w:val="21"/>
    </w:rPr>
  </w:style>
  <w:style w:type="paragraph" w:styleId="Heading1">
    <w:name w:val="heading 1"/>
    <w:basedOn w:val="Normal"/>
    <w:pPr>
      <w:keepNext/>
      <w:keepLines/>
      <w:spacing w:before="480" w:after="200"/>
      <w:outlineLvl w:val="0"/>
    </w:pPr>
    <w:rPr>
      <w:rFonts w:ascii="Montserrat" w:hAnsi="Montserrat"/>
      <w:b/>
      <w:color w:val="1B3A4B"/>
      <w:sz w:val="40"/>
    </w:rPr>
  </w:style>
  <w:style w:type="paragraph" w:styleId="Heading2">
    <w:name w:val="heading 2"/>
    <w:basedOn w:val="Normal"/>
    <w:pPr>
      <w:keepNext/>
      <w:keepLines/>
      <w:spacing w:before="360" w:after="160"/>
      <w:outlineLvl w:val="1"/>
    </w:pPr>
    <w:rPr>
      <w:rFonts w:ascii="Montserrat" w:hAnsi="Montserrat"/>
      <w:b/>
      <w:color w:val="2A9D8F"/>
      <w:sz w:val="28"/>
    </w:rPr>
  </w:style>
  <w:style w:type="paragraph" w:styleId="Heading3">
    <w:name w:val="heading 3"/>
    <w:basedOn w:val="Normal"/>
    <w:pPr>
      <w:keepNext/>
      <w:keepLines/>
      <w:spacing w:before="280" w:after="120"/>
      <w:outlineLvl w:val="2"/>
    </w:pPr>
    <w:rPr>
      <w:rFonts w:ascii="Montserrat" w:hAnsi="Montserrat"/>
      <w:b/>
      <w:color w:val="C9A84C"/>
      <w:sz w:val="24"/>
    </w:rPr>
  </w:style>
  <w:style w:type="paragraph" w:styleId="Quote">
    <w:name w:val="Quote"/>
    <w:basedOn w:val="Normal"/>
    <w:pPr>
      <w:spacing w:before="200" w:after="200"/>
      <w:ind w:left="720" w:right="720"/>
    </w:pPr>
    <w:rPr>
      <w:i/>
      <w:color w:val="4A5568"/>
      <w:sz w:val="22"/>
    </w:rPr>
  </w:style>
</w:styles>
</file>

<file path=word/_rels/document.xml.rels><?xml version='1.0' encoding='UTF-8'?>
<Relationships xmlns="http://schemas.openxmlformats.org/package/2006/relationships"><Relationship Type="http://schemas.openxmlformats.org/officeDocument/2006/relationships/styles" Target="styles.xml" Id="R8b75f3ceba824e09" /><Relationship Type="http://schemas.openxmlformats.org/officeDocument/2006/relationships/image" Target="media/image.png" Id="R752a317296774543" /><Relationship Type="http://schemas.openxmlformats.org/officeDocument/2006/relationships/image" Target="media/image2.png" Id="R4c86feb9cf384705" /><Relationship Type="http://schemas.openxmlformats.org/officeDocument/2006/relationships/header" Target="header1.xml" Id="R0f18e73064f24f38" /><Relationship Type="http://schemas.openxmlformats.org/officeDocument/2006/relationships/footer" Target="footer1.xml" Id="R3348565039fb4eda" /><Relationship Type="http://schemas.openxmlformats.org/officeDocument/2006/relationships/settings" Target="settings.xml" Id="Rb7ba375fcaff4b67" /><Relationship Type="http://schemas.openxmlformats.org/officeDocument/2006/relationships/numbering" Target="numbering.xml" Id="R98d94e9efc884a23" /></Relationships>
</file>