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rPr>
          <w:rFonts w:ascii="Times New Roman" w:hAnsi="Times New Roman"/>
          <w:b/>
          <w:sz w:val="24"/>
        </w:rPr>
        <w:t>PODSTAWA PRAWNA I ORZECZNICTWO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4"/>
        </w:rPr>
        <w:t>Przepisy, na których oparto stanowisko: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1. art. 17 § 1 pkt 2 k.p.k.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 xml:space="preserve">   Nie wszczyna się postępowania, a wszczęte umarza, gdy czyn nie zawiera znamion czynu zabronionego.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2. art. 7 k.p.k.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 xml:space="preserve">   Swobodna ocena dowodów – organ ocenia dowody według własnego przekonania, z uwzględnieniem zasad prawidłowego rozumowania.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3. art. 284 § 2 k.k.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 xml:space="preserve">   Przywłaszczenie rzeczy powierzonej. Wymaga m.in. powierzenia z obowiązkiem zwrotu oraz zamiaru bezpośredniego przywłaszczenia.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4. art. 410 k.p.k.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 xml:space="preserve">   Podstawę wyroku stanowi całokształt okoliczności ujawnionych w toku rozprawy głównej.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4"/>
        </w:rPr>
        <w:t>Orzecznictwo wspierające ocenę prawną: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1. V KK 491/17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 xml:space="preserve">   Teza: Naruszenie art. 410 k.p.k. zachodzi, gdy rozstrzygnięcie opiera się na materiale nieujawnionym albo jedynie na części materiału ujawnionego.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2. V KK 391/14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 xml:space="preserve">   Teza: Powierzenie rzeczy polega na przekazaniu sprawcy władztwa nad rzeczą z obowiązkiem jej zwrotu.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3. IV KK 283/16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 xml:space="preserve">   Teza: Odpowiedzialność z art. 284 § 2 k.k. dotyczy rzeczy powierzonej i wymaga ustalenia stosunku powierzenia oraz zamiaru bezpośredniego przywłaszczenia.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4. II KK 8/15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 xml:space="preserve">   Teza: Swobodna ocena dowodów nie jest oceną dowolną; wymaga oparcia na całokształcie dowodów i zasadach prawidłowego rozumowania.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4"/>
        </w:rPr>
        <w:t>Wybrane interpretacje (przepis wiodący):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— SN V KK 391/14: Powierzenie rzeczy polega na przekazaniu sprawcy władztwa nad rzeczą z obowiązkiem jej zwrotu.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— SN IV KK 283/16: Odpowiedzialność z art. 284 § 2 k.k. dotyczy rzeczy powierzonej i wymaga ustalenia stosunku powierzenia oraz zamiaru bezpośredniego przywłaszczenia.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