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266003510e60649b72cd32000c2a99d35a5e10"/>
    <w:p>
      <w:pPr>
        <w:pStyle w:val="Heading1"/>
      </w:pPr>
      <w:r>
        <w:t xml:space="preserve">Feedback on Your Nexus Letter for Marcus Klein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17 July 2026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Your medical opinion letter dated 2 July 2026 (PTSD/MST, MDD, GAD, OCD, and secondary SUD)</w:t>
      </w:r>
    </w:p>
    <w:p>
      <w:pPr>
        <w:pStyle w:val="BodyText"/>
      </w:pPr>
      <w:r>
        <w:t xml:space="preserve">Dear Cherie,</w:t>
      </w:r>
    </w:p>
    <w:p>
      <w:pPr>
        <w:pStyle w:val="BodyText"/>
      </w:pPr>
      <w:r>
        <w:t xml:space="preserve">Thank you for this letter — it is a strong, thorough opinion, and it clearly reflects</w:t>
      </w:r>
      <w:r>
        <w:t xml:space="preserve"> </w:t>
      </w:r>
      <w:r>
        <w:t xml:space="preserve">years of direct clinical work with Marcus. The notes below are offered only to help the</w:t>
      </w:r>
      <w:r>
        <w:t xml:space="preserve"> </w:t>
      </w:r>
      <w:r>
        <w:t xml:space="preserve">VA reviewer see the full picture you already know.</w:t>
      </w:r>
      <w:r>
        <w:t xml:space="preserve"> </w:t>
      </w:r>
      <w:r>
        <w:rPr>
          <w:b/>
          <w:bCs/>
        </w:rPr>
        <w:t xml:space="preserve">Nothing here asks you to say anything</w:t>
      </w:r>
      <w:r>
        <w:rPr>
          <w:b/>
          <w:bCs/>
        </w:rPr>
        <w:t xml:space="preserve"> </w:t>
      </w:r>
      <w:r>
        <w:rPr>
          <w:b/>
          <w:bCs/>
        </w:rPr>
        <w:t xml:space="preserve">that isn’t clinically true.</w:t>
      </w:r>
      <w:r>
        <w:t xml:space="preserve"> </w:t>
      </w:r>
      <w:r>
        <w:t xml:space="preserve">Every suggestion is simply a question for your own judgment:</w:t>
      </w:r>
      <w:r>
        <w:t xml:space="preserve"> </w:t>
      </w:r>
      <w:r>
        <w:rPr>
          <w:i/>
          <w:iCs/>
        </w:rPr>
        <w:t xml:space="preserve">if it is accurate in your assessment, saying it plainly would help; if it isn’t, please</w:t>
      </w:r>
      <w:r>
        <w:rPr>
          <w:i/>
          <w:iCs/>
        </w:rPr>
        <w:t xml:space="preserve"> </w:t>
      </w:r>
      <w:r>
        <w:rPr>
          <w:i/>
          <w:iCs/>
        </w:rPr>
        <w:t xml:space="preserve">disregard it.</w:t>
      </w:r>
      <w:r>
        <w:t xml:space="preserve"> </w:t>
      </w:r>
      <w:r>
        <w:t xml:space="preserve">You are the clinician — this is your opinion, in your words.</w:t>
      </w:r>
    </w:p>
    <w:p>
      <w:pPr>
        <w:pStyle w:val="BodyText"/>
      </w:pPr>
      <w:r>
        <w:t xml:space="preserve">A VA rater reads a letter like yours for two separate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 condition connected to service?</w:t>
      </w:r>
      <w:r>
        <w:t xml:space="preserve"> </w:t>
      </w:r>
      <w:r>
        <w:t xml:space="preserve">(the</w:t>
      </w:r>
      <w:r>
        <w:t xml:space="preserve"> </w:t>
      </w:r>
      <w:r>
        <w:t xml:space="preserve">“nexus”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severe is it?</w:t>
      </w:r>
      <w:r>
        <w:t xml:space="preserve"> </w:t>
      </w:r>
      <w:r>
        <w:t xml:space="preserve">(which decides the rating percentage)</w:t>
      </w:r>
    </w:p>
    <w:p>
      <w:pPr>
        <w:pStyle w:val="FirstParagraph"/>
      </w:pPr>
      <w:r>
        <w:t xml:space="preserve">Your letter already does #1 very well. The suggestions below mostly help #2 come through</w:t>
      </w:r>
      <w:r>
        <w:t xml:space="preserve"> </w:t>
      </w:r>
      <w:r>
        <w:t xml:space="preserve">as clearly as your clinical picture actually is.</w:t>
      </w:r>
    </w:p>
    <w:p>
      <w:r>
        <w:pict>
          <v:rect style="width:0;height:1.5pt" o:hralign="center" o:hrstd="t" o:hr="t"/>
        </w:pict>
      </w:r>
    </w:p>
    <w:bookmarkStart w:id="9" w:name="what-your-letter-already-does-well"/>
    <w:p>
      <w:pPr>
        <w:pStyle w:val="Heading2"/>
      </w:pPr>
      <w:r>
        <w:t xml:space="preserve">What your letter already does well</w:t>
      </w:r>
    </w:p>
    <w:p>
      <w:pPr>
        <w:pStyle w:val="FirstParagraph"/>
      </w:pPr>
      <w:r>
        <w:t xml:space="preserve">You do not need to change any of this — it’s working: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state the legal standard exactly right.</w:t>
      </w:r>
      <w:r>
        <w:t xml:space="preserve"> </w:t>
      </w:r>
      <w:r>
        <w:t xml:space="preserve">“At least as likely as not (a 50% or</w:t>
      </w:r>
      <w:r>
        <w:t xml:space="preserve"> </w:t>
      </w:r>
      <w:r>
        <w:t xml:space="preserve">greater probability)”</w:t>
      </w:r>
      <w:r>
        <w:t xml:space="preserve"> </w:t>
      </w:r>
      <w:r>
        <w:t xml:space="preserve">is the precise language the VA needs. Many letters get this wrong.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connect all four conditions to service, not just PTSD.</w:t>
      </w:r>
      <w:r>
        <w:t xml:space="preserve"> </w:t>
      </w:r>
      <w:r>
        <w:t xml:space="preserve">That breadth protects the</w:t>
      </w:r>
      <w:r>
        <w:t xml:space="preserve"> </w:t>
      </w:r>
      <w:r>
        <w:t xml:space="preserve">claim — if one diagnosis is questioned, the others still stand.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correctly frame the substance use as flowing from the PTSD</w:t>
      </w:r>
      <w:r>
        <w:t xml:space="preserve"> </w:t>
      </w:r>
      <w:r>
        <w:t xml:space="preserve">(a coping response),</w:t>
      </w:r>
      <w:r>
        <w:t xml:space="preserve"> </w:t>
      </w:r>
      <w:r>
        <w:t xml:space="preserve">which is the way the VA can actually compensate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explain the delayed disclosure.</w:t>
      </w:r>
      <w:r>
        <w:t xml:space="preserve"> </w:t>
      </w:r>
      <w:r>
        <w:t xml:space="preserve">Your point that male survivors of</w:t>
      </w:r>
      <w:r>
        <w:t xml:space="preserve"> </w:t>
      </w:r>
      <w:r>
        <w:t xml:space="preserve">female-perpetrator assault often don’t label it as</w:t>
      </w:r>
      <w:r>
        <w:t xml:space="preserve"> </w:t>
      </w:r>
      <w:r>
        <w:t xml:space="preserve">“assault”</w:t>
      </w:r>
      <w:r>
        <w:t xml:space="preserve"> </w:t>
      </w:r>
      <w:r>
        <w:t xml:space="preserve">is important — it explains</w:t>
      </w:r>
      <w:r>
        <w:t xml:space="preserve"> </w:t>
      </w:r>
      <w:r>
        <w:t xml:space="preserve">to the reviewer why this surfaced only recently and why earlier records don’t mention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head off the</w:t>
      </w:r>
      <w:r>
        <w:rPr>
          <w:b/>
          <w:bCs/>
        </w:rPr>
        <w:t xml:space="preserve"> </w:t>
      </w:r>
      <w:r>
        <w:rPr>
          <w:b/>
          <w:bCs/>
        </w:rPr>
        <w:t xml:space="preserve">“he denied suicidal thoughts in the hospital”</w:t>
      </w:r>
      <w:r>
        <w:rPr>
          <w:b/>
          <w:bCs/>
        </w:rP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by explaining he</w:t>
      </w:r>
      <w:r>
        <w:t xml:space="preserve"> </w:t>
      </w:r>
      <w:r>
        <w:t xml:space="preserve">did so to avoid an involuntary hold. That’s exactly the kind of apparent contradiction a</w:t>
      </w:r>
      <w:r>
        <w:t xml:space="preserve"> </w:t>
      </w:r>
      <w:r>
        <w:t xml:space="preserve">reviewer would otherwise hold against him.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describe both his work life and his personal/home life.</w:t>
      </w:r>
      <w:r>
        <w:t xml:space="preserve"> </w:t>
      </w:r>
      <w:r>
        <w:t xml:space="preserve">The detail about his wife</w:t>
      </w:r>
      <w:r>
        <w:t xml:space="preserve"> </w:t>
      </w:r>
      <w:r>
        <w:t xml:space="preserve">managing his hygiene, clothing, and appointments is the single most powerful passage in</w:t>
      </w:r>
      <w:r>
        <w:t xml:space="preserve"> </w:t>
      </w:r>
      <w:r>
        <w:t xml:space="preserve">the letter — and it is fully corroborated by her signed statement.</w:t>
      </w:r>
    </w:p>
    <w:p>
      <w:r>
        <w:pict>
          <v:rect style="width:0;height:1.5pt" o:hralign="center" o:hrstd="t" o:hr="t"/>
        </w:pict>
      </w:r>
    </w:p>
    <w:bookmarkEnd w:id="9"/>
    <w:bookmarkStart w:id="16" w:name="Xbea331739c46751aeddaee576d327e210c2972f"/>
    <w:p>
      <w:pPr>
        <w:pStyle w:val="Heading2"/>
      </w:pPr>
      <w:r>
        <w:t xml:space="preserve">A few areas that would help the reviewer —</w:t>
      </w:r>
      <w:r>
        <w:t xml:space="preserve"> </w:t>
      </w:r>
      <w:r>
        <w:rPr>
          <w:i/>
          <w:iCs/>
        </w:rPr>
        <w:t xml:space="preserve">only if they match your assessment</w:t>
      </w:r>
    </w:p>
    <w:p>
      <w:pPr>
        <w:pStyle w:val="FirstParagraph"/>
      </w:pPr>
      <w:r>
        <w:t xml:space="preserve">Think of these as</w:t>
      </w:r>
      <w:r>
        <w:t xml:space="preserve"> </w:t>
      </w:r>
      <w:r>
        <w:t xml:space="preserve">“the reviewer can’t see what you see unless you spell it out.”</w:t>
      </w:r>
    </w:p>
    <w:bookmarkStart w:id="10" w:name="total-vs.-severe-social-impairment"/>
    <w:p>
      <w:pPr>
        <w:pStyle w:val="Heading3"/>
      </w:pPr>
      <w:r>
        <w:t xml:space="preserve">1.</w:t>
      </w:r>
      <w:r>
        <w:t xml:space="preserve"> </w:t>
      </w:r>
      <w:r>
        <w:t xml:space="preserve">“Total”</w:t>
      </w:r>
      <w:r>
        <w:t xml:space="preserve"> </w:t>
      </w:r>
      <w:r>
        <w:t xml:space="preserve">vs. </w:t>
      </w:r>
      <w:r>
        <w:t xml:space="preserve">“severe”</w:t>
      </w:r>
      <w:r>
        <w:t xml:space="preserve"> </w:t>
      </w:r>
      <w:r>
        <w:t xml:space="preserve">social impairment</w:t>
      </w:r>
    </w:p>
    <w:p>
      <w:pPr>
        <w:pStyle w:val="FirstParagraph"/>
      </w:pPr>
      <w:r>
        <w:t xml:space="preserve">The VA treats</w:t>
      </w:r>
      <w:r>
        <w:t xml:space="preserve"> </w:t>
      </w:r>
      <w:r>
        <w:rPr>
          <w:b/>
          <w:bCs/>
        </w:rPr>
        <w:t xml:space="preserve">“total”</w:t>
      </w:r>
      <w:r>
        <w:t xml:space="preserve"> </w:t>
      </w:r>
      <w:r>
        <w:t xml:space="preserve">social impairment as a very high bar. When a reviewer sees the</w:t>
      </w:r>
      <w:r>
        <w:t xml:space="preserve"> </w:t>
      </w:r>
      <w:r>
        <w:t xml:space="preserve">word</w:t>
      </w:r>
      <w:r>
        <w:t xml:space="preserve"> </w:t>
      </w:r>
      <w:r>
        <w:t xml:space="preserve">“total”</w:t>
      </w:r>
      <w:r>
        <w:t xml:space="preserve"> </w:t>
      </w:r>
      <w:r>
        <w:t xml:space="preserve">next to the facts that Marcus is still married and attends AA meetings, they</w:t>
      </w:r>
      <w:r>
        <w:t xml:space="preserve"> </w:t>
      </w:r>
      <w:r>
        <w:t xml:space="preserve">may discount the word — even though your underlying point is sound.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Is your clinical picture that his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remaining human contact is</w:t>
      </w:r>
      <w:r>
        <w:t xml:space="preserve"> </w:t>
      </w:r>
      <w:r>
        <w:t xml:space="preserve">a caregiving dependency (his wife) plus you as his therapist, with</w:t>
      </w:r>
      <w:r>
        <w:t xml:space="preserve"> </w:t>
      </w:r>
      <w:r>
        <w:rPr>
          <w:b/>
          <w:bCs/>
        </w:rPr>
        <w:t xml:space="preserve">no reciprocal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</w:t>
      </w:r>
      <w:r>
        <w:t xml:space="preserve">? If so, describing it that precisely is both accurate and more convincing</w:t>
      </w:r>
      <w:r>
        <w:t xml:space="preserve"> </w:t>
      </w:r>
      <w:r>
        <w:t xml:space="preserve">than the single word</w:t>
      </w:r>
      <w:r>
        <w:t xml:space="preserve"> </w:t>
      </w:r>
      <w:r>
        <w:t xml:space="preserve">“total.”</w:t>
      </w:r>
      <w:r>
        <w:t xml:space="preserve"> </w:t>
      </w:r>
      <w:r>
        <w:t xml:space="preserve">If</w:t>
      </w:r>
      <w:r>
        <w:t xml:space="preserve"> </w:t>
      </w:r>
      <w:r>
        <w:t xml:space="preserve">“total”</w:t>
      </w:r>
      <w:r>
        <w:t xml:space="preserve"> </w:t>
      </w:r>
      <w:r>
        <w:t xml:space="preserve">slightly overstates it, the precise description</w:t>
      </w:r>
      <w:r>
        <w:t xml:space="preserve"> </w:t>
      </w:r>
      <w:r>
        <w:t xml:space="preserve">is stronger. Use whichever is true.</w:t>
      </w:r>
    </w:p>
    <w:bookmarkEnd w:id="10"/>
    <w:bookmarkStart w:id="11" w:name="the-phrase-paranoid-delusions"/>
    <w:p>
      <w:pPr>
        <w:pStyle w:val="Heading3"/>
      </w:pPr>
      <w:r>
        <w:t xml:space="preserve">2. The phrase</w:t>
      </w:r>
      <w:r>
        <w:t xml:space="preserve"> </w:t>
      </w:r>
      <w:r>
        <w:t xml:space="preserve">“paranoid delusions”</w:t>
      </w:r>
    </w:p>
    <w:p>
      <w:pPr>
        <w:pStyle w:val="FirstParagraph"/>
      </w:pPr>
      <w:r>
        <w:t xml:space="preserve">The letter twice describes his job-loss fears as</w:t>
      </w:r>
      <w:r>
        <w:t xml:space="preserve"> </w:t>
      </w:r>
      <w:r>
        <w:t xml:space="preserve">“paranoid delusions.”</w:t>
      </w:r>
      <w:r>
        <w:t xml:space="preserve"> </w:t>
      </w:r>
      <w:r>
        <w:t xml:space="preserve">In VA terms,</w:t>
      </w:r>
      <w:r>
        <w:t xml:space="preserve"> </w:t>
      </w:r>
      <w:r>
        <w:t xml:space="preserve">“delusions”</w:t>
      </w:r>
      <w:r>
        <w:t xml:space="preserve"> </w:t>
      </w:r>
      <w:r>
        <w:t xml:space="preserve">implies a fixed, false, psychotic-level belief.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Is that your clinical assessment — genuine delusions/psychosis? Or</w:t>
      </w:r>
      <w:r>
        <w:t xml:space="preserve"> </w:t>
      </w:r>
      <w:r>
        <w:t xml:space="preserve">is it better captured as intense, irrational, evidence-resistant fear and paranoia that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psychotic? Please use whichever term reflects your actual finding. (Both are</w:t>
      </w:r>
      <w:r>
        <w:t xml:space="preserve"> </w:t>
      </w:r>
      <w:r>
        <w:t xml:space="preserve">serious; the goal is only that the term matches your assessment, since a VA examiner may</w:t>
      </w:r>
      <w:r>
        <w:t xml:space="preserve"> </w:t>
      </w:r>
      <w:r>
        <w:t xml:space="preserve">probe</w:t>
      </w:r>
      <w:r>
        <w:t xml:space="preserve"> </w:t>
      </w:r>
      <w:r>
        <w:t xml:space="preserve">“delusions”</w:t>
      </w:r>
      <w:r>
        <w:t xml:space="preserve"> </w:t>
      </w:r>
      <w:r>
        <w:t xml:space="preserve">specifically.)</w:t>
      </w:r>
    </w:p>
    <w:bookmarkEnd w:id="11"/>
    <w:bookmarkStart w:id="12" w:name="X552a12739debd9197a8210fceae516ff48c09a4"/>
    <w:p>
      <w:pPr>
        <w:pStyle w:val="Heading3"/>
      </w:pPr>
      <w:r>
        <w:t xml:space="preserve">3. The earlier records point to other causes</w:t>
      </w:r>
    </w:p>
    <w:p>
      <w:pPr>
        <w:pStyle w:val="FirstParagraph"/>
      </w:pPr>
      <w:r>
        <w:t xml:space="preserve">Some of Marcus’s earlier treatment records (around 2023) attribute his distress to</w:t>
      </w:r>
      <w:r>
        <w:t xml:space="preserve"> </w:t>
      </w:r>
      <w:r>
        <w:t xml:space="preserve">childhood or work-related factors, without mentioning the military assault.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In your clinical judgment, are those earlier factors</w:t>
      </w:r>
      <w:r>
        <w:t xml:space="preserve"> </w:t>
      </w:r>
      <w:r>
        <w:rPr>
          <w:i/>
          <w:iCs/>
        </w:rPr>
        <w:t xml:space="preserve">part of</w:t>
      </w:r>
      <w:r>
        <w:t xml:space="preserve"> </w:t>
      </w:r>
      <w:r>
        <w:t xml:space="preserve">the</w:t>
      </w:r>
      <w:r>
        <w:t xml:space="preserve"> </w:t>
      </w:r>
      <w:r>
        <w:t xml:space="preserve">same trauma-driven picture (i.e., what was really underneath the</w:t>
      </w:r>
      <w:r>
        <w:t xml:space="preserve"> </w:t>
      </w:r>
      <w:r>
        <w:t xml:space="preserve">“work stress”</w:t>
      </w:r>
      <w:r>
        <w:t xml:space="preserve"> </w:t>
      </w:r>
      <w:r>
        <w:t xml:space="preserve">you were</w:t>
      </w:r>
      <w:r>
        <w:t xml:space="preserve"> </w:t>
      </w:r>
      <w:r>
        <w:t xml:space="preserve">treating), or genuinely separate? A reviewer will likely notice that earlier records tell</w:t>
      </w:r>
      <w:r>
        <w:t xml:space="preserve"> </w:t>
      </w:r>
      <w:r>
        <w:t xml:space="preserve">a different story. If, in your view, the earlier presentation was the same condition</w:t>
      </w:r>
      <w:r>
        <w:t xml:space="preserve"> </w:t>
      </w:r>
      <w:r>
        <w:t xml:space="preserve">before the assault was disclosed, saying that directly closes the biggest gap in the file.</w:t>
      </w:r>
    </w:p>
    <w:p>
      <w:pPr>
        <w:pStyle w:val="BlockText"/>
      </w:pPr>
      <w:r>
        <w:rPr>
          <w:b/>
          <w:bCs/>
        </w:rPr>
        <w:t xml:space="preserve">Clarification (added 17 July 2026, in response to your question):</w:t>
      </w:r>
      <w:r>
        <w:t xml:space="preserve"> </w:t>
      </w:r>
      <w:r>
        <w:t xml:space="preserve">You read this</w:t>
      </w:r>
      <w:r>
        <w:t xml:space="preserve"> </w:t>
      </w:r>
      <w:r>
        <w:t xml:space="preserve">exactly right. The point is simply that the earlier records reflect an</w:t>
      </w:r>
      <w:r>
        <w:t xml:space="preserve"> </w:t>
      </w:r>
      <w:r>
        <w:rPr>
          <w:i/>
          <w:iCs/>
        </w:rPr>
        <w:t xml:space="preserve">incomplete</w:t>
      </w:r>
      <w:r>
        <w:rPr>
          <w:i/>
          <w:iCs/>
        </w:rPr>
        <w:t xml:space="preserve"> </w:t>
      </w:r>
      <w:r>
        <w:rPr>
          <w:i/>
          <w:iCs/>
        </w:rPr>
        <w:t xml:space="preserve">picture</w:t>
      </w:r>
      <w:r>
        <w:t xml:space="preserve"> </w:t>
      </w:r>
      <w:r>
        <w:t xml:space="preserve">— a treatment center can only attribute symptoms to what the patient discloses,</w:t>
      </w:r>
      <w:r>
        <w:t xml:space="preserve"> </w:t>
      </w:r>
      <w:r>
        <w:t xml:space="preserve">and Marcus did not disclose the assault to them, so their notes naturally pointed at the</w:t>
      </w:r>
      <w:r>
        <w:t xml:space="preserve"> </w:t>
      </w:r>
      <w:r>
        <w:t xml:space="preserve">factors he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report. Your explanation supplies the missing link: the same underlying</w:t>
      </w:r>
      <w:r>
        <w:t xml:space="preserve"> </w:t>
      </w:r>
      <w:r>
        <w:t xml:space="preserve">condition was present all along, just unattributed until disclosure. Acknowledging that</w:t>
      </w:r>
      <w:r>
        <w:t xml:space="preserve"> </w:t>
      </w:r>
      <w:r>
        <w:t xml:space="preserve">other factors may have contributed while identifying the MST as the primary driver is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credible to a reviewer than a letter that ignores those other factors — it does</w:t>
      </w:r>
      <w:r>
        <w:t xml:space="preserve"> </w:t>
      </w:r>
      <w:r>
        <w:t xml:space="preserve">not weaken the opinion.</w:t>
      </w:r>
    </w:p>
    <w:p>
      <w:pPr>
        <w:pStyle w:val="BlockText"/>
      </w:pPr>
      <w:r>
        <w:rPr>
          <w:b/>
          <w:bCs/>
        </w:rPr>
        <w:t xml:space="preserve">One timing distinction to keep clean</w:t>
      </w:r>
      <w:r>
        <w:t xml:space="preserve"> </w:t>
      </w:r>
      <w:r>
        <w:t xml:space="preserve">(a clinical call for you): the assault cannot</w:t>
      </w:r>
      <w:r>
        <w:t xml:space="preserve"> </w:t>
      </w:r>
      <w:r>
        <w:t xml:space="preserve">have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anything that pre-dates it. So —</w:t>
      </w:r>
    </w:p>
    <w:p>
      <w:pPr>
        <w:pStyle w:val="Compact"/>
        <w:numPr>
          <w:ilvl w:val="0"/>
          <w:numId w:val="1006"/>
        </w:numPr>
      </w:pPr>
      <w:r>
        <w:t xml:space="preserve">For symptoms/presentation that came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2012 (including what the treatment centers</w:t>
      </w:r>
      <w:r>
        <w:t xml:space="preserve"> </w:t>
      </w:r>
      <w:r>
        <w:t xml:space="preserve">documented): the natural framing is that they were</w:t>
      </w:r>
      <w:r>
        <w:t xml:space="preserve"> </w:t>
      </w:r>
      <w:r>
        <w:rPr>
          <w:b/>
          <w:bCs/>
        </w:rPr>
        <w:t xml:space="preserve">caused by</w:t>
      </w:r>
      <w:r>
        <w:t xml:space="preserve"> </w:t>
      </w:r>
      <w:r>
        <w:t xml:space="preserve">the undisclosed MST.</w:t>
      </w:r>
    </w:p>
    <w:p>
      <w:pPr>
        <w:pStyle w:val="Compact"/>
        <w:numPr>
          <w:ilvl w:val="0"/>
          <w:numId w:val="1006"/>
        </w:numPr>
      </w:pPr>
      <w:r>
        <w:t xml:space="preserve">For any factor that genuinely</w:t>
      </w:r>
      <w:r>
        <w:t xml:space="preserve"> </w:t>
      </w:r>
      <w:r>
        <w:rPr>
          <w:b/>
          <w:bCs/>
        </w:rPr>
        <w:t xml:space="preserve">pre-dates</w:t>
      </w:r>
      <w:r>
        <w:t xml:space="preserve"> </w:t>
      </w:r>
      <w:r>
        <w:t xml:space="preserve">service (e.g., childhood-related factors): if</w:t>
      </w:r>
      <w:r>
        <w:t xml:space="preserve"> </w:t>
      </w:r>
      <w:r>
        <w:t xml:space="preserve">in your judgment the assault made a pre-existing vulnerability worse, the accurate framing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aggravation</w:t>
      </w:r>
      <w:r>
        <w:t xml:space="preserve"> </w:t>
      </w:r>
      <w:r>
        <w:t xml:space="preserve">(</w:t>
      </w:r>
      <w:r>
        <w:t xml:space="preserve">“the service trauma worsened it”</w:t>
      </w:r>
      <w:r>
        <w:t xml:space="preserve">) — which the VA compensates just as</w:t>
      </w:r>
      <w:r>
        <w:t xml:space="preserve"> </w:t>
      </w:r>
      <w:r>
        <w:t xml:space="preserve">fully as direct causation, and which your letter already covers with its</w:t>
      </w:r>
      <w:r>
        <w:t xml:space="preserve"> </w:t>
      </w:r>
      <w:r>
        <w:t xml:space="preserve">“caused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aggravated”</w:t>
      </w:r>
      <w:r>
        <w:t xml:space="preserve"> </w:t>
      </w:r>
      <w:r>
        <w:t xml:space="preserve">language.</w:t>
      </w:r>
    </w:p>
    <w:p>
      <w:pPr>
        <w:pStyle w:val="BlockText"/>
      </w:pPr>
      <w:r>
        <w:t xml:space="preserve">As long as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is reserved for what followed the assault and</w:t>
      </w:r>
      <w:r>
        <w:t xml:space="preserve"> </w:t>
      </w:r>
      <w:r>
        <w:t xml:space="preserve">“aggravated by”</w:t>
      </w:r>
      <w:r>
        <w:t xml:space="preserve"> </w:t>
      </w:r>
      <w:r>
        <w:t xml:space="preserve">is</w:t>
      </w:r>
      <w:r>
        <w:t xml:space="preserve"> </w:t>
      </w:r>
      <w:r>
        <w:t xml:space="preserve">used for anything that preceded it, the timeline can’t be picked apart. And the standard is</w:t>
      </w:r>
      <w:r>
        <w:t xml:space="preserve"> </w:t>
      </w:r>
      <w:r>
        <w:t xml:space="preserve">the one you already use —</w:t>
      </w:r>
      <w:r>
        <w:t xml:space="preserve"> </w:t>
      </w:r>
      <w:r>
        <w:rPr>
          <w:b/>
          <w:bCs/>
        </w:rPr>
        <w:t xml:space="preserve">“at least as likely as not”</w:t>
      </w:r>
      <w:r>
        <w:rPr>
          <w:b/>
          <w:bCs/>
        </w:rPr>
        <w:t xml:space="preserve"> </w:t>
      </w:r>
      <w:r>
        <w:rPr>
          <w:b/>
          <w:bCs/>
        </w:rPr>
        <w:t xml:space="preserve">(50% or more)</w:t>
      </w:r>
      <w:r>
        <w:t xml:space="preserve">; you never have to</w:t>
      </w:r>
      <w:r>
        <w:t xml:space="preserve"> </w:t>
      </w:r>
      <w:r>
        <w:t xml:space="preserve">say the MST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cause, only that it is the primary driver (or an aggravating one).</w:t>
      </w:r>
    </w:p>
    <w:bookmarkEnd w:id="12"/>
    <w:bookmarkStart w:id="13" w:name="naming-the-why-behind-the-connection"/>
    <w:p>
      <w:pPr>
        <w:pStyle w:val="Heading3"/>
      </w:pPr>
      <w:r>
        <w:t xml:space="preserve">4. Naming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behind the connection</w:t>
      </w:r>
    </w:p>
    <w:p>
      <w:pPr>
        <w:pStyle w:val="FirstParagraph"/>
      </w:pPr>
      <w:r>
        <w:t xml:space="preserve">Your conclusion that his symptoms are</w:t>
      </w:r>
      <w:r>
        <w:t xml:space="preserve"> </w:t>
      </w:r>
      <w:r>
        <w:t xml:space="preserve">“directly tied”</w:t>
      </w:r>
      <w:r>
        <w:t xml:space="preserve"> </w:t>
      </w:r>
      <w:r>
        <w:t xml:space="preserve">to the assault is correct. The VA</w:t>
      </w:r>
      <w:r>
        <w:t xml:space="preserve"> </w:t>
      </w:r>
      <w:r>
        <w:t xml:space="preserve">gives the most weight to opinions that also explain the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— the</w:t>
      </w:r>
      <w:r>
        <w:t xml:space="preserve"> </w:t>
      </w:r>
      <w:r>
        <w:t xml:space="preserve">“why.”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In a sentence or two, what is the clinical reasoning that links the</w:t>
      </w:r>
      <w:r>
        <w:t xml:space="preserve"> </w:t>
      </w:r>
      <w:r>
        <w:t xml:space="preserve">assault to these conditions? (For example, the continuity of symptoms over time, the</w:t>
      </w:r>
      <w:r>
        <w:t xml:space="preserve"> </w:t>
      </w:r>
      <w:r>
        <w:t xml:space="preserve">self-medication pattern, the trauma presentation.) You already reference these; stating</w:t>
      </w:r>
      <w:r>
        <w:t xml:space="preserve"> </w:t>
      </w:r>
      <w:r>
        <w:t xml:space="preserve">them as your</w:t>
      </w:r>
      <w:r>
        <w:t xml:space="preserve"> </w:t>
      </w:r>
      <w:r>
        <w:rPr>
          <w:i/>
          <w:iCs/>
        </w:rPr>
        <w:t xml:space="preserve">basis for the opinion</w:t>
      </w:r>
      <w:r>
        <w:t xml:space="preserve"> </w:t>
      </w:r>
      <w:r>
        <w:t xml:space="preserve">makes the opinion carry more weight.</w:t>
      </w:r>
    </w:p>
    <w:bookmarkEnd w:id="13"/>
    <w:bookmarkStart w:id="14" w:name="X20874100baa48dc4d9bd26a4312dd17118629af"/>
    <w:p>
      <w:pPr>
        <w:pStyle w:val="Heading3"/>
      </w:pPr>
      <w:r>
        <w:t xml:space="preserve">5. You have objective test scores — consider citing them</w:t>
      </w:r>
    </w:p>
    <w:p>
      <w:pPr>
        <w:pStyle w:val="FirstParagraph"/>
      </w:pPr>
      <w:r>
        <w:t xml:space="preserve">Marcus completed two validated measures that strongly support what you describe: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DASS-21:</w:t>
      </w:r>
      <w:r>
        <w:t xml:space="preserve"> </w:t>
      </w:r>
      <w:r>
        <w:t xml:space="preserve">Depression, Anxiety, and Stress all scored</w:t>
      </w:r>
      <w:r>
        <w:t xml:space="preserve"> </w:t>
      </w:r>
      <w:r>
        <w:rPr>
          <w:b/>
          <w:bCs/>
        </w:rPr>
        <w:t xml:space="preserve">“Extremely severe”</w:t>
      </w:r>
      <w:r>
        <w:t xml:space="preserve"> </w:t>
      </w:r>
      <w:r>
        <w:t xml:space="preserve">(98th–100th percentile).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WHODAS 2.0:</w:t>
      </w:r>
      <w:r>
        <w:t xml:space="preserve"> </w:t>
      </w:r>
      <w:r>
        <w:t xml:space="preserve">overall disability score of</w:t>
      </w:r>
      <w:r>
        <w:t xml:space="preserve"> </w:t>
      </w:r>
      <w:r>
        <w:rPr>
          <w:b/>
          <w:bCs/>
        </w:rPr>
        <w:t xml:space="preserve">~71%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If these results are consistent with your own assessment, citing</w:t>
      </w:r>
      <w:r>
        <w:t xml:space="preserve"> </w:t>
      </w:r>
      <w:r>
        <w:t xml:space="preserve">them by name gives the reviewer objective numbers to go with your clinical narrative.</w:t>
      </w:r>
    </w:p>
    <w:bookmarkEnd w:id="14"/>
    <w:bookmarkStart w:id="15" w:name="X9c654247c3c86dc1974932469e736fb806747bb"/>
    <w:p>
      <w:pPr>
        <w:pStyle w:val="Heading3"/>
      </w:pPr>
      <w:r>
        <w:t xml:space="preserve">6. Naming the daily-living impact for what it is</w:t>
      </w:r>
    </w:p>
    <w:p>
      <w:pPr>
        <w:pStyle w:val="FirstParagraph"/>
      </w:pPr>
      <w:r>
        <w:t xml:space="preserve">You describe that Marcus cannot reliably maintain his own hygiene and depends on his wife</w:t>
      </w:r>
      <w:r>
        <w:t xml:space="preserve"> </w:t>
      </w:r>
      <w:r>
        <w:t xml:space="preserve">to do it. In VA rating terms, an</w:t>
      </w:r>
      <w:r>
        <w:t xml:space="preserve"> </w:t>
      </w:r>
      <w:r>
        <w:rPr>
          <w:b/>
          <w:bCs/>
        </w:rPr>
        <w:t xml:space="preserve">“inability to perform activities of daily living,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 maintaining minimal personal hygiene”</w:t>
      </w:r>
      <w:r>
        <w:t xml:space="preserve"> </w:t>
      </w:r>
      <w:r>
        <w:t xml:space="preserve">is one of the specific examples the VA</w:t>
      </w:r>
      <w:r>
        <w:t xml:space="preserve"> </w:t>
      </w:r>
      <w:r>
        <w:t xml:space="preserve">lists at its highest severity level.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Question for you:</w:t>
      </w:r>
      <w:r>
        <w:t xml:space="preserve"> </w:t>
      </w:r>
      <w:r>
        <w:t xml:space="preserve">If that is accurate, noting that the times he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well-groomed</w:t>
      </w:r>
      <w:r>
        <w:t xml:space="preserve"> </w:t>
      </w:r>
      <w:r>
        <w:t xml:space="preserve">reflect his wife’s help (not his own ability) makes the point unmistakable to a reviewer.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8f6bf318d91d3577449a38adc7ff6924429a29b"/>
    <w:p>
      <w:pPr>
        <w:pStyle w:val="Heading2"/>
      </w:pPr>
      <w:r>
        <w:t xml:space="preserve">Quick proofreading list (small fixes, not substance)</w:t>
      </w:r>
    </w:p>
    <w:p>
      <w:pPr>
        <w:pStyle w:val="FirstParagraph"/>
      </w:pPr>
      <w:r>
        <w:t xml:space="preserve">These are minor and don’t affect the letter’s strength — just worth a quick pass: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Date of birth</w:t>
      </w:r>
      <w:r>
        <w:t xml:space="preserve"> </w:t>
      </w:r>
      <w:r>
        <w:t xml:space="preserve">shows</w:t>
      </w:r>
      <w:r>
        <w:t xml:space="preserve"> </w:t>
      </w:r>
      <w:r>
        <w:t xml:space="preserve">“30 May</w:t>
      </w:r>
      <w:r>
        <w:t xml:space="preserve"> </w:t>
      </w:r>
      <w:r>
        <w:rPr>
          <w:b/>
          <w:bCs/>
        </w:rPr>
        <w:t xml:space="preserve">1998</w:t>
      </w:r>
      <w:r>
        <w:t xml:space="preserve">”</w:t>
      </w:r>
      <w:r>
        <w:t xml:space="preserve"> </w:t>
      </w:r>
      <w:r>
        <w:t xml:space="preserve">— please confirm (this would make him 14 at the</w:t>
      </w:r>
      <w:r>
        <w:t xml:space="preserve"> </w:t>
      </w:r>
      <w:r>
        <w:t xml:space="preserve">time of the 2012 events).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Phone number</w:t>
      </w:r>
      <w:r>
        <w:t xml:space="preserve"> </w:t>
      </w:r>
      <w:r>
        <w:t xml:space="preserve">appears two ways:</w:t>
      </w:r>
      <w:r>
        <w:t xml:space="preserve"> </w:t>
      </w:r>
      <w:r>
        <w:rPr>
          <w:b/>
          <w:bCs/>
        </w:rPr>
        <w:t xml:space="preserve">512-721-0331</w:t>
      </w:r>
      <w:r>
        <w:t xml:space="preserve"> </w:t>
      </w:r>
      <w:r>
        <w:t xml:space="preserve">(letterhead) and</w:t>
      </w:r>
      <w:r>
        <w:t xml:space="preserve"> </w:t>
      </w:r>
      <w:r>
        <w:rPr>
          <w:b/>
          <w:bCs/>
        </w:rPr>
        <w:t xml:space="preserve">512-712-0331</w:t>
      </w:r>
      <w:r>
        <w:t xml:space="preserve"> </w:t>
      </w:r>
      <w:r>
        <w:t xml:space="preserve">(closing). Please confirm the correct one, since it’s how the VA would reach you.</w:t>
      </w:r>
    </w:p>
    <w:p>
      <w:pPr>
        <w:pStyle w:val="Compact"/>
        <w:numPr>
          <w:ilvl w:val="0"/>
          <w:numId w:val="1010"/>
        </w:numPr>
      </w:pPr>
      <w:r>
        <w:t xml:space="preserve">“filed”</w:t>
      </w:r>
      <w:r>
        <w:t xml:space="preserve"> </w:t>
      </w:r>
      <w:r>
        <w:t xml:space="preserve">→</w:t>
      </w:r>
      <w:r>
        <w:t xml:space="preserve"> </w:t>
      </w:r>
      <w:r>
        <w:t xml:space="preserve">“field”</w:t>
      </w:r>
      <w:r>
        <w:t xml:space="preserve"> </w:t>
      </w:r>
      <w:r>
        <w:t xml:space="preserve">(mental health field)</w:t>
      </w:r>
    </w:p>
    <w:p>
      <w:pPr>
        <w:pStyle w:val="Compact"/>
        <w:numPr>
          <w:ilvl w:val="0"/>
          <w:numId w:val="1010"/>
        </w:numPr>
      </w:pPr>
      <w:r>
        <w:t xml:space="preserve">“estrange himself”</w:t>
      </w:r>
      <w:r>
        <w:t xml:space="preserve"> </w:t>
      </w:r>
      <w:r>
        <w:t xml:space="preserve">→</w:t>
      </w:r>
      <w:r>
        <w:t xml:space="preserve"> </w:t>
      </w:r>
      <w:r>
        <w:t xml:space="preserve">“estranged himself”</w:t>
      </w:r>
    </w:p>
    <w:p>
      <w:pPr>
        <w:pStyle w:val="Compact"/>
        <w:numPr>
          <w:ilvl w:val="0"/>
          <w:numId w:val="1010"/>
        </w:numPr>
      </w:pPr>
      <w:r>
        <w:t xml:space="preserve">“functions a partnership”</w:t>
      </w:r>
      <w:r>
        <w:t xml:space="preserve"> </w:t>
      </w:r>
      <w:r>
        <w:t xml:space="preserve">→</w:t>
      </w:r>
      <w:r>
        <w:t xml:space="preserve"> </w:t>
      </w:r>
      <w:r>
        <w:t xml:space="preserve">“functions</w:t>
      </w:r>
      <w:r>
        <w:t xml:space="preserve"> </w:t>
      </w:r>
      <w:r>
        <w:rPr>
          <w:b/>
          <w:bCs/>
        </w:rPr>
        <w:t xml:space="preserve">as</w:t>
      </w:r>
      <w:r>
        <w:t xml:space="preserve"> </w:t>
      </w:r>
      <w:r>
        <w:t xml:space="preserve">a partnership”</w:t>
      </w:r>
    </w:p>
    <w:p>
      <w:pPr>
        <w:pStyle w:val="Compact"/>
        <w:numPr>
          <w:ilvl w:val="0"/>
          <w:numId w:val="1010"/>
        </w:numPr>
      </w:pPr>
      <w:r>
        <w:t xml:space="preserve">“50%or”</w:t>
      </w:r>
      <w:r>
        <w:t xml:space="preserve"> </w:t>
      </w:r>
      <w:r>
        <w:t xml:space="preserve">→</w:t>
      </w:r>
      <w:r>
        <w:t xml:space="preserve"> </w:t>
      </w:r>
      <w:r>
        <w:t xml:space="preserve">“50% or”</w:t>
      </w:r>
    </w:p>
    <w:p>
      <w:pPr>
        <w:pStyle w:val="Compact"/>
        <w:numPr>
          <w:ilvl w:val="0"/>
          <w:numId w:val="1010"/>
        </w:numPr>
      </w:pPr>
      <w:r>
        <w:t xml:space="preserve">The final sentence reads</w:t>
      </w:r>
      <w:r>
        <w:t xml:space="preserve"> </w:t>
      </w:r>
      <w:r>
        <w:t xml:space="preserve">“chronically aggravated</w:t>
      </w:r>
      <w:r>
        <w:rPr>
          <w:b/>
          <w:bCs/>
        </w:rPr>
        <w:t xml:space="preserve">,</w:t>
      </w:r>
      <w:r>
        <w:t xml:space="preserve"> </w:t>
      </w:r>
      <w:r>
        <w:t xml:space="preserve">the sexual assault”</w:t>
      </w:r>
      <w:r>
        <w:t xml:space="preserve"> </w:t>
      </w:r>
      <w:r>
        <w:t xml:space="preserve">— appears to be</w:t>
      </w:r>
      <w:r>
        <w:t xml:space="preserve"> </w:t>
      </w:r>
      <w:r>
        <w:t xml:space="preserve">missing the word</w:t>
      </w:r>
      <w:r>
        <w:t xml:space="preserve"> </w:t>
      </w:r>
      <w:r>
        <w:rPr>
          <w:b/>
          <w:bCs/>
        </w:rPr>
        <w:t xml:space="preserve">“by”</w:t>
      </w:r>
      <w:r>
        <w:t xml:space="preserve"> </w:t>
      </w:r>
      <w:r>
        <w:t xml:space="preserve">(</w:t>
      </w:r>
      <w:r>
        <w:t xml:space="preserve">“aggravated</w:t>
      </w:r>
      <w:r>
        <w:t xml:space="preserve"> </w:t>
      </w:r>
      <w:r>
        <w:rPr>
          <w:b/>
          <w:bCs/>
        </w:rPr>
        <w:t xml:space="preserve">by</w:t>
      </w:r>
      <w:r>
        <w:t xml:space="preserve"> </w:t>
      </w:r>
      <w:r>
        <w:t xml:space="preserve">the sexual assault”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This is already a strong letter that establishes the service connection clearly. The</w:t>
      </w:r>
      <w:r>
        <w:t xml:space="preserve"> </w:t>
      </w:r>
      <w:r>
        <w:t xml:space="preserve">suggestions above are about making the</w:t>
      </w:r>
      <w:r>
        <w:t xml:space="preserve"> </w:t>
      </w:r>
      <w:r>
        <w:rPr>
          <w:i/>
          <w:iCs/>
        </w:rPr>
        <w:t xml:space="preserve">severity</w:t>
      </w:r>
      <w:r>
        <w:t xml:space="preserve"> </w:t>
      </w:r>
      <w:r>
        <w:t xml:space="preserve">— which you know firsthand — come through</w:t>
      </w:r>
      <w:r>
        <w:t xml:space="preserve"> </w:t>
      </w:r>
      <w:r>
        <w:t xml:space="preserve">just as clearly to a reviewer who has never met Marcus. Please treat every one as a</w:t>
      </w:r>
      <w:r>
        <w:t xml:space="preserve"> </w:t>
      </w:r>
      <w:r>
        <w:t xml:space="preserve">question, not a request:</w:t>
      </w:r>
      <w:r>
        <w:t xml:space="preserve"> </w:t>
      </w:r>
      <w:r>
        <w:rPr>
          <w:b/>
          <w:bCs/>
        </w:rPr>
        <w:t xml:space="preserve">only include what is true in your own clinical judgment.</w:t>
      </w:r>
    </w:p>
    <w:p>
      <w:pPr>
        <w:pStyle w:val="BodyText"/>
      </w:pPr>
      <w:r>
        <w:t xml:space="preserve">With appreciation for your care of Marcus,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research/clerical assistance to help organize feedback. It is not legal</w:t>
      </w:r>
      <w:r>
        <w:rPr>
          <w:i/>
          <w:iCs/>
        </w:rPr>
        <w:t xml:space="preserve"> </w:t>
      </w:r>
      <w:r>
        <w:rPr>
          <w:i/>
          <w:iCs/>
        </w:rPr>
        <w:t xml:space="preserve">or medical advice and does not direct the clinician’s opinion. Cherie Mills, LCSW exercises</w:t>
      </w:r>
      <w:r>
        <w:rPr>
          <w:i/>
          <w:iCs/>
        </w:rPr>
        <w:t xml:space="preserve"> </w:t>
      </w:r>
      <w:r>
        <w:rPr>
          <w:i/>
          <w:iCs/>
        </w:rPr>
        <w:t xml:space="preserve">her own independent clinical judgment on all content.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2026-07-17T23:34:26Z</dcterms:created>
  <dcterms:modified xsi:type="dcterms:W3CDTF">2026-07-17T23:34:26Z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