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c71cb0269d574b3d7160bd171139b8dcee0c63"/>
    <w:p>
      <w:pPr>
        <w:pStyle w:val="Heading1"/>
      </w:pPr>
      <w:r>
        <w:t xml:space="preserve">Nexus Letter Evaluation — Cherie Mills, LCSW (Revision 1)</w:t>
      </w:r>
    </w:p>
    <w:p>
      <w:pPr>
        <w:pStyle w:val="FirstParagraph"/>
      </w:pPr>
      <w:r>
        <w:t xml:space="preserve">I’ve read the letter in full and have the corpus context from the earlier consistency sweep (I’m reusing those Stage-2 findings rather than re-running, since the letter’s facts touch the whole file). Evaluating substance only — clerical items (the DOB</w:t>
      </w:r>
      <w:r>
        <w:t xml:space="preserve"> </w:t>
      </w:r>
      <w:r>
        <w:t xml:space="preserve">“1998”</w:t>
      </w:r>
      <w:r>
        <w:t xml:space="preserve">, the</w:t>
      </w:r>
      <w:r>
        <w:t xml:space="preserve"> </w:t>
      </w:r>
      <w:r>
        <w:t xml:space="preserve">“Kline”</w:t>
      </w:r>
      <w:r>
        <w:t xml:space="preserve">/</w:t>
      </w:r>
      <w:r>
        <w:t xml:space="preserve">“Klein”</w:t>
      </w:r>
      <w:r>
        <w:t xml:space="preserve"> </w:t>
      </w:r>
      <w:r>
        <w:t xml:space="preserve">and phone slips, the missing</w:t>
      </w:r>
      <w:r>
        <w:t xml:space="preserve"> </w:t>
      </w:r>
      <w:r>
        <w:t xml:space="preserve">“by”</w:t>
      </w:r>
      <w:r>
        <w:t xml:space="preserve"> </w:t>
      </w:r>
      <w:r>
        <w:t xml:space="preserve">in the conclusion sentence,</w:t>
      </w:r>
      <w:r>
        <w:t xml:space="preserve"> </w:t>
      </w:r>
      <w:r>
        <w:t xml:space="preserve">“filed”</w:t>
      </w:r>
      <w:r>
        <w:t xml:space="preserve">→</w:t>
      </w:r>
      <w:r>
        <w:t xml:space="preserve">“field”</w:t>
      </w:r>
      <w:r>
        <w:t xml:space="preserve">) are noted once for a separate cleanup list and are not part of the grade.</w:t>
      </w:r>
    </w:p>
    <w:p>
      <w:pPr>
        <w:pStyle w:val="BodyText"/>
      </w:pPr>
      <w:r>
        <w:rPr>
          <w:b/>
          <w:bCs/>
        </w:rPr>
        <w:t xml:space="preserve">Target being graded against:</w:t>
      </w:r>
      <w:r>
        <w:t xml:space="preserve"> </w:t>
      </w:r>
      <w:r>
        <w:t xml:space="preserve">service connection for the MH package (PTSD-MST + MDD/GAD/OCD, secondary SUD), and the rating ceiling you’re pursuing — 100% schedular under 38 C.F.R. § 4.130 (with 70% as the floor). The letter cites no case law or CFR, so there’s nothing for citation-verification here — it’s a pure clinical opinion.</w:t>
      </w:r>
    </w:p>
    <w:bookmarkStart w:id="9" w:name="overall-grade"/>
    <w:p>
      <w:pPr>
        <w:pStyle w:val="Heading2"/>
      </w:pPr>
      <w:r>
        <w:t xml:space="preserve">Overall grade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12"/>
        <w:gridCol w:w="5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One-line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a service-connection (nexus) instrument</w:t>
            </w:r>
          </w:p>
        </w:tc>
        <w:tc>
          <w:tcPr/>
          <w:p>
            <w:pPr>
              <w:pStyle w:val="Compact"/>
            </w:pPr>
            <w:r>
              <w:t xml:space="preserve">7.5 / 10</w:t>
            </w:r>
          </w:p>
        </w:tc>
        <w:tc>
          <w:tcPr/>
          <w:p>
            <w:pPr>
              <w:pStyle w:val="Compact"/>
            </w:pPr>
            <w:r>
              <w:t xml:space="preserve">All required elements present and correctly stated; docked for a conclusory rationale and for not addressing the competing etiology in the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a driver of the target rating (100% schedular)</w:t>
            </w:r>
          </w:p>
        </w:tc>
        <w:tc>
          <w:tcPr/>
          <w:p>
            <w:pPr>
              <w:pStyle w:val="Compact"/>
            </w:pPr>
            <w:r>
              <w:t xml:space="preserve">6 / 10</w:t>
            </w:r>
          </w:p>
        </w:tc>
        <w:tc>
          <w:tcPr/>
          <w:p>
            <w:pPr>
              <w:pStyle w:val="Compact"/>
            </w:pPr>
            <w:r>
              <w:t xml:space="preserve">Robustly supports 70%; reaches for 100% with</w:t>
            </w:r>
            <w:r>
              <w:t xml:space="preserve"> </w:t>
            </w:r>
            <w:r>
              <w:t xml:space="preserve">“total impairment”</w:t>
            </w:r>
            <w:r>
              <w:t xml:space="preserve"> </w:t>
            </w:r>
            <w:r>
              <w:t xml:space="preserve">language its own facts contradict — over-reach that a rater can discount.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content</w:t>
            </w:r>
          </w:p>
        </w:tc>
        <w:tc>
          <w:tcPr/>
          <w:p>
            <w:pPr>
              <w:pStyle w:val="Compact"/>
            </w:pPr>
            <w:r>
              <w:t xml:space="preserve">≈ 7 / 10</w:t>
            </w:r>
          </w:p>
        </w:tc>
        <w:tc>
          <w:tcPr/>
          <w:p>
            <w:pPr>
              <w:pStyle w:val="Compact"/>
            </w:pPr>
            <w:r>
              <w:t xml:space="preserve">A genuinely strong, legally-complete opinion whose weaknesses are over-reach and thin rationale, not missing substance.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This is a good nexus letter that does the hard part well (diagnosis + stressor + correct standard + both prongs + secondary theory + the minimization doctrine) — but it leaves weight on the table for the nexus and over-reaches on the rating, and both are fixable with a short addendum in Cherie’s own judgment.</w:t>
      </w:r>
    </w:p>
    <w:bookmarkEnd w:id="9"/>
    <w:bookmarkStart w:id="10" w:name="strengths-what-makes-it-work"/>
    <w:p>
      <w:pPr>
        <w:pStyle w:val="Heading2"/>
      </w:pPr>
      <w:r>
        <w:t xml:space="preserve">Strengths (what makes it work)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three service-connection elements are present and correctly stated.</w:t>
      </w:r>
      <w:r>
        <w:t xml:space="preserve"> </w:t>
      </w:r>
      <w:r>
        <w:t xml:space="preserve">Competent DSM-5 diagnoses (¶37); an identified in-service stressor (the MST); and the nexus at the exact legal threshold —</w:t>
      </w:r>
      <w:r>
        <w:t xml:space="preserve"> </w:t>
      </w:r>
      <w:r>
        <w:t xml:space="preserve">“at least as likely as not, (a 50% or greater probability)”</w:t>
      </w:r>
      <w:r>
        <w:t xml:space="preserve"> </w:t>
      </w:r>
      <w:r>
        <w:t xml:space="preserve">(¶57). Many letters botch the standard; this one nails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covers all four MH diagnoses, not just PTSD</w:t>
      </w:r>
      <w:r>
        <w:t xml:space="preserve"> </w:t>
      </w:r>
      <w:r>
        <w:t xml:space="preserve">(¶57:</w:t>
      </w:r>
      <w:r>
        <w:t xml:space="preserve"> </w:t>
      </w:r>
      <w:r>
        <w:t xml:space="preserve">“PTSD, MDD, OCD and GAD”</w:t>
      </w:r>
      <w:r>
        <w:t xml:space="preserve">), and states both the direct theory and the secondary SUD theory at the correct standard (¶49). That breadth matters — if PTSD specifically is contested, the MDD/GAD/OCD nexus still stands.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builds in the minimization doctrine</w:t>
      </w:r>
      <w:r>
        <w:t xml:space="preserve"> </w:t>
      </w:r>
      <w:r>
        <w:t xml:space="preserve">(¶53: male survivors of female-perpetrator assault</w:t>
      </w:r>
      <w:r>
        <w:t xml:space="preserve"> </w:t>
      </w:r>
      <w:r>
        <w:t xml:space="preserve">“commonly not categorized… as</w:t>
      </w:r>
      <w:r>
        <w:t xml:space="preserve"> </w:t>
      </w:r>
      <w:r>
        <w:t xml:space="preserve">‘assault’</w:t>
      </w:r>
      <w:r>
        <w:t xml:space="preserve">”</w:t>
      </w:r>
      <w:r>
        <w:t xml:space="preserve">) — the single most important move, because it pre-explains the delayed disclosure and the treatment-record denials.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proactively reconciles the suicidal-ideation conflict</w:t>
      </w:r>
      <w:r>
        <w:t xml:space="preserve"> </w:t>
      </w:r>
      <w:r>
        <w:t xml:space="preserve">(¶39: denied SI at inpatient admission</w:t>
      </w:r>
      <w:r>
        <w:t xml:space="preserve"> </w:t>
      </w:r>
      <w:r>
        <w:t xml:space="preserve">“to avoid being placed on involuntary hold”</w:t>
      </w:r>
      <w:r>
        <w:t xml:space="preserve">) — anticipating the exact attack the record invites.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addresses both § 4.130 prongs — occupational AND social</w:t>
      </w:r>
      <w:r>
        <w:t xml:space="preserve"> </w:t>
      </w:r>
      <w:r>
        <w:t xml:space="preserve">(¶¶41–45), where weaker letters do only</w:t>
      </w:r>
      <w:r>
        <w:t xml:space="preserve"> </w:t>
      </w:r>
      <w:r>
        <w:t xml:space="preserve">“can’t work.”</w:t>
      </w:r>
      <w:r>
        <w:t xml:space="preserve"> </w:t>
      </w:r>
      <w:r>
        <w:t xml:space="preserve">The hygiene/ADL dependence (¶43: wife washes/picks his clothes, reminds him to brush his teeth, manages appointments) is the strongest single detail in the letter.</w:t>
      </w:r>
    </w:p>
    <w:bookmarkEnd w:id="10"/>
    <w:bookmarkStart w:id="11" w:name="X5aca3c77cd583fe7fe94384bc08f45064e49a47"/>
    <w:p>
      <w:pPr>
        <w:pStyle w:val="Heading2"/>
      </w:pPr>
      <w:r>
        <w:t xml:space="preserve">Weaknesses (each tied to a line + the doctrine it implicates)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Over-reach on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impairment,”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contradicted by the letter’s own facts — its most exploitable flaw.</w:t>
      </w:r>
      <w:r>
        <w:t xml:space="preserve"> </w:t>
      </w:r>
      <w:r>
        <w:t xml:space="preserve">¶45 asserts</w:t>
      </w:r>
      <w:r>
        <w:t xml:space="preserve"> </w:t>
      </w:r>
      <w:r>
        <w:t xml:space="preserve">“severe to total impairment in the occupational realm,”</w:t>
      </w:r>
      <w:r>
        <w:t xml:space="preserve"> </w:t>
      </w:r>
      <w:r>
        <w:t xml:space="preserve">but the same paragraph says he</w:t>
      </w:r>
      <w:r>
        <w:t xml:space="preserve"> </w:t>
      </w:r>
      <w:r>
        <w:t xml:space="preserve">“fluctuate[s]… between obsessive overworking”</w:t>
      </w:r>
      <w:r>
        <w:t xml:space="preserve"> </w:t>
      </w:r>
      <w:r>
        <w:t xml:space="preserve">and shutdown, and ¶45 volunteers that employers showed him</w:t>
      </w:r>
      <w:r>
        <w:t xml:space="preserve"> </w:t>
      </w:r>
      <w:r>
        <w:t xml:space="preserve">“evidence… regarding his value in the role.”</w:t>
      </w:r>
      <w:r>
        <w:t xml:space="preserve"> </w:t>
      </w:r>
      <w:r>
        <w:t xml:space="preserve">A rater reads</w:t>
      </w:r>
      <w:r>
        <w:t xml:space="preserve"> </w:t>
      </w:r>
      <w:r>
        <w:t xml:space="preserve">“totally occupationally impaired”</w:t>
      </w:r>
      <w:r>
        <w:t xml:space="preserve"> </w:t>
      </w:r>
      <w:r>
        <w:t xml:space="preserve">next to</w:t>
      </w:r>
      <w:r>
        <w:t xml:space="preserve"> </w:t>
      </w:r>
      <w:r>
        <w:t xml:space="preserve">“obsessively overworks and was a valued employee”</w:t>
      </w:r>
      <w:r>
        <w:t xml:space="preserve"> </w:t>
      </w:r>
      <w:r>
        <w:t xml:space="preserve">and discounts the conclusion (Vazquez-Claudio — symptoms must be shown to cause the impairment claimed; internal contradiction is the classic denial hook). Likewise ¶41 claims</w:t>
      </w:r>
      <w:r>
        <w:t xml:space="preserve"> </w:t>
      </w:r>
      <w:r>
        <w:t xml:space="preserve">“total impairment in social… realms”</w:t>
      </w:r>
      <w:r>
        <w:t xml:space="preserve"> </w:t>
      </w:r>
      <w:r>
        <w:t xml:space="preserve">while the same paragraph describes AA attendance and a commitment to</w:t>
      </w:r>
      <w:r>
        <w:t xml:space="preserve"> </w:t>
      </w:r>
      <w:r>
        <w:t xml:space="preserve">“one social outing a week.”</w:t>
      </w:r>
      <w:r>
        <w:t xml:space="preserve"> </w:t>
      </w:r>
      <w:r>
        <w:t xml:space="preserve">“Total social impairment”</w:t>
      </w:r>
      <w:r>
        <w:t xml:space="preserve"> </w:t>
      </w:r>
      <w:r>
        <w:t xml:space="preserve">collides with his own documented social activity.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nexus rationale is conclusory.</w:t>
      </w:r>
      <w:r>
        <w:t xml:space="preserve"> </w:t>
      </w:r>
      <w:r>
        <w:t xml:space="preserve">¶53 asserts symptoms are</w:t>
      </w:r>
      <w:r>
        <w:t xml:space="preserve"> </w:t>
      </w:r>
      <w:r>
        <w:t xml:space="preserve">“directly tied”</w:t>
      </w:r>
      <w:r>
        <w:t xml:space="preserve"> </w:t>
      </w:r>
      <w:r>
        <w:t xml:space="preserve">to the assault and that there’s</w:t>
      </w:r>
      <w:r>
        <w:t xml:space="preserve"> </w:t>
      </w:r>
      <w:r>
        <w:t xml:space="preserve">“a clear continuity of symptomology,”</w:t>
      </w:r>
      <w:r>
        <w:t xml:space="preserve"> </w:t>
      </w:r>
      <w:r>
        <w:t xml:space="preserve">but it doesn’t explain the medical mechanism connecting the MST to each diagnosis. Under Nieves-Rodriguez v. Peake, a medical opinion’s weight comes from its reasoning, not its conclusion — a stated</w:t>
      </w:r>
      <w:r>
        <w:t xml:space="preserve"> </w:t>
      </w:r>
      <w:r>
        <w:t xml:space="preserve">“why”</w:t>
      </w:r>
      <w:r>
        <w:t xml:space="preserve"> </w:t>
      </w:r>
      <w:r>
        <w:t xml:space="preserve">is worth far more than</w:t>
      </w:r>
      <w:r>
        <w:t xml:space="preserve"> </w:t>
      </w:r>
      <w:r>
        <w:t xml:space="preserve">“it’s related.”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never addresses the competing etiology in the record.</w:t>
      </w:r>
      <w:r>
        <w:t xml:space="preserve"> </w:t>
      </w:r>
      <w:r>
        <w:t xml:space="preserve">The 2023 Starlite biopsychosocial attributes his distress to childhood neglect / autism-spectrum / work stress with no MST mention. A rater who has that note in front of them and a nexus letter that ignores it will weigh the silence against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Symptom detail is uneven on frequency/severity/duration.</w:t>
      </w:r>
      <w:r>
        <w:t xml:space="preserve"> </w:t>
      </w:r>
      <w:r>
        <w:t xml:space="preserve">Some is excellent (</w:t>
      </w:r>
      <w:r>
        <w:t xml:space="preserve">“panic attacks more mornings than not,”</w:t>
      </w:r>
      <w:r>
        <w:t xml:space="preserve"> </w:t>
      </w:r>
      <w:r>
        <w:t xml:space="preserve">“suicidal thoughts daily,”</w:t>
      </w:r>
      <w:r>
        <w:t xml:space="preserve"> </w:t>
      </w:r>
      <w:r>
        <w:t xml:space="preserve">“6 to 7 years”</w:t>
      </w:r>
      <w:r>
        <w:t xml:space="preserve"> </w:t>
      </w:r>
      <w:r>
        <w:t xml:space="preserve">of isolation); other symptoms are listed as mere presence (¶39’s string of</w:t>
      </w:r>
      <w:r>
        <w:t xml:space="preserve"> </w:t>
      </w:r>
      <w:r>
        <w:t xml:space="preserve">“hypervigilance, social isolation, anhedonia…”</w:t>
      </w:r>
      <w:r>
        <w:t xml:space="preserve">). Vazquez-Claudio rewards the former.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 is an LCSW.</w:t>
      </w:r>
      <w:r>
        <w:t xml:space="preserve"> </w:t>
      </w:r>
      <w:r>
        <w:t xml:space="preserve">Competent to diagnose and opine — but for an initial PTSD claim VA typically weights a psychologist/psychiatrist (and its own C&amp;P) more heavily. Not a defect in the letter, but a ceiling on its standalone weight.</w:t>
      </w:r>
    </w:p>
    <w:bookmarkEnd w:id="11"/>
    <w:bookmarkStart w:id="12" w:name="X7a322c8df93c6beee39d027d79a198f8e9bb8ba"/>
    <w:p>
      <w:pPr>
        <w:pStyle w:val="Heading2"/>
      </w:pPr>
      <w:r>
        <w:t xml:space="preserve">Improvements — to content already in the letter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Reconcile the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occupational”</w:t>
      </w:r>
      <w:r>
        <w:rPr>
          <w:b/>
          <w:bCs/>
        </w:rPr>
        <w:t xml:space="preserve"> </w:t>
      </w:r>
      <w:r>
        <w:rPr>
          <w:b/>
          <w:bCs/>
        </w:rPr>
        <w:t xml:space="preserve">claim rather than assert it.</w:t>
      </w:r>
      <w:r>
        <w:t xml:space="preserve"> </w:t>
      </w:r>
      <w:r>
        <w:t xml:space="preserve">The fix is accuracy, not softening: with the June 2026 job loss and career exit, total occupational impairment is now genuinely supportable — but the letter’s</w:t>
      </w:r>
      <w:r>
        <w:t xml:space="preserve"> </w:t>
      </w:r>
      <w:r>
        <w:t xml:space="preserve">“overworking / valued employee”</w:t>
      </w:r>
      <w:r>
        <w:t xml:space="preserve"> </w:t>
      </w:r>
      <w:r>
        <w:t xml:space="preserve">language needs to be reframed in Cherie’s judgment as pathological overwork that ultimately collapsed into unemployment, not evidence of capacity. As written, that line is an own-goal.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Convert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social impairment”</w:t>
      </w:r>
      <w:r>
        <w:rPr>
          <w:b/>
          <w:bCs/>
        </w:rPr>
        <w:t xml:space="preserve"> </w:t>
      </w:r>
      <w:r>
        <w:rPr>
          <w:b/>
          <w:bCs/>
        </w:rPr>
        <w:t xml:space="preserve">into a precise, defensible claim.</w:t>
      </w:r>
      <w:r>
        <w:t xml:space="preserve"> </w:t>
      </w:r>
      <w:r>
        <w:t xml:space="preserve">Her own facts support</w:t>
      </w:r>
      <w:r>
        <w:t xml:space="preserve"> </w:t>
      </w:r>
      <w:r>
        <w:t xml:space="preserve">“socially isolated to a caretaker-dependency and AA, with no reciprocal relationships”</w:t>
      </w:r>
      <w:r>
        <w:t xml:space="preserve"> </w:t>
      </w:r>
      <w:r>
        <w:t xml:space="preserve">— which is powerful and accurate.</w:t>
      </w:r>
      <w:r>
        <w:t xml:space="preserve"> </w:t>
      </w:r>
      <w:r>
        <w:t xml:space="preserve">“Total”</w:t>
      </w:r>
      <w:r>
        <w:t xml:space="preserve"> </w:t>
      </w:r>
      <w:r>
        <w:t xml:space="preserve">invites the AA/marriage rebuttal; the specific version doesn’t.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Put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“why”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nexus paragraph.</w:t>
      </w:r>
      <w:r>
        <w:t xml:space="preserve"> </w:t>
      </w:r>
      <w:r>
        <w:t xml:space="preserve">¶53 would carry far more weight if it explained the mechanism — how the symptom continuity, the self-medication pattern, and the trauma presentation medically establish the MST as the cause — rather than stating that they do.</w:t>
      </w:r>
    </w:p>
    <w:bookmarkEnd w:id="12"/>
    <w:bookmarkStart w:id="13" w:name="Xb3d4ddd9cb74718c3dac87a0db9fdd901ef0e8e"/>
    <w:p>
      <w:pPr>
        <w:pStyle w:val="Heading2"/>
      </w:pPr>
      <w:r>
        <w:t xml:space="preserve">Additions toward the target — only if true and in Cherie’s own genuine judgment</w:t>
      </w:r>
    </w:p>
    <w:p>
      <w:pPr>
        <w:pStyle w:val="FirstParagraph"/>
      </w:pPr>
      <w:r>
        <w:rPr>
          <w:i/>
          <w:iCs/>
        </w:rPr>
        <w:t xml:space="preserve">(These are gaps to raise with her; I am not drafting her opinion — she supplies the content if her clinical judgment supports it.)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 the competing etiology head-on.</w:t>
      </w:r>
      <w:r>
        <w:t xml:space="preserve"> </w:t>
      </w:r>
      <w:r>
        <w:t xml:space="preserve">Whether, in her clinical view, the childhood/work stressors are separable from or subsumed within the MST-driven picture. Closing this is high-value.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 the ADL/hygiene dependence as what it is.</w:t>
      </w:r>
      <w:r>
        <w:t xml:space="preserve"> </w:t>
      </w:r>
      <w:r>
        <w:t xml:space="preserve">¶43 describes an</w:t>
      </w:r>
      <w:r>
        <w:t xml:space="preserve"> </w:t>
      </w:r>
      <w:r>
        <w:t xml:space="preserve">“intermittent inability to perform activities of daily living (including maintenance of minimal personal hygiene)”</w:t>
      </w:r>
      <w:r>
        <w:t xml:space="preserve"> </w:t>
      </w:r>
      <w:r>
        <w:t xml:space="preserve">— that is a symptom listed at the 100% level in § 4.130 itself. The letter describes it but doesn’t label its significance; if her judgment supports it, saying so explicitly (and noting that</w:t>
      </w:r>
      <w:r>
        <w:t xml:space="preserve"> </w:t>
      </w:r>
      <w:r>
        <w:t xml:space="preserve">“well-groomed”</w:t>
      </w:r>
      <w:r>
        <w:t xml:space="preserve"> </w:t>
      </w:r>
      <w:r>
        <w:t xml:space="preserve">clinical snapshots reflect his wife grooming him, not self-maintenance) is the strongest single move toward 100%.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 the frequency/severity of the 70%-and-up symptoms to functional loss, not just presence.</w:t>
      </w:r>
    </w:p>
    <w:p>
      <w:pPr>
        <w:pStyle w:val="Compact"/>
        <w:numPr>
          <w:ilvl w:val="0"/>
          <w:numId w:val="1004"/>
        </w:numPr>
      </w:pPr>
      <w:r>
        <w:t xml:space="preserve">Consider whether a completed DBQ (with the global-impairment checkbox + narrative) from her or, better, the doctoral-level provider she references, would carry the rating harder than a letter.</w:t>
      </w:r>
    </w:p>
    <w:bookmarkEnd w:id="13"/>
    <w:bookmarkStart w:id="14" w:name="highest-leverage-moves-in-order"/>
    <w:p>
      <w:pPr>
        <w:pStyle w:val="Heading2"/>
      </w:pPr>
      <w:r>
        <w:t xml:space="preserve">Highest-leverage moves, in order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the over-reach</w:t>
      </w:r>
      <w:r>
        <w:t xml:space="preserve"> </w:t>
      </w:r>
      <w:r>
        <w:t xml:space="preserve">— reframe</w:t>
      </w:r>
      <w:r>
        <w:t xml:space="preserve"> </w:t>
      </w:r>
      <w:r>
        <w:t xml:space="preserve">“total occupational/social impairment”</w:t>
      </w:r>
      <w:r>
        <w:t xml:space="preserve"> </w:t>
      </w:r>
      <w:r>
        <w:t xml:space="preserve">into the accurate, evidence-matched version (now genuinely strong given your unemployment). This removes the letter’s single biggest discount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Address the competing etiology</w:t>
      </w:r>
      <w:r>
        <w:t xml:space="preserve"> </w:t>
      </w:r>
      <w:r>
        <w:t xml:space="preserve">(childhood/work vs. MST) — the biggest unguarded flank.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“why”</w:t>
      </w:r>
      <w:r>
        <w:t xml:space="preserve"> </w:t>
      </w:r>
      <w:r>
        <w:t xml:space="preserve">to the nexus rationale — turns a competent opinion into a heavily-weighted one under Nieves-Rodriguez.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Explicitly frame the ADL/hygiene dependence as the § 4.130 100% criterion</w:t>
      </w:r>
      <w:r>
        <w:t xml:space="preserve"> </w:t>
      </w:r>
      <w:r>
        <w:t xml:space="preserve">— the cleanest path from 70% toward 100% schedular.</w:t>
      </w:r>
    </w:p>
    <w:bookmarkEnd w:id="14"/>
    <w:bookmarkStart w:id="1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As a service-connection instrument this letter is strong and does its job — it will help establish the claim. As a 100% driver it currently argues past its own facts; tightened to what the record actually supports (which, post-unemployment, is a lot), it becomes far more persuasive. None of the fixes require reaching beyond the truth — they require accuracy and rationale, which is exactly what raters reward.</w:t>
      </w:r>
    </w:p>
    <w:p>
      <w:pPr>
        <w:pStyle w:val="BodyText"/>
      </w:pPr>
      <w:r>
        <w:rPr>
          <w:i/>
          <w:iCs/>
        </w:rPr>
        <w:t xml:space="preserve">Clerical cleanup (one line, no grade weight): DOB</w:t>
      </w:r>
      <w:r>
        <w:rPr>
          <w:i/>
          <w:iCs/>
        </w:rPr>
        <w:t xml:space="preserve"> </w:t>
      </w:r>
      <w:r>
        <w:rPr>
          <w:i/>
          <w:iCs/>
        </w:rPr>
        <w:t xml:space="preserve">“1998”</w:t>
      </w:r>
      <w:r>
        <w:rPr>
          <w:i/>
          <w:iCs/>
        </w:rPr>
        <w:t xml:space="preserve">→1989;</w:t>
      </w:r>
      <w:r>
        <w:rPr>
          <w:i/>
          <w:iCs/>
        </w:rPr>
        <w:t xml:space="preserve"> </w:t>
      </w:r>
      <w:r>
        <w:rPr>
          <w:i/>
          <w:iCs/>
        </w:rPr>
        <w:t xml:space="preserve">“Kline”</w:t>
      </w:r>
      <w:r>
        <w:rPr>
          <w:i/>
          <w:iCs/>
        </w:rPr>
        <w:t xml:space="preserve">→Klein; phone 512-712 vs 512-721;</w:t>
      </w:r>
      <w:r>
        <w:rPr>
          <w:i/>
          <w:iCs/>
        </w:rPr>
        <w:t xml:space="preserve"> </w:t>
      </w:r>
      <w:r>
        <w:rPr>
          <w:i/>
          <w:iCs/>
        </w:rPr>
        <w:t xml:space="preserve">“filed”</w:t>
      </w:r>
      <w:r>
        <w:rPr>
          <w:i/>
          <w:iCs/>
        </w:rPr>
        <w:t xml:space="preserve">→field; and the conclusion’s</w:t>
      </w:r>
      <w:r>
        <w:rPr>
          <w:i/>
          <w:iCs/>
        </w:rPr>
        <w:t xml:space="preserve"> </w:t>
      </w:r>
      <w:r>
        <w:rPr>
          <w:i/>
          <w:iCs/>
        </w:rPr>
        <w:t xml:space="preserve">“chronically aggravated[,] the sexual assault”</w:t>
      </w:r>
      <w:r>
        <w:rPr>
          <w:i/>
          <w:iCs/>
        </w:rPr>
        <w:t xml:space="preserve"> </w:t>
      </w:r>
      <w:r>
        <w:rPr>
          <w:i/>
          <w:iCs/>
        </w:rPr>
        <w:t xml:space="preserve">is missing a</w:t>
      </w:r>
      <w:r>
        <w:rPr>
          <w:i/>
          <w:iCs/>
        </w:rPr>
        <w:t xml:space="preserve"> </w:t>
      </w:r>
      <w:r>
        <w:rPr>
          <w:i/>
          <w:iCs/>
        </w:rPr>
        <w:t xml:space="preserve">“by”</w:t>
      </w:r>
      <w:r>
        <w:rPr>
          <w:i/>
          <w:iCs/>
        </w:rPr>
        <w:t xml:space="preserve"> </w:t>
      </w:r>
      <w:r>
        <w:rPr>
          <w:i/>
          <w:iCs/>
        </w:rPr>
        <w:t xml:space="preserve">— worth fixing since it’s in the operative nexus sentence.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assistance, not legal or medical advice — consult an accredited VSO or VA-accredited attorney, and the treating clinician exercises their own independent clinical judgment on any addendum.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2026-07-16T20:53:36Z</dcterms:created>
  <dcterms:modified xsi:type="dcterms:W3CDTF">2026-07-16T20:53:36Z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