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F3864"/>
          <w:sz w:val="56"/>
          <w:szCs w:val="56"/>
        </w:rPr>
        <w:t xml:space="preserve">Recovery-Industry Venture</w:t>
      </w:r>
    </w:p>
    <w:p>
      <w:pPr>
        <w:spacing w:after="400"/>
      </w:pPr>
      <w:r>
        <w:rPr>
          <w:color w:val="1F3864"/>
          <w:sz w:val="40"/>
          <w:szCs w:val="40"/>
        </w:rPr>
        <w:t xml:space="preserve">Strategic Options Memo</w:t>
      </w:r>
    </w:p>
    <w:p>
      <w:pPr>
        <w:pBdr>
          <w:top w:val="single" w:color="1F3864" w:sz="12" w:space="8"/>
        </w:pBdr>
        <w:spacing w:after="3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Prepared:  </w:t>
      </w:r>
      <w:r>
        <w:rPr>
          <w:sz w:val="22"/>
          <w:szCs w:val="22"/>
        </w:rPr>
        <w:t xml:space="preserve">6 October 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Revision:  </w:t>
      </w:r>
      <w:r>
        <w:rPr>
          <w:sz w:val="22"/>
          <w:szCs w:val="22"/>
        </w:rPr>
        <w:t xml:space="preserve">2 — post-adversarial-review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 </w:t>
      </w:r>
      <w:r>
        <w:rPr>
          <w:sz w:val="22"/>
          <w:szCs w:val="22"/>
        </w:rPr>
        <w:t xml:space="preserve">Private planning draft — option evaluation only</w:t>
      </w:r>
    </w:p>
    <w:p>
      <w:pPr>
        <w:pBdr>
          <w:top w:val="single" w:color="BF9000" w:sz="6" w:space="10"/>
          <w:left w:val="single" w:color="BF9000" w:sz="6" w:space="10"/>
          <w:bottom w:val="single" w:color="BF9000" w:sz="6" w:space="10"/>
          <w:right w:val="single" w:color="BF9000" w:sz="6" w:space="10"/>
        </w:pBdr>
        <w:shd w:fill="FFF2CC" w:color="auto" w:val="clear"/>
        <w:spacing w:after="0" w:before="400"/>
      </w:pPr>
      <w:r>
        <w:rPr>
          <w:i/>
          <w:iCs/>
          <w:sz w:val="20"/>
          <w:szCs w:val="20"/>
        </w:rPr>
        <w:t xml:space="preserve">Scope: Evaluation of options and the assumptions each depends on. Not a commitment, not a launch plan, not a revenue projection. No action in this document has been taken or decided. Where it uses numbers, they are sensitivities — what would have to hold for an outcome to occur — not forecasts.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0.</w:t>
      </w:r>
      <w:r>
        <w:rPr>
          <w:sz w:val="22"/>
          <w:szCs w:val="22"/>
        </w:rPr>
        <w:t xml:space="preserve">  Executive summary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1.</w:t>
      </w:r>
      <w:r>
        <w:rPr>
          <w:sz w:val="22"/>
          <w:szCs w:val="22"/>
        </w:rPr>
        <w:t xml:space="preserve">  What is actually built, and what customers actually pay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2.</w:t>
      </w:r>
      <w:r>
        <w:rPr>
          <w:sz w:val="22"/>
          <w:szCs w:val="22"/>
        </w:rPr>
        <w:t xml:space="preserve">  Market reality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3.</w:t>
      </w:r>
      <w:r>
        <w:rPr>
          <w:sz w:val="22"/>
          <w:szCs w:val="22"/>
        </w:rPr>
        <w:t xml:space="preserve">  The federal channel: slow, unvalidated — and the only path with real upside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4.</w:t>
      </w:r>
      <w:r>
        <w:rPr>
          <w:sz w:val="22"/>
          <w:szCs w:val="22"/>
        </w:rPr>
        <w:t xml:space="preserve">  The CPA arrangement as income floor — recalibrated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5.</w:t>
      </w:r>
      <w:r>
        <w:rPr>
          <w:sz w:val="22"/>
          <w:szCs w:val="22"/>
        </w:rPr>
        <w:t xml:space="preserve">  Options, scored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6.</w:t>
      </w:r>
      <w:r>
        <w:rPr>
          <w:sz w:val="22"/>
          <w:szCs w:val="22"/>
        </w:rPr>
        <w:t xml:space="preserve">  Sensitivity model — what volume would be required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7.</w:t>
      </w:r>
      <w:r>
        <w:rPr>
          <w:sz w:val="22"/>
          <w:szCs w:val="22"/>
        </w:rPr>
        <w:t xml:space="preserve">  Lowest-cost ways to reduce uncertainty, in order of cost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8.</w:t>
      </w:r>
      <w:r>
        <w:rPr>
          <w:sz w:val="22"/>
          <w:szCs w:val="22"/>
        </w:rPr>
        <w:t xml:space="preserve">  Risk register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9.</w:t>
      </w:r>
      <w:r>
        <w:rPr>
          <w:sz w:val="22"/>
          <w:szCs w:val="22"/>
        </w:rPr>
        <w:t xml:space="preserve">  Verify before relying</w:t>
      </w:r>
    </w:p>
    <w:p>
      <w:pPr>
        <w:spacing w:after="90"/>
        <w:ind w:left="420" w:hanging="420"/>
      </w:pPr>
      <w:r>
        <w:rPr>
          <w:b/>
          <w:bCs/>
          <w:color w:val="1F3864"/>
          <w:sz w:val="22"/>
          <w:szCs w:val="22"/>
        </w:rPr>
        <w:t xml:space="preserve">10.</w:t>
      </w:r>
      <w:r>
        <w:rPr>
          <w:sz w:val="22"/>
          <w:szCs w:val="22"/>
        </w:rPr>
        <w:t xml:space="preserve">  The bottom line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4"/>
          <w:szCs w:val="34"/>
        </w:rPr>
        <w:t xml:space="preserve">Recovery-Industry Venture — Strategic Options Memo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Prepared:</w:t>
      </w:r>
      <w:r>
        <w:rPr>
          <w:sz w:val="21"/>
          <w:szCs w:val="21"/>
        </w:rPr>
        <w:t xml:space="preserve"> 2026-10-06 · </w:t>
      </w:r>
      <w:r>
        <w:rPr>
          <w:b/>
          <w:bCs/>
          <w:sz w:val="21"/>
          <w:szCs w:val="21"/>
        </w:rPr>
        <w:t xml:space="preserve">Revision 2</w:t>
      </w:r>
      <w:r>
        <w:rPr>
          <w:sz w:val="21"/>
          <w:szCs w:val="21"/>
        </w:rPr>
        <w:t xml:space="preserve">, following an adversarial review that overturned several conclusions in revision 1. Corrections are noted inline where a prior figure was wrong, because the wrong figures circulated in earlier planning and should not survive quietly.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Nature of this document:</w:t>
      </w:r>
      <w:r>
        <w:rPr>
          <w:sz w:val="21"/>
          <w:szCs w:val="21"/>
        </w:rPr>
        <w:t xml:space="preserve"> private option-evaluation and assumption-mapping. Where it uses numbers, they are sensitivities — what would have to hold for an outcome to occur — not forecasts.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0. Executive summary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The finding that matters most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corpus already records the number this decision turns on, and no prior planning document put it next to the venture's own economics:</w:t>
      </w:r>
    </w:p>
    <w:p>
      <w:pPr>
        <w:pBdr>
          <w:left w:val="single" w:color="1F3864" w:sz="18" w:space="12"/>
        </w:pBdr>
        <w:spacing w:after="160" w:before="120"/>
        <w:ind w:left="360"/>
      </w:pPr>
      <w:r>
        <w:rPr>
          <w:i/>
          <w:iCs/>
          <w:sz w:val="21"/>
          <w:szCs w:val="21"/>
        </w:rPr>
        <w:t xml:space="preserve">"a 3–5 year path to mere income recovery (back to your prior ~$145K corporate-engineer comp)" —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COMPARISON-cpa-vs-recovery.md:33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Against that benchmark, the corrected commercial model says: </w:t>
      </w:r>
      <w:r>
        <w:rPr>
          <w:b/>
          <w:bCs/>
          <w:sz w:val="21"/>
          <w:szCs w:val="21"/>
        </w:rPr>
        <w:t xml:space="preserve">at 100 paying houses — roughly 5+ years out at the growth rate this plan itself assumes — net owner income lands around $105–140K. That is at or below the ~$145K baseline.</w:t>
      </w:r>
      <w:r>
        <w:rPr>
          <w:sz w:val="21"/>
          <w:szCs w:val="21"/>
        </w:rPr>
        <w:t xml:space="preserve"> Revision 1 of this memo claimed "$150–250K owner income in 2–3 years." That was wrong in three compounding ways (inflated per-house revenue, no cost stack, and a growth rate 2–3× the one stated elsewhere in the same document). The corrected picture is materially less attractive.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What follows from that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honest conclusion is not "lead commercial instead of federal." It is narrower and less comfortable: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The commercial sober-living SaaS path is a validation engine and a modest income, not a replacement for a staff engineering salary.</w:t>
      </w:r>
      <w:r>
        <w:rPr>
          <w:sz w:val="21"/>
          <w:szCs w:val="21"/>
        </w:rPr>
        <w:t xml:space="preserve"> It is real, it has real customers, and its realistic ceiling is approximately a lateral move at best, arriving slowly.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The federal (SDVOSB) channel is the only path in this analysis with a non-trivial chance of exceeding the prior compensation baseline</w:t>
      </w:r>
      <w:r>
        <w:rPr>
          <w:sz w:val="21"/>
          <w:szCs w:val="21"/>
        </w:rPr>
        <w:t xml:space="preserve"> — the verified existence proof is a single $4,999,203 sole-source award to a solo-scale SDVOSB in exactly this category. It is also slow, lumpy, relationship-driven, and unvalidated by any live solicitation.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Therefore the question this memo cannot answer, and which dominates everything below, is whether a 5-year path to approximately-prior-income is worth taking at all</w:t>
      </w:r>
      <w:r>
        <w:rPr>
          <w:sz w:val="21"/>
          <w:szCs w:val="21"/>
        </w:rPr>
        <w:t xml:space="preserve"> versus continuing employment while holding these assets as options. That is a values question about autonomy, meaning, and risk appetite, not a spreadsheet question. The analysis can only make the price visible.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What is genuinely good news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Regroup has </w:t>
      </w:r>
      <w:r>
        <w:rPr>
          <w:b/>
          <w:bCs/>
          <w:sz w:val="21"/>
          <w:szCs w:val="21"/>
        </w:rPr>
        <w:t xml:space="preserve">five houses paying today</w:t>
      </w:r>
      <w:r>
        <w:rPr>
          <w:sz w:val="21"/>
          <w:szCs w:val="21"/>
        </w:rPr>
        <w:t xml:space="preserve"> — the only validated willingness-to-pay in the portfolio. But see §1: they pay </w:t>
      </w:r>
      <w:r>
        <w:rPr>
          <w:b/>
          <w:bCs/>
          <w:sz w:val="21"/>
          <w:szCs w:val="21"/>
        </w:rPr>
        <w:t xml:space="preserve">$9.99–$19.99/mo</w:t>
      </w:r>
      <w:r>
        <w:rPr>
          <w:sz w:val="21"/>
          <w:szCs w:val="21"/>
        </w:rPr>
        <w:t xml:space="preserve">, not the $65–$300 the market's visible competitors charge, and their contractual ceiling is ~$90–103, not $129.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Engineering is </w:t>
      </w:r>
      <w:r>
        <w:rPr>
          <w:b/>
          <w:bCs/>
          <w:sz w:val="21"/>
          <w:szCs w:val="21"/>
        </w:rPr>
        <w:t xml:space="preserve">days from a reliable private-pilot transaction</w:t>
      </w:r>
      <w:r>
        <w:rPr>
          <w:sz w:val="21"/>
          <w:szCs w:val="21"/>
        </w:rPr>
        <w:t xml:space="preserve">. Public paid launch is not days away — it is gated behind credential rotation, a HIPAA decision, and an unestimated app-store review.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The actual defensible wedge is clearer than the one revision 1 chose: </w:t>
      </w:r>
      <w:r>
        <w:rPr>
          <w:b/>
          <w:bCs/>
          <w:sz w:val="21"/>
          <w:szCs w:val="21"/>
        </w:rPr>
        <w:t xml:space="preserve">incumbents explicitly do not integrate.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research-dossier-v2.md:460</w:t>
      </w:r>
      <w:r>
        <w:rPr>
          <w:sz w:val="21"/>
          <w:szCs w:val="21"/>
        </w:rPr>
        <w:t xml:space="preserve">: "Integration + the Oxford-specific workflow is the defensible wedge, not price."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The cheapest next step is unchanged and still correct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A week of conversations with the five existing operators plus two database queries settles most of the load-bearing unknowns at zero cost. Nothing below should be built before that happens.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What is actually built, and what customers actually 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872"/>
        <w:gridCol w:w="4306"/>
      </w:tblGrid>
      <w:tr>
        <w:trPr>
          <w:tblHeader/>
        </w:trPr>
        <w:tc>
          <w:tcPr>
            <w:tcW w:type="dxa" w:w="318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187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430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Revenue today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Regroup</w:t>
            </w:r>
            <w:r>
              <w:rPr>
                <w:sz w:val="18"/>
                <w:szCs w:val="18"/>
              </w:rPr>
              <w:t xml:space="preserve"> (sober-living ops)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RN 0.72 + Firebase + Angular 9 web (EOL). Tier billing, server-side entitlement, mobile paywall shipped 2026-10-02.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5 houses at $9.99–$19.99/mo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Homegroups</w:t>
            </w:r>
            <w:r>
              <w:rPr>
                <w:sz w:val="18"/>
                <w:szCs w:val="18"/>
              </w:rPr>
              <w:t xml:space="preserve"> (12-step groups)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Feature-complete V1–V4.3 (90 callables, 17 triggers, 14 scheduled jobs). Facility dashboard built and tested.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$0 — intergroup/TC checkout blocked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detox-recovery</w:t>
            </w:r>
            <w:r>
              <w:rPr>
                <w:sz w:val="18"/>
                <w:szCs w:val="18"/>
              </w:rPr>
              <w:t xml:space="preserve"> (NextStep)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Next.js 15, code-complete, unlaunched.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Tier-2 calls + donations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The validated price is an order of magnitude below the target price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This is the correction that most changes the picture, and revision 1 omitted it entirely: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Legacy plan is </w:t>
      </w:r>
      <w:r>
        <w:rPr>
          <w:b/>
          <w:bCs/>
          <w:sz w:val="21"/>
          <w:szCs w:val="21"/>
        </w:rPr>
        <w:t xml:space="preserve">$10 + $1/resident/month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_shared/decisions-log.md:29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"every paying operator was charged </w:t>
      </w:r>
      <w:r>
        <w:rPr>
          <w:b/>
          <w:bCs/>
          <w:sz w:val="21"/>
          <w:szCs w:val="21"/>
        </w:rPr>
        <w:t xml:space="preserve">$9.99–$19.99</w:t>
      </w:r>
      <w:r>
        <w:rPr>
          <w:sz w:val="21"/>
          <w:szCs w:val="21"/>
        </w:rPr>
        <w:t xml:space="preserve"> instead of the $39–$99 target" (</w:t>
      </w:r>
      <w:r>
        <w:rPr>
          <w:rFonts w:ascii="Consolas" w:cs="Consolas" w:eastAsia="Consolas" w:hAnsi="Consolas"/>
          <w:sz w:val="19"/>
          <w:szCs w:val="19"/>
        </w:rPr>
        <w:t xml:space="preserve">regroup/docs/go-to-market/monetization.md:231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regroup-launch-readiness.md:172</w:t>
      </w:r>
      <w:r>
        <w:rPr>
          <w:sz w:val="21"/>
          <w:szCs w:val="21"/>
        </w:rPr>
        <w:t xml:space="preserve"> calls that pricing </w:t>
      </w:r>
      <w:r>
        <w:rPr>
          <w:b/>
          <w:bCs/>
          <w:sz w:val="21"/>
          <w:szCs w:val="21"/>
        </w:rPr>
        <w:t xml:space="preserve">"unsustainable."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The resolved grandfather decision (D-9) locks legacy houses at </w:t>
      </w:r>
      <w:r>
        <w:rPr>
          <w:b/>
          <w:bCs/>
          <w:sz w:val="21"/>
          <w:szCs w:val="21"/>
        </w:rPr>
        <w:t xml:space="preserve">"~20–30% off the standard tier, locked for the lifetime"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monetization.md:204</w:t>
      </w:r>
      <w:r>
        <w:rPr>
          <w:sz w:val="21"/>
          <w:szCs w:val="21"/>
        </w:rPr>
        <w:t xml:space="preserve">) — so </w:t>
      </w:r>
      <w:r>
        <w:rPr>
          <w:b/>
          <w:bCs/>
          <w:sz w:val="21"/>
          <w:szCs w:val="21"/>
        </w:rPr>
        <w:t xml:space="preserve">those five houses top out near $90–103/mo, never $129.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So "five paying customers" validates that operators will pay </w:t>
      </w:r>
      <w:r>
        <w:rPr>
          <w:i/>
          <w:iCs/>
          <w:sz w:val="21"/>
          <w:szCs w:val="21"/>
        </w:rPr>
        <w:t xml:space="preserve">something</w:t>
      </w:r>
      <w:r>
        <w:rPr>
          <w:sz w:val="21"/>
          <w:szCs w:val="21"/>
        </w:rPr>
        <w:t xml:space="preserve">. It does not validate the $129 tier, and revision 1's juxtaposition of "only validated willingness-to-pay" with "competitors charge $65–$300" implied a reachability that the data does not support. </w:t>
      </w:r>
      <w:r>
        <w:rPr>
          <w:b/>
          <w:bCs/>
          <w:sz w:val="21"/>
          <w:szCs w:val="21"/>
        </w:rPr>
        <w:t xml:space="preserve">Whether operators will pay $129 is unvalidated and is the single highest-value question in this document.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detox-recovery is a liability line, not an asset line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Five paid PDFs render live buy buttons with dead links. Charging for an undeliverable product is the only active exposure in the portfolio. Hide the buttons or ship the files.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Engineering: days to a pilot, not days to a launch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Remaining Regroup blockers are deploy plumbing and observability, not features — and the verification confirmed each: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deploy-batched.sh</w:t>
      </w:r>
      <w:r>
        <w:rPr>
          <w:sz w:val="21"/>
          <w:szCs w:val="21"/>
        </w:rPr>
        <w:t xml:space="preserve"> hardcodes 40 functions against 53 real ones: </w:t>
      </w:r>
      <w:r>
        <w:rPr>
          <w:b/>
          <w:bCs/>
          <w:sz w:val="21"/>
          <w:szCs w:val="21"/>
        </w:rPr>
        <w:t xml:space="preserve">14 live functions never deploy, including the entire tier-billing and invitation surface.</w:t>
      </w:r>
      <w:r>
        <w:rPr>
          <w:sz w:val="21"/>
          <w:szCs w:val="21"/>
        </w:rPr>
        <w:t xml:space="preserve"> A dead function name makes the batch hard-error while </w:t>
      </w:r>
      <w:r>
        <w:rPr>
          <w:rFonts w:ascii="Consolas" w:cs="Consolas" w:eastAsia="Consolas" w:hAnsi="Consolas"/>
          <w:sz w:val="19"/>
          <w:szCs w:val="19"/>
        </w:rPr>
        <w:t xml:space="preserve">|| echo … continuing</w:t>
      </w:r>
      <w:r>
        <w:rPr>
          <w:sz w:val="21"/>
          <w:szCs w:val="21"/>
        </w:rPr>
        <w:t xml:space="preserve"> masks it and exits 0 regardless.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All 12 </w:t>
      </w:r>
      <w:r>
        <w:rPr>
          <w:rFonts w:ascii="Consolas" w:cs="Consolas" w:eastAsia="Consolas" w:hAnsi="Consolas"/>
          <w:sz w:val="19"/>
          <w:szCs w:val="19"/>
        </w:rPr>
        <w:t xml:space="preserve">STRIPE_PRICE_*</w:t>
      </w:r>
      <w:r>
        <w:rPr>
          <w:sz w:val="21"/>
          <w:szCs w:val="21"/>
        </w:rPr>
        <w:t xml:space="preserve"> vars and </w:t>
      </w:r>
      <w:r>
        <w:rPr>
          <w:rFonts w:ascii="Consolas" w:cs="Consolas" w:eastAsia="Consolas" w:hAnsi="Consolas"/>
          <w:sz w:val="19"/>
          <w:szCs w:val="19"/>
        </w:rPr>
        <w:t xml:space="preserve">TIER_BILLING_ENABLED</w:t>
      </w:r>
      <w:r>
        <w:rPr>
          <w:sz w:val="21"/>
          <w:szCs w:val="21"/>
        </w:rPr>
        <w:t xml:space="preserve"> exist only in a gitignored local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Rollback is </w:t>
      </w:r>
      <w:r>
        <w:rPr>
          <w:b/>
          <w:bCs/>
          <w:sz w:val="21"/>
          <w:szCs w:val="21"/>
        </w:rPr>
        <w:t xml:space="preserve">not symmetric</w:t>
      </w:r>
      <w:r>
        <w:rPr>
          <w:sz w:val="21"/>
          <w:szCs w:val="21"/>
        </w:rPr>
        <w:t xml:space="preserve">: tier-less subscriptions created with the flag off cannot later add a house or resident without manual Stripe-side migration.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No error visibility anywhere — </w:t>
      </w:r>
      <w:r>
        <w:rPr>
          <w:rFonts w:ascii="Consolas" w:cs="Consolas" w:eastAsia="Consolas" w:hAnsi="Consolas"/>
          <w:sz w:val="19"/>
          <w:szCs w:val="19"/>
        </w:rPr>
        <w:t xml:space="preserve">ErrorBoundary</w:t>
      </w:r>
      <w:r>
        <w:rPr>
          <w:sz w:val="21"/>
          <w:szCs w:val="21"/>
        </w:rPr>
        <w:t xml:space="preserve"> only </w:t>
      </w:r>
      <w:r>
        <w:rPr>
          <w:rFonts w:ascii="Consolas" w:cs="Consolas" w:eastAsia="Consolas" w:hAnsi="Consolas"/>
          <w:sz w:val="19"/>
          <w:szCs w:val="19"/>
        </w:rPr>
        <w:t xml:space="preserve">console.error</w:t>
      </w:r>
      <w:r>
        <w:rPr>
          <w:sz w:val="21"/>
          <w:szCs w:val="21"/>
        </w:rPr>
        <w:t xml:space="preserve">s, Crashlytics plugin never applied, functions have zero error-reporting dependencies. </w:t>
      </w:r>
      <w:r>
        <w:rPr>
          <w:b/>
          <w:bCs/>
          <w:sz w:val="21"/>
          <w:szCs w:val="21"/>
        </w:rPr>
        <w:t xml:space="preserve">A paying operator's failure goes unnoticed.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scheduledRentCollection</w:t>
      </w:r>
      <w:r>
        <w:rPr>
          <w:sz w:val="21"/>
          <w:szCs w:val="21"/>
        </w:rPr>
        <w:t xml:space="preserve"> never rethrows, so Cloud Scheduler logs SUCCESS when every charge failed.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Gates before any </w:t>
      </w:r>
      <w:r>
        <w:rPr>
          <w:b/>
          <w:bCs/>
          <w:i/>
          <w:iCs/>
          <w:sz w:val="21"/>
          <w:szCs w:val="21"/>
        </w:rPr>
        <w:t xml:space="preserve">new, public</w:t>
      </w:r>
      <w:r>
        <w:rPr>
          <w:b/>
          <w:bCs/>
          <w:sz w:val="21"/>
          <w:szCs w:val="21"/>
        </w:rPr>
        <w:t xml:space="preserve"> paid use</w:t>
      </w:r>
      <w:r>
        <w:rPr>
          <w:sz w:val="21"/>
          <w:szCs w:val="21"/>
        </w:rPr>
        <w:t xml:space="preserve"> (not blocking a private pilot with existing houses): three leaked service-account keys requiring a git-history rewrite — multi-day and high-risk across a monorepo; four E2E accounts live in production; 3 critical npm vulnerabilities; un-attorney- reviewed ToS/Privacy; an undecided HIPAA BAA, which becomes </w:t>
      </w:r>
      <w:r>
        <w:rPr>
          <w:b/>
          <w:bCs/>
          <w:sz w:val="21"/>
          <w:szCs w:val="21"/>
        </w:rPr>
        <w:t xml:space="preserve">mandatory</w:t>
      </w:r>
      <w:r>
        <w:rPr>
          <w:sz w:val="21"/>
          <w:szCs w:val="21"/>
        </w:rPr>
        <w:t xml:space="preserve"> the moment a house bills insurance, runs MAT, employs clinical staff, or partners with a treatment center — exactly the upmarket direction the strategy points toward; and </w:t>
      </w:r>
      <w:r>
        <w:rPr>
          <w:b/>
          <w:bCs/>
          <w:sz w:val="21"/>
          <w:szCs w:val="21"/>
        </w:rPr>
        <w:t xml:space="preserve">an app-store review that has never been estimated, with neither app submitted and neither holding a confirmed app ID.</w:t>
      </w:r>
      <w:r>
        <w:rPr>
          <w:sz w:val="21"/>
          <w:szCs w:val="21"/>
        </w:rPr>
        <w:t xml:space="preserve"> That last item is the longest-lead thing on the critical path.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Market reality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Sober-living software is populated, and the incumbents are larger than assumed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872"/>
        <w:gridCol w:w="4306"/>
      </w:tblGrid>
      <w:tr>
        <w:trPr>
          <w:tblHeader/>
        </w:trPr>
        <w:tc>
          <w:tcPr>
            <w:tcW w:type="dxa" w:w="318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Player</w:t>
            </w:r>
          </w:p>
        </w:tc>
        <w:tc>
          <w:tcPr>
            <w:tcW w:type="dxa" w:w="187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430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Pricing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Behave Health / Sober Living App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2,000+ operators</w:t>
            </w:r>
            <w:r>
              <w:rPr>
                <w:sz w:val="18"/>
                <w:szCs w:val="18"/>
              </w:rPr>
              <w:t xml:space="preserve"> per their site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Quote-only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One Step Software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Category incumbent, broadest features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Quote-only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Sobriety Hub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1,000+ homes</w:t>
            </w:r>
            <w:r>
              <w:rPr>
                <w:sz w:val="18"/>
                <w:szCs w:val="18"/>
              </w:rPr>
              <w:t xml:space="preserve">; built by former recovery-house managers; 5.0 Capterra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Per-seat:</w:t>
            </w:r>
            <w:r>
              <w:rPr>
                <w:sz w:val="18"/>
                <w:szCs w:val="18"/>
              </w:rPr>
              <w:t xml:space="preserve"> $780/yr per Full User ($65/mo) + $240/yr per Client Manager ($20/mo) + $250 onboarding + </w:t>
            </w:r>
            <w:r>
              <w:rPr>
                <w:b/>
                <w:bCs/>
                <w:sz w:val="18"/>
                <w:szCs w:val="18"/>
              </w:rPr>
              <w:t xml:space="preserve">3.9% card</w:t>
            </w:r>
            <w:r>
              <w:rPr>
                <w:sz w:val="18"/>
                <w:szCs w:val="18"/>
              </w:rPr>
              <w:t xml:space="preserve">, fee </w:t>
            </w:r>
            <w:r>
              <w:rPr>
                <w:b/>
                <w:bCs/>
                <w:sz w:val="18"/>
                <w:szCs w:val="18"/>
              </w:rPr>
              <w:t xml:space="preserve">rolled onto the resident by default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Oathtrack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Per-bed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$2.99–7.99/bed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HopeLinx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AI features + GPS-verified attendance + Stripe Connect rent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Not published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Anchor Living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GPRA/NARR-aligned outcomes reporting</w:t>
            </w:r>
            <w:r>
              <w:rPr>
                <w:sz w:val="18"/>
                <w:szCs w:val="18"/>
              </w:rPr>
              <w:t xml:space="preserve">, credit reporting, offline PWA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Not published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Sober Friend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Positions against generic property management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Not published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Correction to both revision 1 and my own first correction.</w:t>
      </w:r>
      <w:r>
        <w:rPr>
          <w:sz w:val="21"/>
          <w:szCs w:val="21"/>
        </w:rPr>
        <w:t xml:space="preserve"> Revision 1 said Regroup's pricing is "market-correct, no repricing needed." My first-pass correction swung to "2–4.5× above the visible $65 anchor." Both were wrong, because </w:t>
      </w:r>
      <w:r>
        <w:rPr>
          <w:b/>
          <w:bCs/>
          <w:sz w:val="21"/>
          <w:szCs w:val="21"/>
        </w:rPr>
        <w:t xml:space="preserve">Sobriety Hub is priced per-seat, not per-house</w:t>
      </w:r>
      <w:r>
        <w:rPr>
          <w:sz w:val="21"/>
          <w:szCs w:val="21"/>
        </w:rPr>
        <w:t xml:space="preserve"> — a house with three full users runs ~$195/mo plus 3.9% card. Regroup's $129 is </w:t>
      </w:r>
      <w:r>
        <w:rPr>
          <w:i/>
          <w:iCs/>
          <w:sz w:val="21"/>
          <w:szCs w:val="21"/>
        </w:rPr>
        <w:t xml:space="preserve">below</w:t>
      </w:r>
      <w:r>
        <w:rPr>
          <w:sz w:val="21"/>
          <w:szCs w:val="21"/>
        </w:rPr>
        <w:t xml:space="preserve"> that for a multi-user house. The accurate statement: </w:t>
      </w:r>
      <w:r>
        <w:rPr>
          <w:b/>
          <w:bCs/>
          <w:sz w:val="21"/>
          <w:szCs w:val="21"/>
        </w:rPr>
        <w:t xml:space="preserve">the subscription tiers do not need repricing; the rent fee is mid-revision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regroup-pricing-revision-plan.md</w:t>
      </w:r>
      <w:r>
        <w:rPr>
          <w:sz w:val="21"/>
          <w:szCs w:val="21"/>
        </w:rPr>
        <w:t xml:space="preserve">, moving 2% flat → method-aware), and </w:t>
      </w:r>
      <w:r>
        <w:rPr>
          <w:rFonts w:ascii="Consolas" w:cs="Consolas" w:eastAsia="Consolas" w:hAnsi="Consolas"/>
          <w:sz w:val="19"/>
          <w:szCs w:val="19"/>
        </w:rPr>
        <w:t xml:space="preserve">regroup-pricing-justification.md:85</w:t>
      </w:r>
      <w:r>
        <w:rPr>
          <w:sz w:val="21"/>
          <w:szCs w:val="21"/>
        </w:rPr>
        <w:t xml:space="preserve"> names the old model's exposure directly — "2% flat rent fee can't be justified on ACH… This is the biggest exposure."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Two hard consequences: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The wedge revision 1 chose is occupied.</w:t>
      </w:r>
      <w:r>
        <w:rPr>
          <w:sz w:val="21"/>
          <w:szCs w:val="21"/>
        </w:rPr>
        <w:t xml:space="preserve"> "One-click NARR/funder-ready outcome report" was picked for maximum reuse of the existing data model. Anchor Living already ships NARR/GPRA- aligned outcomes reporting. Execution quality still differs, but it is not a differentiator.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The lived-experience advantage is not unbuyable — a competitor already holds it.</w:t>
      </w:r>
      <w:r>
        <w:rPr>
          <w:sz w:val="21"/>
          <w:szCs w:val="21"/>
        </w:rPr>
        <w:t xml:space="preserve"> Sobriety Hub was built by former recovery-house managers and is the fastest-growing player with the best reviews. Revision 1's claim that operator credibility is "genuinely hard for a funded competitor to buy" is retracted. It is a real sales advantage; it is not a moat, and it is not unique.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The AI-documentation wedge is closed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Eleos Health raised $60M Series C and shipped </w:t>
      </w:r>
      <w:r>
        <w:rPr>
          <w:b/>
          <w:bCs/>
          <w:sz w:val="21"/>
          <w:szCs w:val="21"/>
        </w:rPr>
        <w:t xml:space="preserve">Eleos Compliance</w:t>
      </w:r>
      <w:r>
        <w:rPr>
          <w:sz w:val="21"/>
          <w:szCs w:val="21"/>
        </w:rPr>
        <w:t xml:space="preserve">, a clinical-documentation- improvement product built with regulatory counsel retained by the National Council for Mental Wellbeing, explicitly expanding into SUD. Ritten bundles claim generation, billing census, and a dedicated UR module. Alleva ships an "Echo" scribe. </w:t>
      </w:r>
      <w:r>
        <w:rPr>
          <w:b/>
          <w:bCs/>
          <w:sz w:val="21"/>
          <w:szCs w:val="21"/>
        </w:rPr>
        <w:t xml:space="preserve">Do not build an SUD scribe or a BH denial-prevention/RCM copilot.</w:t>
      </w:r>
      <w:r>
        <w:rPr>
          <w:sz w:val="21"/>
          <w:szCs w:val="21"/>
        </w:rPr>
        <w:t xml:space="preserve"> The sibling </w:t>
      </w:r>
      <w:r>
        <w:rPr>
          <w:rFonts w:ascii="Consolas" w:cs="Consolas" w:eastAsia="Consolas" w:hAnsi="Consolas"/>
          <w:sz w:val="19"/>
          <w:szCs w:val="19"/>
        </w:rPr>
        <w:t xml:space="preserve">bh-rcm-copilot/</w:t>
      </w:r>
      <w:r>
        <w:rPr>
          <w:sz w:val="21"/>
          <w:szCs w:val="21"/>
        </w:rPr>
        <w:t xml:space="preserve"> brief is retired.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Homegroups: thinly contested, not unoccupied — and a structurally weak buyer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Revision 1 called this niche "a real gap." </w:t>
      </w:r>
      <w:r>
        <w:rPr>
          <w:b/>
          <w:bCs/>
          <w:sz w:val="21"/>
          <w:szCs w:val="21"/>
        </w:rPr>
        <w:t xml:space="preserve">Retracted.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homegroups-strategic-decision.md</w:t>
      </w:r>
      <w:r>
        <w:rPr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:56</w:t>
      </w:r>
      <w:r>
        <w:rPr>
          <w:sz w:val="21"/>
          <w:szCs w:val="21"/>
        </w:rPr>
        <w:t xml:space="preserve"> — "Our treasury is better and more integrated than the standalone nonprofit (</w:t>
      </w:r>
      <w:r>
        <w:rPr>
          <w:b/>
          <w:bCs/>
          <w:sz w:val="21"/>
          <w:szCs w:val="21"/>
        </w:rPr>
        <w:t xml:space="preserve">Homegroup.Online</w:t>
      </w:r>
      <w:r>
        <w:rPr>
          <w:sz w:val="21"/>
          <w:szCs w:val="21"/>
        </w:rPr>
        <w:t xml:space="preserve">)" — a direct competitor doing exactly group treasury.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:67</w:t>
      </w:r>
      <w:r>
        <w:rPr>
          <w:sz w:val="21"/>
          <w:szCs w:val="21"/>
        </w:rPr>
        <w:t xml:space="preserve"> — "'Better than Homegroup.Online </w:t>
      </w:r>
      <w:r>
        <w:rPr>
          <w:i/>
          <w:iCs/>
          <w:sz w:val="21"/>
          <w:szCs w:val="21"/>
        </w:rPr>
        <w:t xml:space="preserve">today</w:t>
      </w:r>
      <w:r>
        <w:rPr>
          <w:sz w:val="21"/>
          <w:szCs w:val="21"/>
        </w:rPr>
        <w:t xml:space="preserve">' is an </w:t>
      </w:r>
      <w:r>
        <w:rPr>
          <w:b/>
          <w:bCs/>
          <w:sz w:val="21"/>
          <w:szCs w:val="21"/>
        </w:rPr>
        <w:t xml:space="preserve">execution lead, not a structural moat</w:t>
      </w:r>
      <w:r>
        <w:rPr>
          <w:sz w:val="21"/>
          <w:szCs w:val="21"/>
        </w:rPr>
        <w:t xml:space="preserve"> — they're a nonprofit that can hire a designer, and treasury features aren't proprietary."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:179</w:t>
      </w:r>
      <w:r>
        <w:rPr>
          <w:sz w:val="21"/>
          <w:szCs w:val="21"/>
        </w:rPr>
        <w:t xml:space="preserve"> — also names </w:t>
      </w:r>
      <w:r>
        <w:rPr>
          <w:rFonts w:ascii="Consolas" w:cs="Consolas" w:eastAsia="Consolas" w:hAnsi="Consolas"/>
          <w:sz w:val="19"/>
          <w:szCs w:val="19"/>
        </w:rPr>
        <w:t xml:space="preserve">transparencytechnologies.ai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:20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:60</w:t>
      </w:r>
      <w:r>
        <w:rPr>
          <w:sz w:val="21"/>
          <w:szCs w:val="21"/>
        </w:rPr>
        <w:t xml:space="preserve"> — the buyer is "a </w:t>
      </w:r>
      <w:r>
        <w:rPr>
          <w:b/>
          <w:bCs/>
          <w:sz w:val="21"/>
          <w:szCs w:val="21"/>
        </w:rPr>
        <w:t xml:space="preserve">structurally weak buyer</w:t>
      </w:r>
      <w:r>
        <w:rPr>
          <w:sz w:val="21"/>
          <w:szCs w:val="21"/>
        </w:rPr>
        <w:t xml:space="preserve">"; treasury-as-paid-SaaS has a "</w:t>
      </w:r>
      <w:r>
        <w:rPr>
          <w:b/>
          <w:bCs/>
          <w:sz w:val="21"/>
          <w:szCs w:val="21"/>
        </w:rPr>
        <w:t xml:space="preserve">hard ceiling, quality-independent</w:t>
      </w:r>
      <w:r>
        <w:rPr>
          <w:sz w:val="21"/>
          <w:szCs w:val="21"/>
        </w:rPr>
        <w:t xml:space="preserve">" because the payer is "a rotating volunteer treasurer spending </w:t>
      </w:r>
      <w:r>
        <w:rPr>
          <w:b/>
          <w:bCs/>
          <w:sz w:val="21"/>
          <w:szCs w:val="21"/>
        </w:rPr>
        <w:t xml:space="preserve">7th-Tradition funds</w:t>
      </w:r>
      <w:r>
        <w:rPr>
          <w:sz w:val="21"/>
          <w:szCs w:val="21"/>
        </w:rPr>
        <w:t xml:space="preserve">."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A 501(c)(3) competitor that can undercut indefinitely is a </w:t>
      </w:r>
      <w:r>
        <w:rPr>
          <w:i/>
          <w:iCs/>
          <w:sz w:val="21"/>
          <w:szCs w:val="21"/>
        </w:rPr>
        <w:t xml:space="preserve">worse</w:t>
      </w:r>
      <w:r>
        <w:rPr>
          <w:sz w:val="21"/>
          <w:szCs w:val="21"/>
        </w:rPr>
        <w:t xml:space="preserve"> competitor for a bootstrapper than a venture-funded one. Modeled group-tier ARR is </w:t>
      </w:r>
      <w:r>
        <w:rPr>
          <w:b/>
          <w:bCs/>
          <w:sz w:val="21"/>
          <w:szCs w:val="21"/>
        </w:rPr>
        <w:t xml:space="preserve">~$2,892/yr</w:t>
      </w:r>
      <w:r>
        <w:rPr>
          <w:sz w:val="21"/>
          <w:szCs w:val="21"/>
        </w:rPr>
        <w:t xml:space="preserve"> — and that is the group tier specifically, not Homegroups total. Treatment-center sales, the theoretical upside, carry a </w:t>
      </w:r>
      <w:r>
        <w:rPr>
          <w:b/>
          <w:bCs/>
          <w:sz w:val="21"/>
          <w:szCs w:val="21"/>
        </w:rPr>
        <w:t xml:space="preserve">3–12 month cycle</w:t>
      </w:r>
      <w:r>
        <w:rPr>
          <w:sz w:val="21"/>
          <w:szCs w:val="21"/>
        </w:rPr>
        <w:t xml:space="preserve"> with explicit guidance: "</w:t>
      </w:r>
      <w:r>
        <w:rPr>
          <w:b/>
          <w:bCs/>
          <w:sz w:val="21"/>
          <w:szCs w:val="21"/>
        </w:rPr>
        <w:t xml:space="preserve">Don't plan revenue from TC sales in Year 1</w:t>
      </w:r>
      <w:r>
        <w:rPr>
          <w:sz w:val="21"/>
          <w:szCs w:val="21"/>
        </w:rPr>
        <w:t xml:space="preserve">" (</w:t>
      </w:r>
      <w:r>
        <w:rPr>
          <w:rFonts w:ascii="Consolas" w:cs="Consolas" w:eastAsia="Consolas" w:hAnsi="Consolas"/>
          <w:sz w:val="19"/>
          <w:szCs w:val="19"/>
        </w:rPr>
        <w:t xml:space="preserve">homegroups-launch-readiness.md:279</w:t>
      </w:r>
      <w:r>
        <w:rPr>
          <w:sz w:val="21"/>
          <w:szCs w:val="21"/>
        </w:rPr>
        <w:t xml:space="preserve">).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There is also an unresolved </w:t>
      </w:r>
      <w:r>
        <w:rPr>
          <w:b/>
          <w:bCs/>
          <w:sz w:val="21"/>
          <w:szCs w:val="21"/>
        </w:rPr>
        <w:t xml:space="preserve">entity conflict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homegroups-strategic-decision.md:89</w:t>
      </w:r>
      <w:r>
        <w:rPr>
          <w:sz w:val="21"/>
          <w:szCs w:val="21"/>
        </w:rPr>
        <w:t xml:space="preserve"> recommends a </w:t>
      </w:r>
      <w:r>
        <w:rPr>
          <w:b/>
          <w:bCs/>
          <w:sz w:val="21"/>
          <w:szCs w:val="21"/>
        </w:rPr>
        <w:t xml:space="preserve">nonprofit or fiscally-sponsored</w:t>
      </w:r>
      <w:r>
        <w:rPr>
          <w:sz w:val="21"/>
          <w:szCs w:val="21"/>
        </w:rPr>
        <w:t xml:space="preserve"> vehicle for the fellowship-facing product, which is not the same entity as an SDVOSB LLC at ≥51% veteran ownership. These are two separate formation decisions, and prior planning treated formation as one mechanical step.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Market size: use the lower, physically-verified count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Revision 1 wrote "Use bottom-up house counts, not TAM" and then, ninety lines later, used a TAM penetration argument. Both the instruction and the violation are instructive.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~17,900 residences / ~275,000 beds figure is rated </w:t>
      </w:r>
      <w:r>
        <w:rPr>
          <w:b/>
          <w:bCs/>
          <w:sz w:val="21"/>
          <w:szCs w:val="21"/>
        </w:rPr>
        <w:t xml:space="preserve">"weak" confidence</w:t>
      </w:r>
      <w:r>
        <w:rPr>
          <w:sz w:val="21"/>
          <w:szCs w:val="21"/>
        </w:rPr>
        <w:t xml:space="preserve"> in its own source (</w:t>
      </w:r>
      <w:r>
        <w:rPr>
          <w:rFonts w:ascii="Consolas" w:cs="Consolas" w:eastAsia="Consolas" w:hAnsi="Consolas"/>
          <w:sz w:val="19"/>
          <w:szCs w:val="19"/>
        </w:rPr>
        <w:t xml:space="preserve">recovery-ecosystem-validation.md:98</w:t>
      </w:r>
      <w:r>
        <w:rPr>
          <w:sz w:val="21"/>
          <w:szCs w:val="21"/>
        </w:rPr>
        <w:t xml:space="preserve">). RTI/NSTARR </w:t>
      </w:r>
      <w:r>
        <w:rPr>
          <w:b/>
          <w:bCs/>
          <w:sz w:val="21"/>
          <w:szCs w:val="21"/>
        </w:rPr>
        <w:t xml:space="preserve">physically identified ~10,358–10,558</w:t>
      </w:r>
      <w:r>
        <w:rPr>
          <w:sz w:val="21"/>
          <w:szCs w:val="21"/>
        </w:rPr>
        <w:t xml:space="preserve"> recovery residences (2020–21) (</w:t>
      </w:r>
      <w:r>
        <w:rPr>
          <w:rFonts w:ascii="Consolas" w:cs="Consolas" w:eastAsia="Consolas" w:hAnsi="Consolas"/>
          <w:sz w:val="19"/>
          <w:szCs w:val="19"/>
        </w:rPr>
        <w:t xml:space="preserve">docs/research/_work/verdicts.md:512</w:t>
      </w:r>
      <w:r>
        <w:rPr>
          <w:sz w:val="21"/>
          <w:szCs w:val="21"/>
        </w:rPr>
        <w:t xml:space="preserve">). Against that, Behave Health's claimed 2,000+ operators and Sobriety Hub's 1,000+ homes represent a substantial share of the real addressable base already served.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"Low required penetration" is not evidence of achievability.</w:t>
      </w:r>
      <w:r>
        <w:rPr>
          <w:sz w:val="21"/>
          <w:szCs w:val="21"/>
        </w:rPr>
        <w:t xml:space="preserve"> Market share is an output of a sales process, not an input to one. Any volume target must be built bottom-up from named, reachable houses.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The federal channel: slow, unvalidated — and the only path with real upside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What is verified: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VA directed ~$10.2B (23% of prime dollars) to SDVOSBs in FY2024, exceeding its own goals.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Kingdomware "Rule of Two" set-aside is mandatory; SDVOSB sits first in VA's priority order; sole-source authority runs to $5M (VAAR 819.7008, </w:t>
      </w:r>
      <w:r>
        <w:rPr>
          <w:rFonts w:ascii="Consolas" w:cs="Consolas" w:eastAsia="Consolas" w:hAnsi="Consolas"/>
          <w:sz w:val="19"/>
          <w:szCs w:val="19"/>
        </w:rPr>
        <w:t xml:space="preserve">REPORT-procurement-validation.md:70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sz w:val="21"/>
          <w:szCs w:val="21"/>
        </w:rPr>
        <w:t xml:space="preserve">Existence proof:</w:t>
      </w:r>
      <w:r>
        <w:rPr>
          <w:sz w:val="21"/>
          <w:szCs w:val="21"/>
        </w:rPr>
        <w:t xml:space="preserve"> SDVOSB USVETSERV LLC won a </w:t>
      </w:r>
      <w:r>
        <w:rPr>
          <w:b/>
          <w:bCs/>
          <w:sz w:val="21"/>
          <w:szCs w:val="21"/>
        </w:rPr>
        <w:t xml:space="preserve">$4,999,203</w:t>
      </w:r>
      <w:r>
        <w:rPr>
          <w:sz w:val="21"/>
          <w:szCs w:val="21"/>
        </w:rPr>
        <w:t xml:space="preserve"> sole-source VA award under NAICS 541511 for mental-health technology (</w:t>
      </w:r>
      <w:r>
        <w:rPr>
          <w:rFonts w:ascii="Consolas" w:cs="Consolas" w:eastAsia="Consolas" w:hAnsi="Consolas"/>
          <w:sz w:val="19"/>
          <w:szCs w:val="19"/>
        </w:rPr>
        <w:t xml:space="preserve">REPORT-procurement-validation.md:16</w:t>
      </w:r>
      <w:r>
        <w:rPr>
          <w:sz w:val="21"/>
          <w:szCs w:val="21"/>
        </w:rPr>
        <w:t xml:space="preserve">). A solo-scale SDVOSB can win at the sole-source ceiling in this exact category.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What is refuted and must not be relied on:</w:t>
      </w:r>
      <w:r>
        <w:rPr>
          <w:sz w:val="21"/>
          <w:szCs w:val="21"/>
        </w:rPr>
        <w:t xml:space="preserve"> VA does not routinely set aside SUD/BH software procurements. </w:t>
      </w:r>
      <w:r>
        <w:rPr>
          <w:b/>
          <w:bCs/>
          <w:sz w:val="21"/>
          <w:szCs w:val="21"/>
        </w:rPr>
        <w:t xml:space="preserve">Certification buys eligibility, not awards</w:t>
      </w:r>
      <w:r>
        <w:rPr>
          <w:sz w:val="21"/>
          <w:szCs w:val="21"/>
        </w:rPr>
        <w:t xml:space="preserve"> — in one studied case VA sole-sourced to WebMD Ignite despite 809 eligible SDVOSBs. The "inherit VAEC controls, skip FedRAMP" shortcut does not work; realistic VA ATO is 6–18 months. IHT 2.0 ($14B/10-yr) went to nine established primes — a subcontracting target, not an entry path.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What was never validated:</w:t>
      </w:r>
      <w:r>
        <w:rPr>
          <w:sz w:val="21"/>
          <w:szCs w:val="21"/>
        </w:rPr>
        <w:t xml:space="preserve"> no confirmed active VA/VHA solicitation in this category, from any industry contact. The channel rests on a handful of data points.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Timeline:</w:t>
      </w:r>
      <w:r>
        <w:rPr>
          <w:sz w:val="21"/>
          <w:szCs w:val="21"/>
        </w:rPr>
        <w:t xml:space="preserve"> VetCert estimates conflict (~12 days post-backlog-clearance vs. 60–90+ days as the conservative baseline). </w:t>
      </w:r>
      <w:r>
        <w:rPr>
          <w:b/>
          <w:bCs/>
          <w:sz w:val="21"/>
          <w:szCs w:val="21"/>
        </w:rPr>
        <w:t xml:space="preserve">Plan 90 days.</w:t>
      </w:r>
      <w:r>
        <w:rPr>
          <w:sz w:val="21"/>
          <w:szCs w:val="21"/>
        </w:rPr>
        <w:t xml:space="preserve"> SAM.gov/VetCert data mismatches are the main controllable cause of delay.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Operational verdict (unchanged):</w:t>
      </w:r>
      <w:r>
        <w:rPr>
          <w:sz w:val="21"/>
          <w:szCs w:val="21"/>
        </w:rPr>
        <w:t xml:space="preserve"> file it — a few hours and free — then build as though it will never pay off. </w:t>
      </w:r>
      <w:r>
        <w:rPr>
          <w:b/>
          <w:bCs/>
          <w:sz w:val="21"/>
          <w:szCs w:val="21"/>
        </w:rPr>
        <w:t xml:space="preserve">Strategic verdict (new, and it cuts against revision 1's framing):</w:t>
      </w:r>
      <w:r>
        <w:rPr>
          <w:sz w:val="21"/>
          <w:szCs w:val="21"/>
        </w:rPr>
        <w:t xml:space="preserve"> because the commercial path's corrected ceiling sits at or below the ~$145K baseline, the federal channel is the only route here with a non-trivial chance of clearing that bar. It should not </w:t>
      </w:r>
      <w:r>
        <w:rPr>
          <w:i/>
          <w:iCs/>
          <w:sz w:val="21"/>
          <w:szCs w:val="21"/>
        </w:rPr>
        <w:t xml:space="preserve">lead</w:t>
      </w:r>
      <w:r>
        <w:rPr>
          <w:sz w:val="21"/>
          <w:szCs w:val="21"/>
        </w:rPr>
        <w:t xml:space="preserve"> the plan, and it cannot be </w:t>
      </w:r>
      <w:r>
        <w:rPr>
          <w:i/>
          <w:iCs/>
          <w:sz w:val="21"/>
          <w:szCs w:val="21"/>
        </w:rPr>
        <w:t xml:space="preserve">depended</w:t>
      </w:r>
      <w:r>
        <w:rPr>
          <w:sz w:val="21"/>
          <w:szCs w:val="21"/>
        </w:rPr>
        <w:t xml:space="preserve"> on — but describing it as merely "a cheap option" understates what it is carrying.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Also a correction to revision 1's framing of novelty:</w:t>
      </w:r>
      <w:r>
        <w:rPr>
          <w:sz w:val="21"/>
          <w:szCs w:val="21"/>
        </w:rPr>
        <w:t xml:space="preserve"> June's plan already sequenced commercial-first — "Convert to the VA channel (</w:t>
      </w:r>
      <w:r>
        <w:rPr>
          <w:b/>
          <w:bCs/>
          <w:sz w:val="21"/>
          <w:szCs w:val="21"/>
        </w:rPr>
        <w:t xml:space="preserve">months 3–12</w:t>
      </w:r>
      <w:r>
        <w:rPr>
          <w:sz w:val="21"/>
          <w:szCs w:val="21"/>
        </w:rPr>
        <w:t xml:space="preserve">): once VetCert-certified and demand is confirmed, pursue… with the </w:t>
      </w:r>
      <w:r>
        <w:rPr>
          <w:b/>
          <w:bCs/>
          <w:sz w:val="21"/>
          <w:szCs w:val="21"/>
        </w:rPr>
        <w:t xml:space="preserve">proven tool</w:t>
      </w:r>
      <w:r>
        <w:rPr>
          <w:sz w:val="21"/>
          <w:szCs w:val="21"/>
        </w:rPr>
        <w:t xml:space="preserve">" (</w:t>
      </w:r>
      <w:r>
        <w:rPr>
          <w:rFonts w:ascii="Consolas" w:cs="Consolas" w:eastAsia="Consolas" w:hAnsi="Consolas"/>
          <w:sz w:val="19"/>
          <w:szCs w:val="19"/>
        </w:rPr>
        <w:t xml:space="preserve">addiction-recovery/REPORT.md:90</w:t>
      </w:r>
      <w:r>
        <w:rPr>
          <w:sz w:val="21"/>
          <w:szCs w:val="21"/>
        </w:rPr>
        <w:t xml:space="preserve">); "</w:t>
      </w:r>
      <w:r>
        <w:rPr>
          <w:b/>
          <w:bCs/>
          <w:sz w:val="21"/>
          <w:szCs w:val="21"/>
        </w:rPr>
        <w:t xml:space="preserve">Months 9–18+:</w:t>
      </w:r>
      <w:r>
        <w:rPr>
          <w:sz w:val="21"/>
          <w:szCs w:val="21"/>
        </w:rPr>
        <w:t xml:space="preserve"> once VetCert is in hand, a reference deployment exists, and… an ATO path is real" (</w:t>
      </w:r>
      <w:r>
        <w:rPr>
          <w:rFonts w:ascii="Consolas" w:cs="Consolas" w:eastAsia="Consolas" w:hAnsi="Consolas"/>
          <w:sz w:val="19"/>
          <w:szCs w:val="19"/>
        </w:rPr>
        <w:t xml:space="preserve">REPORT-procurement-validation.md:54</w:t>
      </w:r>
      <w:r>
        <w:rPr>
          <w:sz w:val="21"/>
          <w:szCs w:val="21"/>
        </w:rPr>
        <w:t xml:space="preserve">). Revision 1 claimed to "invert the center of gravity." What actually changes is narrower: the federal channel should stop carrying the </w:t>
      </w:r>
      <w:r>
        <w:rPr>
          <w:i/>
          <w:iCs/>
          <w:sz w:val="21"/>
          <w:szCs w:val="21"/>
        </w:rPr>
        <w:t xml:space="preserve">narrative</w:t>
      </w:r>
      <w:r>
        <w:rPr>
          <w:sz w:val="21"/>
          <w:szCs w:val="21"/>
        </w:rPr>
        <w:t xml:space="preserve"> weight, and the </w:t>
      </w:r>
      <w:r>
        <w:rPr>
          <w:b/>
          <w:bCs/>
          <w:sz w:val="21"/>
          <w:szCs w:val="21"/>
        </w:rPr>
        <w:t xml:space="preserve">Oxford House bulk-acquisition growth assumption underneath the commercial leg is retired</w:t>
      </w:r>
      <w:r>
        <w:rPr>
          <w:sz w:val="21"/>
          <w:szCs w:val="21"/>
        </w:rPr>
        <w:t xml:space="preserve"> (see §6, H2 risk).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The CPA arrangement as income floor — recalibrated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872"/>
        <w:gridCol w:w="4306"/>
      </w:tblGrid>
      <w:tr>
        <w:trPr>
          <w:tblHeader/>
        </w:trPr>
        <w:tc>
          <w:tcPr>
            <w:tcW w:type="dxa" w:w="318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June assumption</w:t>
            </w:r>
          </w:p>
        </w:tc>
        <w:tc>
          <w:tcPr>
            <w:tcW w:type="dxa" w:w="430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Verified 2026-10-06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Terms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$50K base + 20% revshare on net-new recurring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Unsigned.</w:t>
            </w:r>
            <w:r>
              <w:rPr>
                <w:sz w:val="18"/>
                <w:szCs w:val="18"/>
              </w:rPr>
              <w:t xml:space="preserve"> Only the $50K base is "confirmed." Revshare deferred: "worth a separate conversation once we're further in"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Firm scale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~20-person firm, $2.5M revenue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~30 across three firms sharing space; real unit is 11 core + 6 shared. Revenue corrected $3.5M → $2.5M → </w:t>
            </w:r>
            <w:r>
              <w:rPr>
                <w:b/>
                <w:bCs/>
                <w:sz w:val="18"/>
                <w:szCs w:val="18"/>
              </w:rPr>
              <w:t xml:space="preserve">$2.3M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Modeled 3-yr ROI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245% base case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59%</w:t>
            </w:r>
            <w:r>
              <w:rPr>
                <w:sz w:val="18"/>
                <w:szCs w:val="18"/>
              </w:rPr>
              <w:t xml:space="preserve">; conservative case </w:t>
            </w:r>
            <w:r>
              <w:rPr>
                <w:b/>
                <w:bCs/>
                <w:sz w:val="18"/>
                <w:szCs w:val="18"/>
              </w:rPr>
              <w:t xml:space="preserve">net-negative (−$84,250)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Headline automation value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$279K/yr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$113,400/yr</w:t>
            </w:r>
            <w:r>
              <w:rPr>
                <w:sz w:val="18"/>
                <w:szCs w:val="18"/>
              </w:rPr>
              <w:t xml:space="preserve"> (repo instructs to stop quoting the higher figure)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Non-CPA, influence-only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Redefined 2026-07-30 to "Integrator/Chief Strategy Manager" with real authority — enforcement provisions a first draft, </w:t>
            </w:r>
            <w:r>
              <w:rPr>
                <w:b/>
                <w:bCs/>
                <w:sz w:val="18"/>
                <w:szCs w:val="18"/>
              </w:rPr>
              <w:t xml:space="preserve">not yet agreed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The variable-comp structure is close to unreachable on the model the firm is actually running.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_kickoff-2026-10-03/10-ARITHMETIC-VERIFIED.md:22-30</w:t>
      </w:r>
      <w:r>
        <w:rPr>
          <w:sz w:val="21"/>
          <w:szCs w:val="21"/>
        </w:rPr>
        <w:t xml:space="preserve">: gainshare break-even is </w:t>
      </w:r>
      <w:r>
        <w:rPr>
          <w:b/>
          <w:bCs/>
          <w:sz w:val="21"/>
          <w:szCs w:val="21"/>
        </w:rPr>
        <w:t xml:space="preserve">$2,511,144</w:t>
      </w:r>
      <w:r>
        <w:rPr>
          <w:sz w:val="21"/>
          <w:szCs w:val="21"/>
        </w:rPr>
        <w:t xml:space="preserve"> (revised $2,531,307) against ~$2.3M actual — </w:t>
      </w:r>
      <w:r>
        <w:rPr>
          <w:b/>
          <w:bCs/>
          <w:sz w:val="21"/>
          <w:szCs w:val="21"/>
        </w:rPr>
        <w:t xml:space="preserve">+9.2% revenue growth before a single dollar pays out</w:t>
      </w:r>
      <w:r>
        <w:rPr>
          <w:sz w:val="21"/>
          <w:szCs w:val="21"/>
        </w:rPr>
        <w:t xml:space="preserve">. At $2,350,000, </w:t>
      </w:r>
      <w:r>
        <w:rPr>
          <w:i/>
          <w:iCs/>
          <w:sz w:val="21"/>
          <w:szCs w:val="21"/>
        </w:rPr>
        <w:t xml:space="preserve">above</w:t>
      </w:r>
      <w:r>
        <w:rPr>
          <w:sz w:val="21"/>
          <w:szCs w:val="21"/>
        </w:rPr>
        <w:t xml:space="preserve"> current revenue, "operating contribution is 588,855.50, below the 750,000 hurdle, so the pool is [zero]."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Stated honestly:</w:t>
      </w:r>
      <w:r>
        <w:rPr>
          <w:sz w:val="21"/>
          <w:szCs w:val="21"/>
        </w:rPr>
        <w:t xml:space="preserve"> that gainshare covers ten named staff and </w:t>
      </w:r>
      <w:r>
        <w:rPr>
          <w:rFonts w:ascii="Consolas" w:cs="Consolas" w:eastAsia="Consolas" w:hAnsi="Consolas"/>
          <w:sz w:val="19"/>
          <w:szCs w:val="19"/>
        </w:rPr>
        <w:t xml:space="preserve">D1-CORRECTNESS-VERIFICATION.md:165</w:t>
      </w:r>
      <w:r>
        <w:rPr>
          <w:sz w:val="21"/>
          <w:szCs w:val="21"/>
        </w:rPr>
        <w:t xml:space="preserve"> confirms "</w:t>
      </w:r>
      <w:r>
        <w:rPr>
          <w:b/>
          <w:bCs/>
          <w:sz w:val="21"/>
          <w:szCs w:val="21"/>
        </w:rPr>
        <w:t xml:space="preserve">Marcus is not among them</w:t>
      </w:r>
      <w:r>
        <w:rPr>
          <w:sz w:val="21"/>
          <w:szCs w:val="21"/>
        </w:rPr>
        <w:t xml:space="preserve">" — so it is not directly a fact about the deferred revshare. But it is the firm's demonstrated posture on variable compensation, and it reframes the conclusion from "upside is uncertain" to </w:t>
      </w:r>
      <w:r>
        <w:rPr>
          <w:b/>
          <w:bCs/>
          <w:sz w:val="21"/>
          <w:szCs w:val="21"/>
        </w:rPr>
        <w:t xml:space="preserve">"upside above $50K is structurally improbable on the model in use."</w:t>
      </w:r>
      <w:r>
        <w:rPr>
          <w:sz w:val="21"/>
          <w:szCs w:val="21"/>
        </w:rPr>
        <w:t xml:space="preserve"> The concrete negotiating ask that follows: a revenue-share base that does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sit behind a ~10% growth hurdle.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Timing.</w:t>
      </w:r>
      <w:r>
        <w:rPr>
          <w:sz w:val="21"/>
          <w:szCs w:val="21"/>
        </w:rPr>
        <w:t xml:space="preserve"> A full active kickoff corpus exists at </w:t>
      </w:r>
      <w:r>
        <w:rPr>
          <w:rFonts w:ascii="Consolas" w:cs="Consolas" w:eastAsia="Consolas" w:hAnsi="Consolas"/>
          <w:sz w:val="19"/>
          <w:szCs w:val="19"/>
        </w:rPr>
        <w:t xml:space="preserve">cpa-consulting/twk/operating-model/_kickoff-2026-10-03/</w:t>
      </w:r>
      <w:r>
        <w:rPr>
          <w:sz w:val="21"/>
          <w:szCs w:val="21"/>
        </w:rPr>
        <w:t xml:space="preserve">, dated 2026-10-01/02/03. </w:t>
      </w:r>
      <w:r>
        <w:rPr>
          <w:rFonts w:ascii="Consolas" w:cs="Consolas" w:eastAsia="Consolas" w:hAnsi="Consolas"/>
          <w:sz w:val="19"/>
          <w:szCs w:val="19"/>
        </w:rPr>
        <w:t xml:space="preserve">00-RUN-STATE.md</w:t>
      </w:r>
      <w:r>
        <w:rPr>
          <w:sz w:val="21"/>
          <w:szCs w:val="21"/>
        </w:rPr>
        <w:t xml:space="preserve"> derives: start ~Oct 16, plus the model's own "baseline first, 8–12 weeks" ⇒ </w:t>
      </w:r>
      <w:r>
        <w:rPr>
          <w:b/>
          <w:bCs/>
          <w:sz w:val="21"/>
          <w:szCs w:val="21"/>
        </w:rPr>
        <w:t xml:space="preserve">baseline completes mid-December to early January — at the Jan–Apr blackout edge.</w:t>
      </w:r>
      <w:r>
        <w:rPr>
          <w:sz w:val="21"/>
          <w:szCs w:val="21"/>
        </w:rPr>
        <w:t xml:space="preserve"> (Revision 1 said "early December"; the source is later and lands </w:t>
      </w:r>
      <w:r>
        <w:rPr>
          <w:i/>
          <w:iCs/>
          <w:sz w:val="21"/>
          <w:szCs w:val="21"/>
        </w:rPr>
        <w:t xml:space="preserve">on</w:t>
      </w:r>
      <w:r>
        <w:rPr>
          <w:sz w:val="21"/>
          <w:szCs w:val="21"/>
        </w:rPr>
        <w:t xml:space="preserve"> the blackout, which sharpens rather than softens the case for papering terms early.)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family dimension is a real risk. Unsigned compensation plus newly granted authority over staff including the brother who owns the book is a structure that generates conflict under stress. Paper it while relations are easy — and before January, when both leverage and attention vanish for four months.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5. Options, scored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Option A — Federal-first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Lead with SDVOSB; commercial SaaS funds the wait. </w:t>
      </w:r>
      <w:r>
        <w:rPr>
          <w:b/>
          <w:bCs/>
          <w:sz w:val="21"/>
          <w:szCs w:val="21"/>
        </w:rPr>
        <w:t xml:space="preserve">For:</w:t>
      </w:r>
      <w:r>
        <w:rPr>
          <w:sz w:val="21"/>
          <w:szCs w:val="21"/>
        </w:rPr>
        <w:t xml:space="preserve"> the only path with a credible shot above ~$145K; $4,999,203 existence proof; legal mechanics competitors cannot replicate. </w:t>
      </w:r>
      <w:r>
        <w:rPr>
          <w:b/>
          <w:bCs/>
          <w:sz w:val="21"/>
          <w:szCs w:val="21"/>
        </w:rPr>
        <w:t xml:space="preserve">Against:</w:t>
      </w:r>
      <w:r>
        <w:rPr>
          <w:sz w:val="21"/>
          <w:szCs w:val="21"/>
        </w:rPr>
        <w:t xml:space="preserve"> 12–18 months minimum to first dollar; 6–18 month ATO wall; one proof point; no validated live solicitation; certification ≠ capture. </w:t>
      </w:r>
      <w:r>
        <w:rPr>
          <w:b/>
          <w:bCs/>
          <w:sz w:val="21"/>
          <w:szCs w:val="21"/>
        </w:rPr>
        <w:t xml:space="preserve">Verdict:</w:t>
      </w:r>
      <w:r>
        <w:rPr>
          <w:sz w:val="21"/>
          <w:szCs w:val="21"/>
        </w:rPr>
        <w:t xml:space="preserve"> do not </w:t>
      </w:r>
      <w:r>
        <w:rPr>
          <w:i/>
          <w:iCs/>
          <w:sz w:val="21"/>
          <w:szCs w:val="21"/>
        </w:rPr>
        <w:t xml:space="preserve">lead</w:t>
      </w:r>
      <w:r>
        <w:rPr>
          <w:sz w:val="21"/>
          <w:szCs w:val="21"/>
        </w:rPr>
        <w:t xml:space="preserve"> with it; do not </w:t>
      </w:r>
      <w:r>
        <w:rPr>
          <w:i/>
          <w:iCs/>
          <w:sz w:val="21"/>
          <w:szCs w:val="21"/>
        </w:rPr>
        <w:t xml:space="preserve">dismiss</w:t>
      </w:r>
      <w:r>
        <w:rPr>
          <w:sz w:val="21"/>
          <w:szCs w:val="21"/>
        </w:rPr>
        <w:t xml:space="preserve"> it. File, and let it mature.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Option B — Commercial SaaS, distribution-led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Convert existing houses, sell through warm network, federal in background. </w:t>
      </w:r>
      <w:r>
        <w:rPr>
          <w:b/>
          <w:bCs/>
          <w:sz w:val="21"/>
          <w:szCs w:val="21"/>
        </w:rPr>
        <w:t xml:space="preserve">For:</w:t>
      </w:r>
      <w:r>
        <w:rPr>
          <w:sz w:val="21"/>
          <w:szCs w:val="21"/>
        </w:rPr>
        <w:t xml:space="preserve"> validated customers exist; near-zero CAC through warm network; engineering nearly done. </w:t>
      </w:r>
      <w:r>
        <w:rPr>
          <w:b/>
          <w:bCs/>
          <w:sz w:val="21"/>
          <w:szCs w:val="21"/>
        </w:rPr>
        <w:t xml:space="preserve">Against:</w:t>
      </w:r>
      <w:r>
        <w:rPr>
          <w:sz w:val="21"/>
          <w:szCs w:val="21"/>
        </w:rPr>
        <w:t xml:space="preserve"> no moat — a sales-and-service business in software clothing; seven real competitors, two with 1,000–2,000+ accounts; the credibility advantage is already held by the fastest-growing competitor; structurally high churn as houses themselves close; </w:t>
      </w:r>
      <w:r>
        <w:rPr>
          <w:b/>
          <w:bCs/>
          <w:sz w:val="21"/>
          <w:szCs w:val="21"/>
        </w:rPr>
        <w:t xml:space="preserve">corrected ceiling ~$105–140K net at 100 houses, 5+ years out, at or below baseline.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Verdict:</w:t>
      </w:r>
      <w:r>
        <w:rPr>
          <w:sz w:val="21"/>
          <w:szCs w:val="21"/>
        </w:rPr>
        <w:t xml:space="preserve"> the right </w:t>
      </w:r>
      <w:r>
        <w:rPr>
          <w:i/>
          <w:iCs/>
          <w:sz w:val="21"/>
          <w:szCs w:val="21"/>
        </w:rPr>
        <w:t xml:space="preserve">validation</w:t>
      </w:r>
      <w:r>
        <w:rPr>
          <w:sz w:val="21"/>
          <w:szCs w:val="21"/>
        </w:rPr>
        <w:t xml:space="preserve"> path and a legitimate modest business — but not, on these numbers, a path back to prior compensation on a useful timeline.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Option C — CPA automation primary, recovery secondary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For:</w:t>
      </w:r>
      <w:r>
        <w:rPr>
          <w:sz w:val="21"/>
          <w:szCs w:val="21"/>
        </w:rPr>
        <w:t xml:space="preserve"> simplest; immediate partial income. </w:t>
      </w:r>
      <w:r>
        <w:rPr>
          <w:b/>
          <w:bCs/>
          <w:sz w:val="21"/>
          <w:szCs w:val="21"/>
        </w:rPr>
        <w:t xml:space="preserve">Against:</w:t>
      </w:r>
      <w:r>
        <w:rPr>
          <w:sz w:val="21"/>
          <w:szCs w:val="21"/>
        </w:rPr>
        <w:t xml:space="preserve"> unsigned; ROI collapsed 245%→59%; upside above $50K structurally improbable; no equity; family-relationship risk; abandons five paying customers. </w:t>
      </w:r>
      <w:r>
        <w:rPr>
          <w:b/>
          <w:bCs/>
          <w:sz w:val="21"/>
          <w:szCs w:val="21"/>
        </w:rPr>
        <w:t xml:space="preserve">Verdict:</w:t>
      </w:r>
      <w:r>
        <w:rPr>
          <w:sz w:val="21"/>
          <w:szCs w:val="21"/>
        </w:rPr>
        <w:t xml:space="preserve"> the correct answer if §7's validation comes back negative. Not obviously worse than Option B on a risk-adjusted basis, which is itself a finding.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Option D — Continue employment; hold the assets as options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Keep the apps in low-maintenance operation; file VetCert; do the week-one validation; decide later with better information. </w:t>
      </w:r>
      <w:r>
        <w:rPr>
          <w:b/>
          <w:bCs/>
          <w:sz w:val="21"/>
          <w:szCs w:val="21"/>
        </w:rPr>
        <w:t xml:space="preserve">For:</w:t>
      </w:r>
      <w:r>
        <w:rPr>
          <w:sz w:val="21"/>
          <w:szCs w:val="21"/>
        </w:rPr>
        <w:t xml:space="preserve"> preserves the ~$145K+ baseline; costs almost nothing; every option above stays open; the validation work is cheap and does not require leaving anything. </w:t>
      </w:r>
      <w:r>
        <w:rPr>
          <w:b/>
          <w:bCs/>
          <w:sz w:val="21"/>
          <w:szCs w:val="21"/>
        </w:rPr>
        <w:t xml:space="preserve">Against:</w:t>
      </w:r>
      <w:r>
        <w:rPr>
          <w:sz w:val="21"/>
          <w:szCs w:val="21"/>
        </w:rPr>
        <w:t xml:space="preserve"> indefinite deferral has its own cost in motivation and momentum; the apps decay (Angular 9 is EOL). </w:t>
      </w:r>
      <w:r>
        <w:rPr>
          <w:b/>
          <w:bCs/>
          <w:sz w:val="21"/>
          <w:szCs w:val="21"/>
        </w:rPr>
        <w:t xml:space="preserve">Verdict: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this was absent from revision 1 and should not have been.</w:t>
      </w:r>
      <w:r>
        <w:rPr>
          <w:sz w:val="21"/>
          <w:szCs w:val="21"/>
        </w:rPr>
        <w:t xml:space="preserve"> On the corrected numbers it is the strongest risk-adjusted option, and the fact that revision 1 omitted the status-quo baseline from a set of "options" was a framing failure, not an oversight.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Option E — Sell or wind down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Verdict:</w:t>
      </w:r>
      <w:r>
        <w:rPr>
          <w:sz w:val="21"/>
          <w:szCs w:val="21"/>
        </w:rPr>
        <w:t xml:space="preserve"> premature. Solo pre-scale assets fetch 3–5× realized ARR, not the 8–15× health-tech band. At five houses paying ~$15/mo there is nothing to sell.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6. Sensitivity model — what volume would be required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Revision 1's model used a single best-case house and called the output "replacement income." Both were wrong. This is the corrected version, presented as sensitivity rather than projection.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Per-house revenue is a tier-mix question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Professional tier is capped at </w:t>
      </w:r>
      <w:r>
        <w:rPr>
          <w:b/>
          <w:bCs/>
          <w:sz w:val="21"/>
          <w:szCs w:val="21"/>
        </w:rPr>
        <w:t xml:space="preserve">≤20 residents, ≤3 properties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monetization.md:55</w:t>
      </w:r>
      <w:r>
        <w:rPr>
          <w:sz w:val="21"/>
          <w:szCs w:val="21"/>
        </w:rPr>
        <w:t xml:space="preserve">), so revision 1's "mid-size 20-bed house at $129" was modeling the </w:t>
      </w:r>
      <w:r>
        <w:rPr>
          <w:i/>
          <w:iCs/>
          <w:sz w:val="21"/>
          <w:szCs w:val="21"/>
        </w:rPr>
        <w:t xml:space="preserve">ceiling</w:t>
      </w:r>
      <w:r>
        <w:rPr>
          <w:sz w:val="21"/>
          <w:szCs w:val="21"/>
        </w:rPr>
        <w:t xml:space="preserve"> of the band as the average. The real distribution runs lower: average ~15.4 beds on the weak-confidence figures, and the 4,324 Oxford Houses average </w:t>
      </w:r>
      <w:r>
        <w:rPr>
          <w:b/>
          <w:bCs/>
          <w:sz w:val="21"/>
          <w:szCs w:val="21"/>
        </w:rPr>
        <w:t xml:space="preserve">8.3 beds</w:t>
      </w:r>
      <w:r>
        <w:rPr>
          <w:sz w:val="21"/>
          <w:szCs w:val="21"/>
        </w:rPr>
        <w:t xml:space="preserve">, landing on the </w:t>
      </w:r>
      <w:r>
        <w:rPr>
          <w:b/>
          <w:bCs/>
          <w:sz w:val="21"/>
          <w:szCs w:val="21"/>
        </w:rPr>
        <w:t xml:space="preserve">$49</w:t>
      </w:r>
      <w:r>
        <w:rPr>
          <w:sz w:val="21"/>
          <w:szCs w:val="21"/>
        </w:rPr>
        <w:t xml:space="preserve"> Oxford Standard tier (</w:t>
      </w:r>
      <w:r>
        <w:rPr>
          <w:rFonts w:ascii="Consolas" w:cs="Consolas" w:eastAsia="Consolas" w:hAnsi="Consolas"/>
          <w:sz w:val="19"/>
          <w:szCs w:val="19"/>
        </w:rPr>
        <w:t xml:space="preserve">pricing.md:35</w:t>
      </w:r>
      <w:r>
        <w:rPr>
          <w:sz w:val="21"/>
          <w:szCs w:val="21"/>
        </w:rPr>
        <w:t xml:space="preserve">).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An illustrative mix — 20% × 20-bed Professional, 35% × 15-bed Professional, 25% × 10-bed Starter ($69), 20% × 8-bed Oxford ($49) — blends to roughly </w:t>
      </w:r>
      <w:r>
        <w:rPr>
          <w:b/>
          <w:bCs/>
          <w:sz w:val="21"/>
          <w:szCs w:val="21"/>
        </w:rPr>
        <w:t xml:space="preserve">$130–158/mo</w:t>
      </w:r>
      <w:r>
        <w:rPr>
          <w:sz w:val="21"/>
          <w:szCs w:val="21"/>
        </w:rPr>
        <w:t xml:space="preserve">, not $180–220.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The rent-fee line depends on a rail the product deliberately discourages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documented model is method-aware: </w:t>
      </w:r>
      <w:r>
        <w:rPr>
          <w:b/>
          <w:bCs/>
          <w:sz w:val="21"/>
          <w:szCs w:val="21"/>
        </w:rPr>
        <w:t xml:space="preserve">ACH flat $2/txn, card 0.75%</w:t>
      </w:r>
      <w:r>
        <w:rPr>
          <w:sz w:val="21"/>
          <w:szCs w:val="21"/>
        </w:rPr>
        <w:t xml:space="preserve"> — and the repo's own annotation says ACH is "Cheap, </w:t>
      </w:r>
      <w:r>
        <w:rPr>
          <w:b/>
          <w:bCs/>
          <w:sz w:val="21"/>
          <w:szCs w:val="21"/>
        </w:rPr>
        <w:t xml:space="preserve">to nudge bank payments</w:t>
      </w:r>
      <w:r>
        <w:rPr>
          <w:sz w:val="21"/>
          <w:szCs w:val="21"/>
        </w:rPr>
        <w:t xml:space="preserve">," while card is "a </w:t>
      </w:r>
      <w:r>
        <w:rPr>
          <w:b/>
          <w:bCs/>
          <w:sz w:val="21"/>
          <w:szCs w:val="21"/>
        </w:rPr>
        <w:t xml:space="preserve">resident-borne disclosed convenience fee</w:t>
      </w:r>
      <w:r>
        <w:rPr>
          <w:sz w:val="21"/>
          <w:szCs w:val="21"/>
        </w:rPr>
        <w:t xml:space="preserve">" (</w:t>
      </w:r>
      <w:r>
        <w:rPr>
          <w:rFonts w:ascii="Consolas" w:cs="Consolas" w:eastAsia="Consolas" w:hAnsi="Consolas"/>
          <w:sz w:val="19"/>
          <w:szCs w:val="19"/>
        </w:rPr>
        <w:t xml:space="preserve">monetization.md:172-173</w:t>
      </w:r>
      <w:r>
        <w:rPr>
          <w:sz w:val="21"/>
          <w:szCs w:val="21"/>
        </w:rP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872"/>
        <w:gridCol w:w="4306"/>
      </w:tblGrid>
      <w:tr>
        <w:trPr>
          <w:tblHeader/>
        </w:trPr>
        <w:tc>
          <w:tcPr>
            <w:tcW w:type="dxa" w:w="318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Card share (20-bed house)</w:t>
            </w:r>
          </w:p>
        </w:tc>
        <w:tc>
          <w:tcPr>
            <w:tcW w:type="dxa" w:w="187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Rent-fee revenue</w:t>
            </w:r>
          </w:p>
        </w:tc>
        <w:tc>
          <w:tcPr>
            <w:tcW w:type="dxa" w:w="430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Blended total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100% (revision 1's assumption)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$90/mo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$219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50%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$65/mo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$194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0% — all ACH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$40/mo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$169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Revision 1 took the maximum </w:t>
      </w:r>
      <w:r>
        <w:rPr>
          <w:i/>
          <w:iCs/>
          <w:sz w:val="21"/>
          <w:szCs w:val="21"/>
        </w:rPr>
        <w:t xml:space="preserve">and</w:t>
      </w:r>
      <w:r>
        <w:rPr>
          <w:sz w:val="21"/>
          <w:szCs w:val="21"/>
        </w:rPr>
        <w:t xml:space="preserve">, in the same paragraph, recommended driving ACH adoption hard — which halves the line it was justifying. A defensible planning assumption is </w:t>
      </w:r>
      <w:r>
        <w:rPr>
          <w:b/>
          <w:bCs/>
          <w:sz w:val="21"/>
          <w:szCs w:val="21"/>
        </w:rPr>
        <w:t xml:space="preserve">25–40% card</w:t>
      </w:r>
      <w:r>
        <w:rPr>
          <w:sz w:val="21"/>
          <w:szCs w:val="21"/>
        </w:rPr>
        <w:t xml:space="preserve">, not 100%. Note also that the competitive norm (Sobriety Hub) pushes processing fees onto residents, so an operator-paid fee is a competitive disadvantage, and 0.75% gross is not 0.75% net of Stripe.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Gross is not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Line</w:t>
            </w:r>
          </w:p>
        </w:tc>
        <w:tc>
          <w:tcPr>
            <w:tcW w:type="dxa" w:w="542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 100 houses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Blended gross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$156–190K/yr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Stripe on subscriptions (~3%)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−$4–5K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Hosting/Firebase at scale, tools, monitoring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−$8–20K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Insurance (E&amp;O / cyber, health-adjacent)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−$3–6K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Legal (BAA, ToS, ongoing), accounting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−$7–19K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App-store fees — 15–30% on store-routed subscriptions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−$0–21K (D-11 undecided)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Pre-tax net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~$120–165K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After self-employment tax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~$105–140K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source repo already carries a cost line revision 1 ignored: "$60K/year at 250 houses vs. </w:t>
      </w:r>
      <w:r>
        <w:rPr>
          <w:b/>
          <w:bCs/>
          <w:sz w:val="21"/>
          <w:szCs w:val="21"/>
        </w:rPr>
        <w:t xml:space="preserve">$170K/year in estimated costs</w:t>
      </w:r>
      <w:r>
        <w:rPr>
          <w:sz w:val="21"/>
          <w:szCs w:val="21"/>
        </w:rPr>
        <w:t xml:space="preserve">" (</w:t>
      </w:r>
      <w:r>
        <w:rPr>
          <w:rFonts w:ascii="Consolas" w:cs="Consolas" w:eastAsia="Consolas" w:hAnsi="Consolas"/>
          <w:sz w:val="19"/>
          <w:szCs w:val="19"/>
        </w:rPr>
        <w:t xml:space="preserve">regroup-launch-readiness.md:213</w:t>
      </w:r>
      <w:r>
        <w:rPr>
          <w:sz w:val="21"/>
          <w:szCs w:val="21"/>
        </w:rPr>
        <w:t xml:space="preserve">). The in-app-purchase decision (D-11, still open per </w:t>
      </w:r>
      <w:r>
        <w:rPr>
          <w:rFonts w:ascii="Consolas" w:cs="Consolas" w:eastAsia="Consolas" w:hAnsi="Consolas"/>
          <w:sz w:val="19"/>
          <w:szCs w:val="19"/>
        </w:rPr>
        <w:t xml:space="preserve">ecosystem/project-management.md:112</w:t>
      </w:r>
      <w:r>
        <w:rPr>
          <w:sz w:val="21"/>
          <w:szCs w:val="21"/>
        </w:rPr>
        <w:t xml:space="preserve">) is a major swing factor and is unresolved. Chargebacks and solo support labor are unmodeled.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The timeline arithmetic, made visible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At the growth rate this plan itself assumes — </w:t>
      </w:r>
      <w:r>
        <w:rPr>
          <w:b/>
          <w:bCs/>
          <w:sz w:val="21"/>
          <w:szCs w:val="21"/>
        </w:rPr>
        <w:t xml:space="preserve">3–5 houses per quarter</w:t>
      </w:r>
      <w:r>
        <w:rPr>
          <w:sz w:val="21"/>
          <w:szCs w:val="21"/>
        </w:rPr>
        <w:t xml:space="preserve"> from a base of 5 — reaching 100 houses takes: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872"/>
        <w:gridCol w:w="4306"/>
      </w:tblGrid>
      <w:tr>
        <w:trPr>
          <w:tblHeader/>
        </w:trPr>
        <w:tc>
          <w:tcPr>
            <w:tcW w:type="dxa" w:w="318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872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Houses at 3 yrs</w:t>
            </w:r>
          </w:p>
        </w:tc>
        <w:tc>
          <w:tcPr>
            <w:tcW w:type="dxa" w:w="4306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Time to 100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3/quarter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~8 years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5/quarter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~5 years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Revision 1's "100 houses in 2–3 years" requires </w:t>
      </w:r>
      <w:r>
        <w:rPr>
          <w:b/>
          <w:bCs/>
          <w:sz w:val="21"/>
          <w:szCs w:val="21"/>
        </w:rPr>
        <w:t xml:space="preserve">8–16 houses/quarter</w:t>
      </w:r>
      <w:r>
        <w:rPr>
          <w:sz w:val="21"/>
          <w:szCs w:val="21"/>
        </w:rPr>
        <w:t xml:space="preserve">, two to three times its own stated assumption, with no justification. The corpus benchmark is slower still: "a 3–5 year path to mere income recovery (back to your prior ~$145K)" (</w:t>
      </w:r>
      <w:r>
        <w:rPr>
          <w:rFonts w:ascii="Consolas" w:cs="Consolas" w:eastAsia="Consolas" w:hAnsi="Consolas"/>
          <w:sz w:val="19"/>
          <w:szCs w:val="19"/>
        </w:rPr>
        <w:t xml:space="preserve">COMPARISON-cpa-vs-recovery.md:33</w:t>
      </w:r>
      <w:r>
        <w:rPr>
          <w:sz w:val="21"/>
          <w:szCs w:val="21"/>
        </w:rPr>
        <w:t xml:space="preserve">).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So: ~$105–140K net, arriving in roughly 5–8 years, against a ~$145K baseline.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What must be true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Operators actually route rent through the platform, by card.</w:t>
      </w:r>
      <w:r>
        <w:rPr>
          <w:sz w:val="21"/>
          <w:szCs w:val="21"/>
        </w:rPr>
        <w:t xml:space="preserve"> This is ~25–40% of modeled per-house revenue and was entirely unvalidated and unlisted as a risk in revision 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Operators will pay $129+. </w:t>
      </w:r>
      <w:r>
        <w:rPr>
          <w:b/>
          <w:bCs/>
          <w:sz w:val="21"/>
          <w:szCs w:val="21"/>
        </w:rPr>
        <w:t xml:space="preserve">Validated price today is $9.99–$19.99/mo</w:t>
      </w:r>
      <w:r>
        <w:rPr>
          <w:sz w:val="21"/>
          <w:szCs w:val="21"/>
        </w:rPr>
        <w:t xml:space="preserve">; the five legacy houses are contractually capped near $90–103.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The five houses migrate without churning — against a lifetime-locked 20–30% discount.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Warm-network referral produces 3–5 houses/quarter, sustained, as the </w:t>
      </w:r>
      <w:r>
        <w:rPr>
          <w:b/>
          <w:bCs/>
          <w:sz w:val="21"/>
          <w:szCs w:val="21"/>
        </w:rPr>
        <w:t xml:space="preserve">sole</w:t>
      </w:r>
      <w:r>
        <w:rPr>
          <w:sz w:val="21"/>
          <w:szCs w:val="21"/>
        </w:rPr>
        <w:t xml:space="preserve"> growth channel.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Churn stays under ~3%/mo, in a market where customer businesses themselves close.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DrugTest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Meeting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Phase</w:t>
      </w:r>
      <w:r>
        <w:rPr>
          <w:sz w:val="21"/>
          <w:szCs w:val="21"/>
        </w:rPr>
        <w:t xml:space="preserve"> fields are actually populated. If sparse, </w:t>
      </w:r>
      <w:r>
        <w:rPr>
          <w:b/>
          <w:bCs/>
          <w:sz w:val="21"/>
          <w:szCs w:val="21"/>
        </w:rPr>
        <w:t xml:space="preserve">the outcomes-reporting wedge has no data to run on</w:t>
      </w:r>
      <w:r>
        <w:rPr>
          <w:sz w:val="21"/>
          <w:szCs w:val="21"/>
        </w:rPr>
        <w:t xml:space="preserve"> and the first build becomes frictionless capture instead.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Solo support load at 100 B2B accounts remains survivable — unmodeled anywhere.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Assumptions 0, 1, 3, and 5 are all answerable in one week at zero cost. That is §7.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7. Lowest-cost ways to reduce uncertainty, in order of cost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Framed as experiments, not instructions — each is reversible and none commits to a path.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Week 1 — customer truth (zero cost, settles the most)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Talk to all five operators: what they'd pay for that they lack; what would make them leave; whether $129 is conceivable; whether they'd accept moving off legacy pricing; what they use alongside Regroup.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Query actual rent volume and the card/ACH split</w:t>
      </w:r>
      <w:r>
        <w:rPr>
          <w:sz w:val="21"/>
          <w:szCs w:val="21"/>
        </w:rPr>
        <w:t xml:space="preserve"> across the five houses. Assumption 0 is ~25–40% of the revenue model and has never been checked.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Query field-population rates for </w:t>
      </w:r>
      <w:r>
        <w:rPr>
          <w:rFonts w:ascii="Consolas" w:cs="Consolas" w:eastAsia="Consolas" w:hAnsi="Consolas"/>
          <w:sz w:val="19"/>
          <w:szCs w:val="19"/>
        </w:rPr>
        <w:t xml:space="preserve">DrugTest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Meeting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Phase</w:t>
      </w:r>
      <w:r>
        <w:rPr>
          <w:sz w:val="21"/>
          <w:szCs w:val="21"/>
        </w:rPr>
        <w:t xml:space="preserve">. Check the database, not the self-report.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Confirm in Stripe that all five are in fact still active and paying — current belief rests on documentation, not a billing query.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Write down, in advance, what result would falsify the commercial path.</w:t>
      </w:r>
    </w:p>
    <w:p>
      <w:pPr>
        <w:spacing w:after="140" w:line="276"/>
        <w:jc w:val="left"/>
      </w:pPr>
      <w:r>
        <w:rPr>
          <w:b/>
          <w:bCs/>
          <w:sz w:val="21"/>
          <w:szCs w:val="21"/>
        </w:rPr>
        <w:t xml:space="preserve">Gate:</w:t>
      </w:r>
      <w:r>
        <w:rPr>
          <w:sz w:val="21"/>
          <w:szCs w:val="21"/>
        </w:rPr>
        <w:t xml:space="preserve"> if operators won't move materially above ~$20/mo and compliance data is sparse, Option B is not viable as written, and Options C and D become primary.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Weeks 1–2 — stop the bleeding (mechanical, low risk)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Hide or fix the detox-recovery dead buy buttons — the one active liability.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Fix Homegroups' missing default Stripe prices (~20 min; unblocks </w:t>
      </w:r>
      <w:r>
        <w:rPr>
          <w:b/>
          <w:bCs/>
          <w:sz w:val="21"/>
          <w:szCs w:val="21"/>
        </w:rPr>
        <w:t xml:space="preserve">intergroup/treatment-center</w:t>
      </w:r>
      <w:r>
        <w:rPr>
          <w:sz w:val="21"/>
          <w:szCs w:val="21"/>
        </w:rPr>
        <w:t xml:space="preserve"> checkout specifically, not all checkout).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Fix </w:t>
      </w:r>
      <w:r>
        <w:rPr>
          <w:rFonts w:ascii="Consolas" w:cs="Consolas" w:eastAsia="Consolas" w:hAnsi="Consolas"/>
          <w:sz w:val="19"/>
          <w:szCs w:val="19"/>
        </w:rPr>
        <w:t xml:space="preserve">deploy-batched.sh</w:t>
      </w:r>
      <w:r>
        <w:rPr>
          <w:sz w:val="21"/>
          <w:szCs w:val="21"/>
        </w:rPr>
        <w:t xml:space="preserve"> (40→53) and remove the </w:t>
      </w:r>
      <w:r>
        <w:rPr>
          <w:rFonts w:ascii="Consolas" w:cs="Consolas" w:eastAsia="Consolas" w:hAnsi="Consolas"/>
          <w:sz w:val="19"/>
          <w:szCs w:val="19"/>
        </w:rPr>
        <w:t xml:space="preserve">|| echo … continuing</w:t>
      </w:r>
      <w:r>
        <w:rPr>
          <w:sz w:val="21"/>
          <w:szCs w:val="21"/>
        </w:rPr>
        <w:t xml:space="preserve"> mask.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Commit </w:t>
      </w:r>
      <w:r>
        <w:rPr>
          <w:rFonts w:ascii="Consolas" w:cs="Consolas" w:eastAsia="Consolas" w:hAnsi="Consolas"/>
          <w:sz w:val="19"/>
          <w:szCs w:val="19"/>
        </w:rPr>
        <w:t xml:space="preserve">.env.phoenix-cleanhouse</w:t>
      </w:r>
      <w:r>
        <w:rPr>
          <w:sz w:val="21"/>
          <w:szCs w:val="21"/>
        </w:rPr>
        <w:t xml:space="preserve"> so deploys are not laptop-bound.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Wire error reporting; make </w:t>
      </w:r>
      <w:r>
        <w:rPr>
          <w:rFonts w:ascii="Consolas" w:cs="Consolas" w:eastAsia="Consolas" w:hAnsi="Consolas"/>
          <w:sz w:val="19"/>
          <w:szCs w:val="19"/>
        </w:rPr>
        <w:t xml:space="preserve">scheduledRentCollection</w:t>
      </w:r>
      <w:r>
        <w:rPr>
          <w:sz w:val="21"/>
          <w:szCs w:val="21"/>
        </w:rPr>
        <w:t xml:space="preserve"> rethrow. A paying customer's silent failure is the fastest way to lose the only validated revenue in the portfolio.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Weeks 2–6 — cheap options, capacity permitting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File SBA VetCert and SAM.gov (NAICS 541511/541512/513210). Free; plan 90 days; then stop thinking about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Two entity decisions, not one:</w:t>
      </w:r>
      <w:r>
        <w:rPr>
          <w:sz w:val="21"/>
          <w:szCs w:val="21"/>
        </w:rPr>
        <w:t xml:space="preserve"> an SDVOSB-eligible LLC at ≥51% veteran ownership/control (13 CFR 128.200/128.300) for the operator and federal products, </w:t>
      </w:r>
      <w:r>
        <w:rPr>
          <w:i/>
          <w:iCs/>
          <w:sz w:val="21"/>
          <w:szCs w:val="21"/>
        </w:rPr>
        <w:t xml:space="preserve">and</w:t>
      </w:r>
      <w:r>
        <w:rPr>
          <w:sz w:val="21"/>
          <w:szCs w:val="21"/>
        </w:rPr>
        <w:t xml:space="preserve"> separately whether the fellowship-facing product belongs in a nonprofit or fiscally-sponsored vehicle per </w:t>
      </w:r>
      <w:r>
        <w:rPr>
          <w:rFonts w:ascii="Consolas" w:cs="Consolas" w:eastAsia="Consolas" w:hAnsi="Consolas"/>
          <w:sz w:val="19"/>
          <w:szCs w:val="19"/>
        </w:rPr>
        <w:t xml:space="preserve">homegroups-strategic-decision.md:89</w:t>
      </w:r>
      <w:r>
        <w:rPr>
          <w:sz w:val="21"/>
          <w:szCs w:val="21"/>
        </w:rPr>
        <w:t xml:space="preserve">. These are incompatible structures for one entity.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Paper the CPA revenue-share definition before January</w:t>
      </w:r>
      <w:r>
        <w:rPr>
          <w:sz w:val="21"/>
          <w:szCs w:val="21"/>
        </w:rPr>
        <w:t xml:space="preserve">, with the explicit ask that it not sit behind a ~10% growth hurdle.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Credential hygiene: rotate the three leaked service-account keys (history rewrite — multi-day, high-risk, schedule deliberately), purge the four production E2E accounts, triage the 3 critical npm vulnerabilities.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Legal gates — before, not after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Consult healthcare-regulatory counsel on EKRA and 42 CFR Part 2 before any referral-adjacent feature or revenue.</w:t>
      </w:r>
      <w:r>
        <w:rPr>
          <w:sz w:val="21"/>
          <w:szCs w:val="21"/>
        </w:rPr>
        <w:t xml:space="preserve"> Flagged as blocking in every prior document; no evidence it has happened. Not tracked in the CPA repo (out of scope there) and confirmed nowhere else.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Decide the HIPAA BAA question before onboarding any operator who bills insurance, runs MAT, or partners with a treatment center.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Attorney-review ToS and Privacy.</w:t>
      </w:r>
    </w:p>
    <w:p>
      <w:pPr>
        <w:pStyle w:val="Heading3"/>
        <w:spacing w:after="100" w:before="240"/>
      </w:pPr>
      <w:r>
        <w:rPr>
          <w:b/>
          <w:bCs/>
          <w:color w:val="2E5496"/>
          <w:sz w:val="22"/>
          <w:szCs w:val="22"/>
        </w:rPr>
        <w:t xml:space="preserve">A capacity constraint that governs all of the above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CPA engagement starts ~Oct 16 with a baseline completing </w:t>
      </w:r>
      <w:r>
        <w:rPr>
          <w:b/>
          <w:bCs/>
          <w:sz w:val="21"/>
          <w:szCs w:val="21"/>
        </w:rPr>
        <w:t xml:space="preserve">mid-Dec to early Jan</w:t>
      </w:r>
      <w:r>
        <w:rPr>
          <w:sz w:val="21"/>
          <w:szCs w:val="21"/>
        </w:rPr>
        <w:t xml:space="preserve">. That consumes precisely the window items 6–14 occupy. Revision 1 scheduled five engineering fixes, a git-history rewrite, certification filings, two entity formations, a compensation negotiation, a new product build, five customer migrations, and 3–5 new sales into the same quarter as a new full-time-shaped role. </w:t>
      </w:r>
      <w:r>
        <w:rPr>
          <w:b/>
          <w:bCs/>
          <w:sz w:val="21"/>
          <w:szCs w:val="21"/>
        </w:rPr>
        <w:t xml:space="preserve">That is not a schedule; it is a wish.</w:t>
      </w:r>
      <w:r>
        <w:rPr>
          <w:sz w:val="21"/>
          <w:szCs w:val="21"/>
        </w:rPr>
        <w:t xml:space="preserve"> Items 1–5 (one week, zero cost) and item 6 (one hour, liability-stopping) are the only things that credibly fit before January.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8.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84"/>
        <w:gridCol w:w="2184"/>
        <w:gridCol w:w="2184"/>
      </w:tblGrid>
      <w:tr>
        <w:trPr>
          <w:tblHeader/>
        </w:trPr>
        <w:tc>
          <w:tcPr>
            <w:tcW w:type="dxa" w:w="2808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2184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2184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2184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Operators won't pay $129+ (validated price is $10–20/mo)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Unvalidated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Gates the entire commercial model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Rent not routed through platform / ACH-heavy mix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Unvalidated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25–40% of modeled per-house revenue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Net ceiling at/below ~$145K baseline, 5–8 yrs out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Confirmed by corrected model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The central strategic problem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Tier-mix dilution toward $49/$69 houses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Structural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Oxford Houses avg 8.3 beds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Wedge occupied (Anchor Living, HopeLinx)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Re-pick from customer evidence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 data sparse in practice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Unvalidated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Would void the outcomes wedge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EKRA exposure on referral features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Counsel never consulted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Flat-fee only; $200K/10yr per occurrence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Author time capacity vs. CPA engagement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Confirmed conflict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Oct–Dec fully consumed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Solo support burden at 100 B2B accounts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Unmodeled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Binding constraint on a service business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App-store review, unestimated, on critical path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Neither app submitted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 confirmed app IDs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Channel concentration — Oxford retired, warm network sole engine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LTV ~$3.3k vs. 3:1 norm ⇒ low-CAC only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Silent production failure for a paying customer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Open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Weeks 1–2 fix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CPA terms unsigned; upside structurally improbable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Paper before January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Legacy migration churns the five houses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Lifetime-locked 20–30% discount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Relationship-led, not automated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Structural churn (customer businesses close)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Market characteristic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Favor multi-house operators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Leaked service-account keys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Latent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History rewrite required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Homegroup.Online (501c3) undercuts treasury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Execution lead, not moat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Entity-structure conflict (SDVOSB LLC vs. nonprofit)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Unresolved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Two decisions, not one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Federal channel never converts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Likely on 12–18mo horizon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Plan does not depend on it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Family-relationship conflict at the firm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Authority granted, terms unagreed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Paper while relations are easy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Angular 9 web EOL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Low-Med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Not revenue-blocking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9. Verify before relying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The ~$145K baseline itself.</w:t>
      </w:r>
      <w:r>
        <w:rPr>
          <w:sz w:val="21"/>
          <w:szCs w:val="21"/>
        </w:rPr>
        <w:t xml:space="preserve"> Taken from </w:t>
      </w:r>
      <w:r>
        <w:rPr>
          <w:rFonts w:ascii="Consolas" w:cs="Consolas" w:eastAsia="Consolas" w:hAnsi="Consolas"/>
          <w:sz w:val="19"/>
          <w:szCs w:val="19"/>
        </w:rPr>
        <w:t xml:space="preserve">COMPARISON-cpa-vs-recovery.md:33</w:t>
      </w:r>
      <w:r>
        <w:rPr>
          <w:sz w:val="21"/>
          <w:szCs w:val="21"/>
        </w:rPr>
        <w:t xml:space="preserve">. If actual prior total compensation was materially higher, every conclusion here gets worse, not better. This is the most load-bearing number in the memo and it came from a document, not from the user.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Whether the five houses are still active and paying</w:t>
      </w:r>
      <w:r>
        <w:rPr>
          <w:sz w:val="21"/>
          <w:szCs w:val="21"/>
        </w:rPr>
        <w:t xml:space="preserve"> — documentation, not a billing query.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Whether Oct 3–5 commits closed the Android build break</w:t>
      </w:r>
      <w:r>
        <w:rPr>
          <w:sz w:val="21"/>
          <w:szCs w:val="21"/>
        </w:rPr>
        <w:t xml:space="preserve"> — inferred from commit messages (AGP 7.4.2→8.1.1, minSdk 34→23), not from a successful store build.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App-store review lead time</w:t>
      </w:r>
      <w:r>
        <w:rPr>
          <w:sz w:val="21"/>
          <w:szCs w:val="21"/>
        </w:rPr>
        <w:t xml:space="preserve"> — entirely unestimated; longest-lead item on the critical path.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Competitor feature depth</w:t>
      </w:r>
      <w:r>
        <w:rPr>
          <w:sz w:val="21"/>
          <w:szCs w:val="21"/>
        </w:rPr>
        <w:t xml:space="preserve"> — Anchor Living and HopeLinx assessed from 2026 buyer's-guide summaries, not hands-on trials. Run trials before conceding or contesting the wedge.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VetCert processing</w:t>
      </w:r>
      <w:r>
        <w:rPr>
          <w:sz w:val="21"/>
          <w:szCs w:val="21"/>
        </w:rPr>
        <w:t xml:space="preserve"> — sources conflict (~12 vs. 60–90+ days). Confirm with SBA.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VA SDVOSB spending and the IHT 2.0 roster</w:t>
      </w:r>
      <w:r>
        <w:rPr>
          <w:sz w:val="21"/>
          <w:szCs w:val="21"/>
        </w:rPr>
        <w:t xml:space="preserve"> — FY2024-era, not re-verified at source.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The ~17,900 residence count</w:t>
      </w:r>
      <w:r>
        <w:rPr>
          <w:sz w:val="21"/>
          <w:szCs w:val="21"/>
        </w:rPr>
        <w:t xml:space="preserve"> — rated "weak" in its own source; NSTARR physically identified ~10,358–10,558. Prefer the lower figure.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EKRA posture</w:t>
      </w:r>
      <w:r>
        <w:rPr>
          <w:sz w:val="21"/>
          <w:szCs w:val="21"/>
        </w:rPr>
        <w:t xml:space="preserve"> — the Ninth Circuit's </w:t>
      </w:r>
      <w:r>
        <w:rPr>
          <w:i/>
          <w:iCs/>
          <w:sz w:val="21"/>
          <w:szCs w:val="21"/>
        </w:rPr>
        <w:t xml:space="preserve">Schena</w:t>
      </w:r>
      <w:r>
        <w:rPr>
          <w:sz w:val="21"/>
          <w:szCs w:val="21"/>
        </w:rPr>
        <w:t xml:space="preserve"> holding (percentage comp not per se unlawful absent "wrongful inducement") binds only the Ninth Circuit; a Supreme Court petition is pending; criminal enforcement continued through 2025. Needs counsel, not a memo.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Whether the CPA role changed after 2026-10-03</w:t>
      </w:r>
      <w:r>
        <w:rPr>
          <w:sz w:val="21"/>
          <w:szCs w:val="21"/>
        </w:rPr>
        <w:t xml:space="preserve">, the newest kickoff document.</w:t>
      </w:r>
    </w:p>
    <w:p>
      <w:pPr>
        <w:pBdr>
          <w:bottom w:val="single" w:color="BFBFBF" w:sz="6" w:space="6"/>
        </w:pBdr>
        <w:spacing w:after="200" w:before="12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10. The bottom line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Revision 1 of this memo concluded there was "a realistic path to $150–250K owner income over 2–3 years." That conclusion does not survive its own arithmetic once per-house revenue is modeled on a realistic tier mix, the rent-fee rail is set to what the product actually encourages, a cost stack is included, and the growth rate is held to the one the plan itself states. The corrected figure is </w:t>
      </w:r>
      <w:r>
        <w:rPr>
          <w:b/>
          <w:bCs/>
          <w:sz w:val="21"/>
          <w:szCs w:val="21"/>
        </w:rPr>
        <w:t xml:space="preserve">roughly $105–140K net at 100 houses, arriving in about 5–8 years, against a ~$145K baseline.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That reframes the decision. The question is not "which venture?" — the prior research answered that adequately. The question is </w:t>
      </w:r>
      <w:r>
        <w:rPr>
          <w:b/>
          <w:bCs/>
          <w:sz w:val="21"/>
          <w:szCs w:val="21"/>
        </w:rPr>
        <w:t xml:space="preserve">whether a five-plus-year path back to approximately the prior income is worth the risk</w:t>
      </w:r>
      <w:r>
        <w:rPr>
          <w:sz w:val="21"/>
          <w:szCs w:val="21"/>
        </w:rPr>
        <w:t xml:space="preserve">, when the alternative is continuing to earn that income while holding these assets as options, filing a free certification, and spending one week finding out what five existing customers actually want.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What this is not: a venture-scale opportunity, a defensible technology moat, a path that works because of the federal channel, or a plan that fits in the next quarter alongside a new role.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What it plausibly is: a modest, real, slow-growing niche business with genuine early customers and a sales advantage that is helpful but neither unique nor durable — plus one low-probability, high-ceiling federal option that costs almost nothing to hold.</w:t>
      </w:r>
    </w:p>
    <w:p>
      <w:pPr>
        <w:spacing w:after="140" w:line="276"/>
        <w:jc w:val="left"/>
      </w:pPr>
      <w:r>
        <w:rPr>
          <w:sz w:val="21"/>
          <w:szCs w:val="21"/>
        </w:rPr>
        <w:t xml:space="preserve">The validation work in §7 items 1–5 costs a week and nothing else, requires leaving nothing, and settles four of the six assumptions the whole commercial case rests on. </w:t>
      </w:r>
      <w:r>
        <w:rPr>
          <w:b/>
          <w:bCs/>
          <w:sz w:val="21"/>
          <w:szCs w:val="21"/>
        </w:rPr>
        <w:t xml:space="preserve">Whatever the eventual decision, that week is worth spending first</w:t>
      </w:r>
      <w:r>
        <w:rPr>
          <w:sz w:val="21"/>
          <w:szCs w:val="21"/>
        </w:rPr>
        <w:t xml:space="preserve"> — it is the only step in this document that is clearly correct under every option, including the option of changing nothing.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  <w:lvl w:ilvl="1" w:tentative="1">
      <w:start w:val="1"/>
      <w:numFmt w:val="lowerLetter"/>
      <w:lvlText w:val="%2."/>
      <w:lvlJc w:val="left"/>
      <w:pPr>
        <w:ind w:left="760" w:hanging="300"/>
      </w:pPr>
    </w:lvl>
    <w:lvl w:ilvl="2" w:tentative="1">
      <w:start w:val="1"/>
      <w:numFmt w:val="lowerRoman"/>
      <w:lvlText w:val="%3."/>
      <w:lvlJc w:val="left"/>
      <w:pPr>
        <w:ind w:left="11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Recovery-Industry Venture — Strategic Options Memo</dc:title>
  <dc:creator>Marcus Klein</dc:creator>
  <dc:description>Private planning draft — option evaluation only</dc:description>
  <cp:lastModifiedBy>Un-named</cp:lastModifiedBy>
  <cp:revision>1</cp:revision>
  <dcterms:created xsi:type="dcterms:W3CDTF">2026-10-06T05:25:35.547Z</dcterms:created>
  <dcterms:modified xsi:type="dcterms:W3CDTF">2026-10-06T05:25:35.548Z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