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F3864"/>
          <w:sz w:val="56"/>
          <w:szCs w:val="56"/>
        </w:rPr>
        <w:t xml:space="preserve">Louisiana Treatment Centers</w:t>
      </w:r>
    </w:p>
    <w:p>
      <w:pPr>
        <w:spacing w:after="400"/>
      </w:pPr>
      <w:r>
        <w:rPr>
          <w:color w:val="1F3864"/>
          <w:sz w:val="40"/>
          <w:szCs w:val="40"/>
        </w:rPr>
        <w:t xml:space="preserve">Capital Requirements &amp; Staged Entry</w:t>
      </w:r>
    </w:p>
    <w:p>
      <w:pPr>
        <w:pBdr>
          <w:top w:val="single" w:color="1F3864" w:sz="12" w:space="8"/>
        </w:pBdr>
        <w:spacing w:after="300"/>
      </w:pPr>
      <w:r>
        <w:t xml:space="preserve"/>
      </w:r>
    </w:p>
    <w:p>
      <w:pPr>
        <w:spacing w:after="100"/>
      </w:pPr>
      <w:r>
        <w:rPr>
          <w:b/>
          <w:bCs/>
          <w:sz w:val="22"/>
          <w:szCs w:val="22"/>
        </w:rPr>
        <w:t xml:space="preserve">Prepared:  </w:t>
      </w:r>
      <w:r>
        <w:rPr>
          <w:sz w:val="22"/>
          <w:szCs w:val="22"/>
        </w:rPr>
        <w:t xml:space="preserve">6 October 2026</w:t>
      </w:r>
    </w:p>
    <w:p>
      <w:pPr>
        <w:spacing w:after="100"/>
      </w:pPr>
      <w:r>
        <w:rPr>
          <w:b/>
          <w:bCs/>
          <w:sz w:val="22"/>
          <w:szCs w:val="22"/>
        </w:rPr>
        <w:t xml:space="preserve">Revision:  </w:t>
      </w:r>
      <w:r>
        <w:rPr>
          <w:sz w:val="22"/>
          <w:szCs w:val="22"/>
        </w:rPr>
        <w:t xml:space="preserve">3 — post-adversarial-review</w:t>
      </w:r>
    </w:p>
    <w:p>
      <w:pPr>
        <w:spacing w:after="100"/>
      </w:pPr>
      <w:r>
        <w:rPr>
          <w:b/>
          <w:bCs/>
          <w:sz w:val="22"/>
          <w:szCs w:val="22"/>
        </w:rPr>
        <w:t xml:space="preserve">Status:  </w:t>
      </w:r>
      <w:r>
        <w:rPr>
          <w:sz w:val="22"/>
          <w:szCs w:val="22"/>
        </w:rPr>
        <w:t xml:space="preserve">Capital requirements and staged entry analysis</w:t>
      </w:r>
    </w:p>
    <w:p>
      <w:pPr>
        <w:pBdr>
          <w:top w:val="single" w:color="BF9000" w:sz="6" w:space="10"/>
          <w:left w:val="single" w:color="BF9000" w:sz="6" w:space="10"/>
          <w:bottom w:val="single" w:color="BF9000" w:sz="6" w:space="10"/>
          <w:right w:val="single" w:color="BF9000" w:sz="6" w:space="10"/>
        </w:pBdr>
        <w:shd w:fill="FFF2CC" w:color="auto" w:val="clear"/>
        <w:spacing w:after="0" w:before="400"/>
      </w:pPr>
      <w:r>
        <w:rPr>
          <w:i/>
          <w:iCs/>
          <w:sz w:val="20"/>
          <w:szCs w:val="20"/>
        </w:rPr>
        <w:t xml:space="preserve">Scope: Business and regulatory analysis for private planning. Not legal, clinical, tax, or investment advice. Capital figures are build-up estimates from actual Louisiana LDH licensing fees and Medicaid rates (IB 25-31, eff. 1/1/2026) combined with directional national ranges for build-out, insurance, and staffing — they are planning estimates, not quotes. Section 8 lists every figure requiring independent confirmation before capital is committed.</w:t>
      </w:r>
    </w:p>
    <w:p>
      <w:r>
        <w:br w:type="page"/>
      </w:r>
    </w:p>
    <w:p>
      <w:pPr>
        <w:spacing w:after="200"/>
      </w:pPr>
      <w:r>
        <w:rPr>
          <w:b/>
          <w:bCs/>
          <w:color w:val="1F3864"/>
          <w:sz w:val="32"/>
          <w:szCs w:val="32"/>
        </w:rPr>
        <w:t xml:space="preserve">Contents</w:t>
      </w:r>
    </w:p>
    <w:p>
      <w:pPr>
        <w:spacing w:after="90"/>
        <w:ind w:left="420" w:hanging="420"/>
      </w:pPr>
      <w:r>
        <w:rPr>
          <w:b/>
          <w:bCs/>
          <w:color w:val="1F3864"/>
          <w:sz w:val="22"/>
          <w:szCs w:val="22"/>
        </w:rPr>
        <w:t xml:space="preserve">0.</w:t>
      </w:r>
      <w:r>
        <w:rPr>
          <w:sz w:val="22"/>
          <w:szCs w:val="22"/>
        </w:rPr>
        <w:t xml:space="preserve">  Direct answer: what capital is required</w:t>
      </w:r>
    </w:p>
    <w:p>
      <w:pPr>
        <w:spacing w:after="90"/>
        <w:ind w:left="420" w:hanging="420"/>
      </w:pPr>
      <w:r>
        <w:rPr>
          <w:b/>
          <w:bCs/>
          <w:color w:val="1F3864"/>
          <w:sz w:val="22"/>
          <w:szCs w:val="22"/>
        </w:rPr>
        <w:t xml:space="preserve">1.</w:t>
      </w:r>
      <w:r>
        <w:rPr>
          <w:sz w:val="22"/>
          <w:szCs w:val="22"/>
        </w:rPr>
        <w:t xml:space="preserve">  The Louisiana numbers that actually drive the model</w:t>
      </w:r>
    </w:p>
    <w:p>
      <w:pPr>
        <w:spacing w:after="90"/>
        <w:ind w:left="420" w:hanging="420"/>
      </w:pPr>
      <w:r>
        <w:rPr>
          <w:b/>
          <w:bCs/>
          <w:color w:val="1F3864"/>
          <w:sz w:val="22"/>
          <w:szCs w:val="22"/>
        </w:rPr>
        <w:t xml:space="preserve">2.</w:t>
      </w:r>
      <w:r>
        <w:rPr>
          <w:sz w:val="22"/>
          <w:szCs w:val="22"/>
        </w:rPr>
        <w:t xml:space="preserve">  Capital models</w:t>
      </w:r>
    </w:p>
    <w:p>
      <w:pPr>
        <w:spacing w:after="90"/>
        <w:ind w:left="420" w:hanging="420"/>
      </w:pPr>
      <w:r>
        <w:rPr>
          <w:b/>
          <w:bCs/>
          <w:color w:val="1F3864"/>
          <w:sz w:val="22"/>
          <w:szCs w:val="22"/>
        </w:rPr>
        <w:t xml:space="preserve">3.</w:t>
      </w:r>
      <w:r>
        <w:rPr>
          <w:sz w:val="22"/>
          <w:szCs w:val="22"/>
        </w:rPr>
        <w:t xml:space="preserve">  Sequencing — revised after review</w:t>
      </w:r>
    </w:p>
    <w:p>
      <w:pPr>
        <w:spacing w:after="90"/>
        <w:ind w:left="420" w:hanging="420"/>
      </w:pPr>
      <w:r>
        <w:rPr>
          <w:b/>
          <w:bCs/>
          <w:color w:val="1F3864"/>
          <w:sz w:val="22"/>
          <w:szCs w:val="22"/>
        </w:rPr>
        <w:t xml:space="preserve">4.</w:t>
      </w:r>
      <w:r>
        <w:rPr>
          <w:sz w:val="22"/>
          <w:szCs w:val="22"/>
        </w:rPr>
        <w:t xml:space="preserve">  Non-negotiable architecture</w:t>
      </w:r>
    </w:p>
    <w:p>
      <w:pPr>
        <w:spacing w:after="90"/>
        <w:ind w:left="420" w:hanging="420"/>
      </w:pPr>
      <w:r>
        <w:rPr>
          <w:b/>
          <w:bCs/>
          <w:color w:val="1F3864"/>
          <w:sz w:val="22"/>
          <w:szCs w:val="22"/>
        </w:rPr>
        <w:t xml:space="preserve">5.</w:t>
      </w:r>
      <w:r>
        <w:rPr>
          <w:sz w:val="22"/>
          <w:szCs w:val="22"/>
        </w:rPr>
        <w:t xml:space="preserve">  Risk register</w:t>
      </w:r>
    </w:p>
    <w:p>
      <w:pPr>
        <w:spacing w:after="90"/>
        <w:ind w:left="420" w:hanging="420"/>
      </w:pPr>
      <w:r>
        <w:rPr>
          <w:b/>
          <w:bCs/>
          <w:color w:val="1F3864"/>
          <w:sz w:val="22"/>
          <w:szCs w:val="22"/>
        </w:rPr>
        <w:t xml:space="preserve">6.</w:t>
      </w:r>
      <w:r>
        <w:rPr>
          <w:sz w:val="22"/>
          <w:szCs w:val="22"/>
        </w:rPr>
        <w:t xml:space="preserve">  Next steps — free, high-information, no capital</w:t>
      </w:r>
    </w:p>
    <w:p>
      <w:pPr>
        <w:spacing w:after="90"/>
        <w:ind w:left="420" w:hanging="420"/>
      </w:pPr>
      <w:r>
        <w:rPr>
          <w:b/>
          <w:bCs/>
          <w:color w:val="1F3864"/>
          <w:sz w:val="22"/>
          <w:szCs w:val="22"/>
        </w:rPr>
        <w:t xml:space="preserve">7.</w:t>
      </w:r>
      <w:r>
        <w:rPr>
          <w:sz w:val="22"/>
          <w:szCs w:val="22"/>
        </w:rPr>
        <w:t xml:space="preserve">  Verify before relying</w:t>
      </w:r>
    </w:p>
    <w:p>
      <w:pPr>
        <w:spacing w:after="90"/>
        <w:ind w:left="420" w:hanging="420"/>
      </w:pPr>
      <w:r>
        <w:rPr>
          <w:sz w:val="22"/>
          <w:szCs w:val="22"/>
        </w:rPr>
        <w:t xml:space="preserve">7a. Updates from the capital-raising research</w:t>
      </w:r>
    </w:p>
    <w:p>
      <w:pPr>
        <w:spacing w:after="90"/>
        <w:ind w:left="420" w:hanging="420"/>
      </w:pPr>
      <w:r>
        <w:rPr>
          <w:b/>
          <w:bCs/>
          <w:color w:val="1F3864"/>
          <w:sz w:val="22"/>
          <w:szCs w:val="22"/>
        </w:rPr>
        <w:t xml:space="preserve">8.</w:t>
      </w:r>
      <w:r>
        <w:rPr>
          <w:sz w:val="22"/>
          <w:szCs w:val="22"/>
        </w:rPr>
        <w:t xml:space="preserve">  Bottom line</w:t>
      </w:r>
    </w:p>
    <w:p>
      <w:r>
        <w:br w:type="page"/>
      </w:r>
    </w:p>
    <w:p>
      <w:pPr>
        <w:pStyle w:val="Heading1"/>
        <w:spacing w:after="160" w:before="360"/>
      </w:pPr>
      <w:r>
        <w:rPr>
          <w:b/>
          <w:bCs/>
          <w:color w:val="1F3864"/>
          <w:sz w:val="34"/>
          <w:szCs w:val="34"/>
        </w:rPr>
        <w:t xml:space="preserve">Louisiana Treatment Center Venture — Capital Requirements &amp; Staged Entry</w:t>
      </w:r>
    </w:p>
    <w:p>
      <w:pPr>
        <w:spacing w:after="140" w:line="276"/>
        <w:jc w:val="left"/>
      </w:pPr>
      <w:r>
        <w:rPr>
          <w:b/>
          <w:bCs/>
          <w:sz w:val="21"/>
          <w:szCs w:val="21"/>
        </w:rPr>
        <w:t xml:space="preserve">Prepared:</w:t>
      </w:r>
      <w:r>
        <w:rPr>
          <w:sz w:val="21"/>
          <w:szCs w:val="21"/>
        </w:rPr>
        <w:t xml:space="preserve"> 2026-10-06 · </w:t>
      </w:r>
      <w:r>
        <w:rPr>
          <w:b/>
          <w:bCs/>
          <w:sz w:val="21"/>
          <w:szCs w:val="21"/>
        </w:rPr>
        <w:t xml:space="preserve">Revision 3.</w:t>
      </w:r>
      <w:r>
        <w:rPr>
          <w:sz w:val="21"/>
          <w:szCs w:val="21"/>
        </w:rPr>
        <w:t xml:space="preserve"> An adversarial review overturned several revision-2 conclusions, including two I had stated as findings. Corrections are marked inline, because the wrong versions were circulated.</w:t>
      </w:r>
    </w:p>
    <w:p>
      <w:pPr>
        <w:pBdr>
          <w:left w:val="single" w:color="1F3864" w:sz="18" w:space="12"/>
        </w:pBdr>
        <w:spacing w:after="160" w:before="120"/>
        <w:ind w:left="360"/>
      </w:pPr>
      <w:r>
        <w:rPr>
          <w:b/>
          <w:bCs/>
          <w:i/>
          <w:iCs/>
          <w:sz w:val="21"/>
          <w:szCs w:val="21"/>
        </w:rPr>
        <w:t xml:space="preserve">Source discipline.</w:t>
      </w:r>
      <w:r>
        <w:rPr>
          <w:i/>
          <w:iCs/>
          <w:sz w:val="21"/>
          <w:szCs w:val="21"/>
        </w:rPr>
        <w:t xml:space="preserve"> Figures are tagged by provenance. </w:t>
      </w:r>
      <w:r>
        <w:rPr>
          <w:rFonts w:ascii="Consolas" w:cs="Consolas" w:eastAsia="Consolas" w:hAnsi="Consolas"/>
          <w:i/>
          <w:iCs/>
          <w:sz w:val="19"/>
          <w:szCs w:val="19"/>
        </w:rPr>
        <w:t xml:space="preserve">[vendor]</w:t>
      </w:r>
      <w:r>
        <w:rPr>
          <w:i/>
          <w:iCs/>
          <w:sz w:val="21"/>
          <w:szCs w:val="21"/>
        </w:rPr>
        <w:t xml:space="preserve"> means the number comes from a firm that sells licensing, accreditation, or brokerage services and monetizes complexity — treat those as unverified anchors, not facts. Regulatory and rate figures are from primary sources.</w:t>
      </w:r>
    </w:p>
    <w:p>
      <w:pPr>
        <w:pBdr>
          <w:bottom w:val="single" w:color="BFBFBF" w:sz="6" w:space="6"/>
        </w:pBdr>
        <w:spacing w:after="200" w:before="120"/>
      </w:pPr>
      <w:r>
        <w:t xml:space="preserve"/>
      </w:r>
    </w:p>
    <w:p>
      <w:pPr>
        <w:pStyle w:val="Heading2"/>
        <w:pBdr>
          <w:bottom w:val="single" w:color="1F3864" w:sz="4" w:space="4"/>
        </w:pBdr>
        <w:spacing w:after="140" w:before="320"/>
      </w:pPr>
      <w:r>
        <w:rPr>
          <w:b/>
          <w:bCs/>
          <w:color w:val="1F3864"/>
          <w:sz w:val="26"/>
          <w:szCs w:val="26"/>
        </w:rPr>
        <w:t xml:space="preserve">0. Direct answer: what capital 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638"/>
        <w:gridCol w:w="1638"/>
        <w:gridCol w:w="1638"/>
        <w:gridCol w:w="1638"/>
      </w:tblGrid>
      <w:tr>
        <w:trPr>
          <w:tblHeader/>
        </w:trPr>
        <w:tc>
          <w:tcPr>
            <w:tcW w:type="dxa" w:w="2808"/>
            <w:shd w:fill="E7E6E6" w:color="auto" w:val="clear"/>
            <w:tcMar>
              <w:top w:type="dxa" w:w="60"/>
              <w:left w:type="dxa" w:w="100"/>
              <w:bottom w:type="dxa" w:w="60"/>
              <w:right w:type="dxa" w:w="100"/>
            </w:tcMar>
          </w:tcPr>
          <w:p>
            <w:pPr>
              <w:spacing w:after="20" w:before="20"/>
            </w:pPr>
            <w:r>
              <w:rPr>
                <w:b/>
                <w:bCs/>
                <w:sz w:val="18"/>
                <w:szCs w:val="18"/>
              </w:rPr>
              <w:t xml:space="preserve">Entry point</w:t>
            </w:r>
          </w:p>
        </w:tc>
        <w:tc>
          <w:tcPr>
            <w:tcW w:type="dxa" w:w="1638"/>
            <w:shd w:fill="E7E6E6" w:color="auto" w:val="clear"/>
            <w:tcMar>
              <w:top w:type="dxa" w:w="60"/>
              <w:left w:type="dxa" w:w="100"/>
              <w:bottom w:type="dxa" w:w="60"/>
              <w:right w:type="dxa" w:w="100"/>
            </w:tcMar>
          </w:tcPr>
          <w:p>
            <w:pPr>
              <w:spacing w:after="20" w:before="20"/>
            </w:pPr>
            <w:r>
              <w:rPr>
                <w:b/>
                <w:bCs/>
                <w:sz w:val="18"/>
                <w:szCs w:val="18"/>
              </w:rPr>
              <w:t xml:space="preserve">Build + licensing</w:t>
            </w:r>
          </w:p>
        </w:tc>
        <w:tc>
          <w:tcPr>
            <w:tcW w:type="dxa" w:w="1638"/>
            <w:shd w:fill="E7E6E6" w:color="auto" w:val="clear"/>
            <w:tcMar>
              <w:top w:type="dxa" w:w="60"/>
              <w:left w:type="dxa" w:w="100"/>
              <w:bottom w:type="dxa" w:w="60"/>
              <w:right w:type="dxa" w:w="100"/>
            </w:tcMar>
          </w:tcPr>
          <w:p>
            <w:pPr>
              <w:spacing w:after="20" w:before="20"/>
            </w:pPr>
            <w:r>
              <w:rPr>
                <w:b/>
                <w:bCs/>
                <w:sz w:val="18"/>
                <w:szCs w:val="18"/>
              </w:rPr>
              <w:t xml:space="preserve">Required reserve (6–12 mo opex)</w:t>
            </w:r>
          </w:p>
        </w:tc>
        <w:tc>
          <w:tcPr>
            <w:tcW w:type="dxa" w:w="1638"/>
            <w:shd w:fill="E7E6E6" w:color="auto" w:val="clear"/>
            <w:tcMar>
              <w:top w:type="dxa" w:w="60"/>
              <w:left w:type="dxa" w:w="100"/>
              <w:bottom w:type="dxa" w:w="60"/>
              <w:right w:type="dxa" w:w="100"/>
            </w:tcMar>
          </w:tcPr>
          <w:p>
            <w:pPr>
              <w:spacing w:after="20" w:before="20"/>
            </w:pPr>
            <w:r>
              <w:rPr>
                <w:b/>
                <w:bCs/>
                <w:sz w:val="18"/>
                <w:szCs w:val="18"/>
              </w:rPr>
              <w:t xml:space="preserve">All-in</w:t>
            </w:r>
          </w:p>
        </w:tc>
        <w:tc>
          <w:tcPr>
            <w:tcW w:type="dxa" w:w="1638"/>
            <w:shd w:fill="E7E6E6" w:color="auto" w:val="clear"/>
            <w:tcMar>
              <w:top w:type="dxa" w:w="60"/>
              <w:left w:type="dxa" w:w="100"/>
              <w:bottom w:type="dxa" w:w="60"/>
              <w:right w:type="dxa" w:w="100"/>
            </w:tcMar>
          </w:tcPr>
          <w:p>
            <w:pPr>
              <w:spacing w:after="20" w:before="20"/>
            </w:pPr>
            <w:r>
              <w:rPr>
                <w:b/>
                <w:bCs/>
                <w:sz w:val="18"/>
                <w:szCs w:val="18"/>
              </w:rPr>
              <w:t xml:space="preserve">Time to first dollar</w:t>
            </w:r>
          </w:p>
        </w:tc>
      </w:tr>
      <w:tr>
        <w:tc>
          <w:tcPr>
            <w:tcW w:type="dxa" w:w="2808"/>
            <w:tcMar>
              <w:top w:type="dxa" w:w="60"/>
              <w:left w:type="dxa" w:w="100"/>
              <w:bottom w:type="dxa" w:w="60"/>
              <w:right w:type="dxa" w:w="100"/>
            </w:tcMar>
          </w:tcPr>
          <w:p>
            <w:pPr>
              <w:spacing w:after="20" w:before="20"/>
            </w:pPr>
            <w:r>
              <w:rPr>
                <w:sz w:val="18"/>
                <w:szCs w:val="18"/>
              </w:rPr>
              <w:t xml:space="preserve">Recovery residence, per 10-bed house</w:t>
            </w:r>
          </w:p>
        </w:tc>
        <w:tc>
          <w:tcPr>
            <w:tcW w:type="dxa" w:w="1638"/>
            <w:tcMar>
              <w:top w:type="dxa" w:w="60"/>
              <w:left w:type="dxa" w:w="100"/>
              <w:bottom w:type="dxa" w:w="60"/>
              <w:right w:type="dxa" w:w="100"/>
            </w:tcMar>
          </w:tcPr>
          <w:p>
            <w:pPr>
              <w:spacing w:after="20" w:before="20"/>
            </w:pPr>
            <w:r>
              <w:rPr>
                <w:sz w:val="18"/>
                <w:szCs w:val="18"/>
              </w:rPr>
              <w:t xml:space="preserve">$25–50K</w:t>
            </w:r>
          </w:p>
        </w:tc>
        <w:tc>
          <w:tcPr>
            <w:tcW w:type="dxa" w:w="1638"/>
            <w:tcMar>
              <w:top w:type="dxa" w:w="60"/>
              <w:left w:type="dxa" w:w="100"/>
              <w:bottom w:type="dxa" w:w="60"/>
              <w:right w:type="dxa" w:w="100"/>
            </w:tcMar>
          </w:tcPr>
          <w:p>
            <w:pPr>
              <w:spacing w:after="20" w:before="20"/>
            </w:pPr>
            <w:r>
              <w:rPr>
                <w:sz w:val="18"/>
                <w:szCs w:val="18"/>
              </w:rPr>
              <w:t xml:space="preserve">$20–35K</w:t>
            </w:r>
          </w:p>
        </w:tc>
        <w:tc>
          <w:tcPr>
            <w:tcW w:type="dxa" w:w="1638"/>
            <w:tcMar>
              <w:top w:type="dxa" w:w="60"/>
              <w:left w:type="dxa" w:w="100"/>
              <w:bottom w:type="dxa" w:w="60"/>
              <w:right w:type="dxa" w:w="100"/>
            </w:tcMar>
          </w:tcPr>
          <w:p>
            <w:pPr>
              <w:spacing w:after="20" w:before="20"/>
            </w:pPr>
            <w:r>
              <w:rPr>
                <w:b/>
                <w:bCs/>
                <w:sz w:val="18"/>
                <w:szCs w:val="18"/>
              </w:rPr>
              <w:t xml:space="preserve">$50–85K</w:t>
            </w:r>
          </w:p>
        </w:tc>
        <w:tc>
          <w:tcPr>
            <w:tcW w:type="dxa" w:w="1638"/>
            <w:tcMar>
              <w:top w:type="dxa" w:w="60"/>
              <w:left w:type="dxa" w:w="100"/>
              <w:bottom w:type="dxa" w:w="60"/>
              <w:right w:type="dxa" w:w="100"/>
            </w:tcMar>
          </w:tcPr>
          <w:p>
            <w:pPr>
              <w:spacing w:after="20" w:before="20"/>
            </w:pPr>
            <w:r>
              <w:rPr>
                <w:sz w:val="18"/>
                <w:szCs w:val="18"/>
              </w:rPr>
              <w:t xml:space="preserve">30–60 days</w:t>
            </w:r>
          </w:p>
        </w:tc>
      </w:tr>
      <w:tr>
        <w:tc>
          <w:tcPr>
            <w:tcW w:type="dxa" w:w="2808"/>
            <w:tcMar>
              <w:top w:type="dxa" w:w="60"/>
              <w:left w:type="dxa" w:w="100"/>
              <w:bottom w:type="dxa" w:w="60"/>
              <w:right w:type="dxa" w:w="100"/>
            </w:tcMar>
          </w:tcPr>
          <w:p>
            <w:pPr>
              <w:spacing w:after="20" w:before="20"/>
            </w:pPr>
            <w:r>
              <w:rPr>
                <w:sz w:val="18"/>
                <w:szCs w:val="18"/>
              </w:rPr>
              <w:t xml:space="preserve">3 recovery residences</w:t>
            </w:r>
          </w:p>
        </w:tc>
        <w:tc>
          <w:tcPr>
            <w:tcW w:type="dxa" w:w="1638"/>
            <w:tcMar>
              <w:top w:type="dxa" w:w="60"/>
              <w:left w:type="dxa" w:w="100"/>
              <w:bottom w:type="dxa" w:w="60"/>
              <w:right w:type="dxa" w:w="100"/>
            </w:tcMar>
          </w:tcPr>
          <w:p>
            <w:pPr>
              <w:spacing w:after="20" w:before="20"/>
            </w:pPr>
            <w:r>
              <w:rPr>
                <w:sz w:val="18"/>
                <w:szCs w:val="18"/>
              </w:rPr>
              <w:t xml:space="preserve">$75–150K</w:t>
            </w:r>
          </w:p>
        </w:tc>
        <w:tc>
          <w:tcPr>
            <w:tcW w:type="dxa" w:w="1638"/>
            <w:tcMar>
              <w:top w:type="dxa" w:w="60"/>
              <w:left w:type="dxa" w:w="100"/>
              <w:bottom w:type="dxa" w:w="60"/>
              <w:right w:type="dxa" w:w="100"/>
            </w:tcMar>
          </w:tcPr>
          <w:p>
            <w:pPr>
              <w:spacing w:after="20" w:before="20"/>
            </w:pPr>
            <w:r>
              <w:rPr>
                <w:sz w:val="18"/>
                <w:szCs w:val="18"/>
              </w:rPr>
              <w:t xml:space="preserve">$60–105K</w:t>
            </w:r>
          </w:p>
        </w:tc>
        <w:tc>
          <w:tcPr>
            <w:tcW w:type="dxa" w:w="1638"/>
            <w:tcMar>
              <w:top w:type="dxa" w:w="60"/>
              <w:left w:type="dxa" w:w="100"/>
              <w:bottom w:type="dxa" w:w="60"/>
              <w:right w:type="dxa" w:w="100"/>
            </w:tcMar>
          </w:tcPr>
          <w:p>
            <w:pPr>
              <w:spacing w:after="20" w:before="20"/>
            </w:pPr>
            <w:r>
              <w:rPr>
                <w:b/>
                <w:bCs/>
                <w:sz w:val="18"/>
                <w:szCs w:val="18"/>
              </w:rPr>
              <w:t xml:space="preserve">$150–255K</w:t>
            </w:r>
          </w:p>
        </w:tc>
        <w:tc>
          <w:tcPr>
            <w:tcW w:type="dxa" w:w="1638"/>
            <w:tcMar>
              <w:top w:type="dxa" w:w="60"/>
              <w:left w:type="dxa" w:w="100"/>
              <w:bottom w:type="dxa" w:w="60"/>
              <w:right w:type="dxa" w:w="100"/>
            </w:tcMar>
          </w:tcPr>
          <w:p>
            <w:pPr>
              <w:spacing w:after="20" w:before="20"/>
            </w:pPr>
            <w:r>
              <w:rPr>
                <w:sz w:val="18"/>
                <w:szCs w:val="18"/>
              </w:rPr>
              <w:t xml:space="preserve">60–120 days</w:t>
            </w:r>
          </w:p>
        </w:tc>
      </w:tr>
      <w:tr>
        <w:tc>
          <w:tcPr>
            <w:tcW w:type="dxa" w:w="2808"/>
            <w:tcMar>
              <w:top w:type="dxa" w:w="60"/>
              <w:left w:type="dxa" w:w="100"/>
              <w:bottom w:type="dxa" w:w="60"/>
              <w:right w:type="dxa" w:w="100"/>
            </w:tcMar>
          </w:tcPr>
          <w:p>
            <w:pPr>
              <w:spacing w:after="20" w:before="20"/>
            </w:pPr>
            <w:r>
              <w:rPr>
                <w:b/>
                <w:bCs/>
                <w:sz w:val="18"/>
                <w:szCs w:val="18"/>
              </w:rPr>
              <w:t xml:space="preserve">ASAM 2.1 IOP (licensed outpatient)</w:t>
            </w:r>
          </w:p>
        </w:tc>
        <w:tc>
          <w:tcPr>
            <w:tcW w:type="dxa" w:w="1638"/>
            <w:tcMar>
              <w:top w:type="dxa" w:w="60"/>
              <w:left w:type="dxa" w:w="100"/>
              <w:bottom w:type="dxa" w:w="60"/>
              <w:right w:type="dxa" w:w="100"/>
            </w:tcMar>
          </w:tcPr>
          <w:p>
            <w:pPr>
              <w:spacing w:after="20" w:before="20"/>
            </w:pPr>
            <w:r>
              <w:rPr>
                <w:sz w:val="18"/>
                <w:szCs w:val="18"/>
              </w:rPr>
              <w:t xml:space="preserve">$150–300K</w:t>
            </w:r>
          </w:p>
        </w:tc>
        <w:tc>
          <w:tcPr>
            <w:tcW w:type="dxa" w:w="1638"/>
            <w:tcMar>
              <w:top w:type="dxa" w:w="60"/>
              <w:left w:type="dxa" w:w="100"/>
              <w:bottom w:type="dxa" w:w="60"/>
              <w:right w:type="dxa" w:w="100"/>
            </w:tcMar>
          </w:tcPr>
          <w:p>
            <w:pPr>
              <w:spacing w:after="20" w:before="20"/>
            </w:pPr>
            <w:r>
              <w:rPr>
                <w:sz w:val="18"/>
                <w:szCs w:val="18"/>
              </w:rPr>
              <w:t xml:space="preserve">$250–400K</w:t>
            </w:r>
          </w:p>
        </w:tc>
        <w:tc>
          <w:tcPr>
            <w:tcW w:type="dxa" w:w="1638"/>
            <w:tcMar>
              <w:top w:type="dxa" w:w="60"/>
              <w:left w:type="dxa" w:w="100"/>
              <w:bottom w:type="dxa" w:w="60"/>
              <w:right w:type="dxa" w:w="100"/>
            </w:tcMar>
          </w:tcPr>
          <w:p>
            <w:pPr>
              <w:spacing w:after="20" w:before="20"/>
            </w:pPr>
            <w:r>
              <w:rPr>
                <w:b/>
                <w:bCs/>
                <w:sz w:val="18"/>
                <w:szCs w:val="18"/>
              </w:rPr>
              <w:t xml:space="preserve">$400–700K</w:t>
            </w:r>
          </w:p>
        </w:tc>
        <w:tc>
          <w:tcPr>
            <w:tcW w:type="dxa" w:w="1638"/>
            <w:tcMar>
              <w:top w:type="dxa" w:w="60"/>
              <w:left w:type="dxa" w:w="100"/>
              <w:bottom w:type="dxa" w:w="60"/>
              <w:right w:type="dxa" w:w="100"/>
            </w:tcMar>
          </w:tcPr>
          <w:p>
            <w:pPr>
              <w:spacing w:after="20" w:before="20"/>
            </w:pPr>
            <w:r>
              <w:rPr>
                <w:sz w:val="18"/>
                <w:szCs w:val="18"/>
              </w:rPr>
              <w:t xml:space="preserve">12–18 months</w:t>
            </w:r>
          </w:p>
        </w:tc>
      </w:tr>
      <w:tr>
        <w:tc>
          <w:tcPr>
            <w:tcW w:type="dxa" w:w="2808"/>
            <w:tcMar>
              <w:top w:type="dxa" w:w="60"/>
              <w:left w:type="dxa" w:w="100"/>
              <w:bottom w:type="dxa" w:w="60"/>
              <w:right w:type="dxa" w:w="100"/>
            </w:tcMar>
          </w:tcPr>
          <w:p>
            <w:pPr>
              <w:spacing w:after="20" w:before="20"/>
            </w:pPr>
            <w:r>
              <w:rPr>
                <w:sz w:val="18"/>
                <w:szCs w:val="18"/>
              </w:rPr>
              <w:t xml:space="preserve">ASAM 3.1 residential</w:t>
            </w:r>
          </w:p>
        </w:tc>
        <w:tc>
          <w:tcPr>
            <w:tcW w:type="dxa" w:w="1638"/>
            <w:tcMar>
              <w:top w:type="dxa" w:w="60"/>
              <w:left w:type="dxa" w:w="100"/>
              <w:bottom w:type="dxa" w:w="60"/>
              <w:right w:type="dxa" w:w="100"/>
            </w:tcMar>
          </w:tcPr>
          <w:p>
            <w:pPr>
              <w:spacing w:after="20" w:before="20"/>
            </w:pPr>
            <w:r>
              <w:rPr>
                <w:sz w:val="18"/>
                <w:szCs w:val="18"/>
              </w:rPr>
              <w:t xml:space="preserve">$200–400K</w:t>
            </w:r>
          </w:p>
        </w:tc>
        <w:tc>
          <w:tcPr>
            <w:tcW w:type="dxa" w:w="1638"/>
            <w:tcMar>
              <w:top w:type="dxa" w:w="60"/>
              <w:left w:type="dxa" w:w="100"/>
              <w:bottom w:type="dxa" w:w="60"/>
              <w:right w:type="dxa" w:w="100"/>
            </w:tcMar>
          </w:tcPr>
          <w:p>
            <w:pPr>
              <w:spacing w:after="20" w:before="20"/>
            </w:pPr>
            <w:r>
              <w:rPr>
                <w:sz w:val="18"/>
                <w:szCs w:val="18"/>
              </w:rPr>
              <w:t xml:space="preserve">$300–500K</w:t>
            </w:r>
          </w:p>
        </w:tc>
        <w:tc>
          <w:tcPr>
            <w:tcW w:type="dxa" w:w="1638"/>
            <w:tcMar>
              <w:top w:type="dxa" w:w="60"/>
              <w:left w:type="dxa" w:w="100"/>
              <w:bottom w:type="dxa" w:w="60"/>
              <w:right w:type="dxa" w:w="100"/>
            </w:tcMar>
          </w:tcPr>
          <w:p>
            <w:pPr>
              <w:spacing w:after="20" w:before="20"/>
            </w:pPr>
            <w:r>
              <w:rPr>
                <w:b/>
                <w:bCs/>
                <w:sz w:val="18"/>
                <w:szCs w:val="18"/>
              </w:rPr>
              <w:t xml:space="preserve">$500–900K</w:t>
            </w:r>
          </w:p>
        </w:tc>
        <w:tc>
          <w:tcPr>
            <w:tcW w:type="dxa" w:w="1638"/>
            <w:tcMar>
              <w:top w:type="dxa" w:w="60"/>
              <w:left w:type="dxa" w:w="100"/>
              <w:bottom w:type="dxa" w:w="60"/>
              <w:right w:type="dxa" w:w="100"/>
            </w:tcMar>
          </w:tcPr>
          <w:p>
            <w:pPr>
              <w:spacing w:after="20" w:before="20"/>
            </w:pPr>
            <w:r>
              <w:rPr>
                <w:sz w:val="18"/>
                <w:szCs w:val="18"/>
              </w:rPr>
              <w:t xml:space="preserve">18–24 months</w:t>
            </w:r>
          </w:p>
        </w:tc>
      </w:tr>
      <w:tr>
        <w:tc>
          <w:tcPr>
            <w:tcW w:type="dxa" w:w="2808"/>
            <w:tcMar>
              <w:top w:type="dxa" w:w="60"/>
              <w:left w:type="dxa" w:w="100"/>
              <w:bottom w:type="dxa" w:w="60"/>
              <w:right w:type="dxa" w:w="100"/>
            </w:tcMar>
          </w:tcPr>
          <w:p>
            <w:pPr>
              <w:spacing w:after="20" w:before="20"/>
            </w:pPr>
            <w:r>
              <w:rPr>
                <w:sz w:val="18"/>
                <w:szCs w:val="18"/>
              </w:rPr>
              <w:t xml:space="preserve">ASAM 3.5 residential</w:t>
            </w:r>
          </w:p>
        </w:tc>
        <w:tc>
          <w:tcPr>
            <w:tcW w:type="dxa" w:w="1638"/>
            <w:tcMar>
              <w:top w:type="dxa" w:w="60"/>
              <w:left w:type="dxa" w:w="100"/>
              <w:bottom w:type="dxa" w:w="60"/>
              <w:right w:type="dxa" w:w="100"/>
            </w:tcMar>
          </w:tcPr>
          <w:p>
            <w:pPr>
              <w:spacing w:after="20" w:before="20"/>
            </w:pPr>
            <w:r>
              <w:rPr>
                <w:sz w:val="18"/>
                <w:szCs w:val="18"/>
              </w:rPr>
              <w:t xml:space="preserve">$350–700K</w:t>
            </w:r>
          </w:p>
        </w:tc>
        <w:tc>
          <w:tcPr>
            <w:tcW w:type="dxa" w:w="1638"/>
            <w:tcMar>
              <w:top w:type="dxa" w:w="60"/>
              <w:left w:type="dxa" w:w="100"/>
              <w:bottom w:type="dxa" w:w="60"/>
              <w:right w:type="dxa" w:w="100"/>
            </w:tcMar>
          </w:tcPr>
          <w:p>
            <w:pPr>
              <w:spacing w:after="20" w:before="20"/>
            </w:pPr>
            <w:r>
              <w:rPr>
                <w:sz w:val="18"/>
                <w:szCs w:val="18"/>
              </w:rPr>
              <w:t xml:space="preserve">$550K–1.3M</w:t>
            </w:r>
          </w:p>
        </w:tc>
        <w:tc>
          <w:tcPr>
            <w:tcW w:type="dxa" w:w="1638"/>
            <w:tcMar>
              <w:top w:type="dxa" w:w="60"/>
              <w:left w:type="dxa" w:w="100"/>
              <w:bottom w:type="dxa" w:w="60"/>
              <w:right w:type="dxa" w:w="100"/>
            </w:tcMar>
          </w:tcPr>
          <w:p>
            <w:pPr>
              <w:spacing w:after="20" w:before="20"/>
            </w:pPr>
            <w:r>
              <w:rPr>
                <w:b/>
                <w:bCs/>
                <w:sz w:val="18"/>
                <w:szCs w:val="18"/>
              </w:rPr>
              <w:t xml:space="preserve">$900K–2.0M</w:t>
            </w:r>
          </w:p>
        </w:tc>
        <w:tc>
          <w:tcPr>
            <w:tcW w:type="dxa" w:w="1638"/>
            <w:tcMar>
              <w:top w:type="dxa" w:w="60"/>
              <w:left w:type="dxa" w:w="100"/>
              <w:bottom w:type="dxa" w:w="60"/>
              <w:right w:type="dxa" w:w="100"/>
            </w:tcMar>
          </w:tcPr>
          <w:p>
            <w:pPr>
              <w:spacing w:after="20" w:before="20"/>
            </w:pPr>
            <w:r>
              <w:rPr>
                <w:sz w:val="18"/>
                <w:szCs w:val="18"/>
              </w:rPr>
              <w:t xml:space="preserve">18–30 months</w:t>
            </w:r>
          </w:p>
        </w:tc>
      </w:tr>
      <w:tr>
        <w:tc>
          <w:tcPr>
            <w:tcW w:type="dxa" w:w="2808"/>
            <w:tcMar>
              <w:top w:type="dxa" w:w="60"/>
              <w:left w:type="dxa" w:w="100"/>
              <w:bottom w:type="dxa" w:w="60"/>
              <w:right w:type="dxa" w:w="100"/>
            </w:tcMar>
          </w:tcPr>
          <w:p>
            <w:pPr>
              <w:spacing w:after="20" w:before="20"/>
            </w:pPr>
            <w:r>
              <w:rPr>
                <w:sz w:val="18"/>
                <w:szCs w:val="18"/>
              </w:rPr>
              <w:t xml:space="preserve">ASAM 3.7 / 3.7-WM withdrawal management</w:t>
            </w:r>
          </w:p>
        </w:tc>
        <w:tc>
          <w:tcPr>
            <w:tcW w:type="dxa" w:w="1638"/>
            <w:tcMar>
              <w:top w:type="dxa" w:w="60"/>
              <w:left w:type="dxa" w:w="100"/>
              <w:bottom w:type="dxa" w:w="60"/>
              <w:right w:type="dxa" w:w="100"/>
            </w:tcMar>
          </w:tcPr>
          <w:p>
            <w:pPr>
              <w:spacing w:after="20" w:before="20"/>
            </w:pPr>
            <w:r>
              <w:rPr>
                <w:sz w:val="18"/>
                <w:szCs w:val="18"/>
              </w:rPr>
              <w:t xml:space="preserve">$600K–1.2M</w:t>
            </w:r>
          </w:p>
        </w:tc>
        <w:tc>
          <w:tcPr>
            <w:tcW w:type="dxa" w:w="1638"/>
            <w:tcMar>
              <w:top w:type="dxa" w:w="60"/>
              <w:left w:type="dxa" w:w="100"/>
              <w:bottom w:type="dxa" w:w="60"/>
              <w:right w:type="dxa" w:w="100"/>
            </w:tcMar>
          </w:tcPr>
          <w:p>
            <w:pPr>
              <w:spacing w:after="20" w:before="20"/>
            </w:pPr>
            <w:r>
              <w:rPr>
                <w:sz w:val="18"/>
                <w:szCs w:val="18"/>
              </w:rPr>
              <w:t xml:space="preserve">$900K–1.8M</w:t>
            </w:r>
          </w:p>
        </w:tc>
        <w:tc>
          <w:tcPr>
            <w:tcW w:type="dxa" w:w="1638"/>
            <w:tcMar>
              <w:top w:type="dxa" w:w="60"/>
              <w:left w:type="dxa" w:w="100"/>
              <w:bottom w:type="dxa" w:w="60"/>
              <w:right w:type="dxa" w:w="100"/>
            </w:tcMar>
          </w:tcPr>
          <w:p>
            <w:pPr>
              <w:spacing w:after="20" w:before="20"/>
            </w:pPr>
            <w:r>
              <w:rPr>
                <w:b/>
                <w:bCs/>
                <w:sz w:val="18"/>
                <w:szCs w:val="18"/>
              </w:rPr>
              <w:t xml:space="preserve">$1.5–3.0M+</w:t>
            </w:r>
          </w:p>
        </w:tc>
        <w:tc>
          <w:tcPr>
            <w:tcW w:type="dxa" w:w="1638"/>
            <w:tcMar>
              <w:top w:type="dxa" w:w="60"/>
              <w:left w:type="dxa" w:w="100"/>
              <w:bottom w:type="dxa" w:w="60"/>
              <w:right w:type="dxa" w:w="100"/>
            </w:tcMar>
          </w:tcPr>
          <w:p>
            <w:pPr>
              <w:spacing w:after="20" w:before="20"/>
            </w:pPr>
            <w:r>
              <w:rPr>
                <w:sz w:val="18"/>
                <w:szCs w:val="18"/>
              </w:rPr>
              <w:t xml:space="preserve">24–36 months</w:t>
            </w:r>
          </w:p>
        </w:tc>
      </w:tr>
      <w:tr>
        <w:tc>
          <w:tcPr>
            <w:tcW w:type="dxa" w:w="2808"/>
            <w:tcMar>
              <w:top w:type="dxa" w:w="60"/>
              <w:left w:type="dxa" w:w="100"/>
              <w:bottom w:type="dxa" w:w="60"/>
              <w:right w:type="dxa" w:w="100"/>
            </w:tcMar>
          </w:tcPr>
          <w:p>
            <w:pPr>
              <w:spacing w:after="20" w:before="20"/>
            </w:pPr>
            <w:r>
              <w:rPr>
                <w:sz w:val="18"/>
                <w:szCs w:val="18"/>
              </w:rPr>
              <w:t xml:space="preserve">Acquire existing licensed outpatient</w:t>
            </w:r>
          </w:p>
        </w:tc>
        <w:tc>
          <w:tcPr>
            <w:tcW w:type="dxa" w:w="1638"/>
            <w:tcMar>
              <w:top w:type="dxa" w:w="60"/>
              <w:left w:type="dxa" w:w="100"/>
              <w:bottom w:type="dxa" w:w="60"/>
              <w:right w:type="dxa" w:w="100"/>
            </w:tcMar>
          </w:tcPr>
          <w:p>
            <w:pPr>
              <w:spacing w:after="20" w:before="20"/>
            </w:pPr>
            <w:r>
              <w:rPr>
                <w:sz w:val="18"/>
                <w:szCs w:val="18"/>
              </w:rPr>
              <w:t xml:space="preserve">3–5× EBITDA </w:t>
            </w:r>
            <w:r>
              <w:rPr>
                <w:rFonts w:ascii="Consolas" w:cs="Consolas" w:eastAsia="Consolas" w:hAnsi="Consolas"/>
                <w:sz w:val="16"/>
                <w:szCs w:val="16"/>
              </w:rPr>
              <w:t xml:space="preserve">[vendor]</w:t>
            </w:r>
          </w:p>
        </w:tc>
        <w:tc>
          <w:tcPr>
            <w:tcW w:type="dxa" w:w="1638"/>
            <w:tcMar>
              <w:top w:type="dxa" w:w="60"/>
              <w:left w:type="dxa" w:w="100"/>
              <w:bottom w:type="dxa" w:w="60"/>
              <w:right w:type="dxa" w:w="100"/>
            </w:tcMar>
          </w:tcPr>
          <w:p>
            <w:pPr>
              <w:spacing w:after="20" w:before="20"/>
            </w:pPr>
            <w:r>
              <w:rPr>
                <w:sz w:val="18"/>
                <w:szCs w:val="18"/>
              </w:rPr>
              <w:t xml:space="preserve">+$150–300K transition</w:t>
            </w:r>
          </w:p>
        </w:tc>
        <w:tc>
          <w:tcPr>
            <w:tcW w:type="dxa" w:w="1638"/>
            <w:tcMar>
              <w:top w:type="dxa" w:w="60"/>
              <w:left w:type="dxa" w:w="100"/>
              <w:bottom w:type="dxa" w:w="60"/>
              <w:right w:type="dxa" w:w="100"/>
            </w:tcMar>
          </w:tcPr>
          <w:p>
            <w:pPr>
              <w:spacing w:after="20" w:before="20"/>
            </w:pPr>
            <w:r>
              <w:rPr>
                <w:b/>
                <w:bCs/>
                <w:sz w:val="18"/>
                <w:szCs w:val="18"/>
              </w:rPr>
              <w:t xml:space="preserve">purchase + reserve</w:t>
            </w:r>
          </w:p>
        </w:tc>
        <w:tc>
          <w:tcPr>
            <w:tcW w:type="dxa" w:w="1638"/>
            <w:tcMar>
              <w:top w:type="dxa" w:w="60"/>
              <w:left w:type="dxa" w:w="100"/>
              <w:bottom w:type="dxa" w:w="60"/>
              <w:right w:type="dxa" w:w="100"/>
            </w:tcMar>
          </w:tcPr>
          <w:p>
            <w:pPr>
              <w:spacing w:after="20" w:before="20"/>
            </w:pPr>
            <w:r>
              <w:rPr>
                <w:sz w:val="18"/>
                <w:szCs w:val="18"/>
              </w:rPr>
              <w:t xml:space="preserve">6–12 months</w:t>
            </w:r>
          </w:p>
        </w:tc>
      </w:tr>
    </w:tbl>
    <w:p>
      <w:pPr>
        <w:spacing w:after="160"/>
      </w:pPr>
      <w:r>
        <w:t xml:space="preserve"/>
      </w:r>
    </w:p>
    <w:p>
      <w:pPr>
        <w:spacing w:after="140" w:line="276"/>
        <w:jc w:val="left"/>
      </w:pPr>
      <w:r>
        <w:rPr>
          <w:b/>
          <w:bCs/>
          <w:sz w:val="21"/>
          <w:szCs w:val="21"/>
        </w:rPr>
        <w:t xml:space="preserve">The dominant line is not build-out — it is the pre-revenue window.</w:t>
      </w:r>
      <w:r>
        <w:rPr>
          <w:sz w:val="21"/>
          <w:szCs w:val="21"/>
        </w:rPr>
        <w:t xml:space="preserve"> For any licensed level you are fully staffed, fully compliant, and collecting nothing for 6–12 months through licensure and payer credentialing. In the IOP model that reserve is </w:t>
      </w:r>
      <w:r>
        <w:rPr>
          <w:b/>
          <w:bCs/>
          <w:sz w:val="21"/>
          <w:szCs w:val="21"/>
        </w:rPr>
        <w:t xml:space="preserve">$250–400K of the $400–700K.</w:t>
      </w:r>
      <w:r>
        <w:rPr>
          <w:sz w:val="21"/>
          <w:szCs w:val="21"/>
        </w:rPr>
        <w:t xml:space="preserve"> Ring-fence it.</w:t>
      </w:r>
    </w:p>
    <w:p>
      <w:pPr>
        <w:spacing w:after="140" w:line="276"/>
        <w:jc w:val="left"/>
      </w:pPr>
      <w:r>
        <w:rPr>
          <w:b/>
          <w:bCs/>
          <w:sz w:val="21"/>
          <w:szCs w:val="21"/>
        </w:rPr>
        <w:t xml:space="preserve">Minimum to begin credibly: $150–255K.</w:t>
      </w:r>
      <w:r>
        <w:rPr>
          <w:sz w:val="21"/>
          <w:szCs w:val="21"/>
        </w:rPr>
        <w:t xml:space="preserve"> </w:t>
      </w:r>
      <w:r>
        <w:rPr>
          <w:b/>
          <w:bCs/>
          <w:sz w:val="21"/>
          <w:szCs w:val="21"/>
        </w:rPr>
        <w:t xml:space="preserve">To reach a licensed clinical business: $400–700K</w:t>
      </w:r>
      <w:r>
        <w:rPr>
          <w:sz w:val="21"/>
          <w:szCs w:val="21"/>
        </w:rPr>
        <w:t xml:space="preserve"> for a de novo IOP — the cheapest licensed entry and the one Louisiana's rates reward best.</w:t>
      </w:r>
    </w:p>
    <w:p>
      <w:pPr>
        <w:pStyle w:val="Heading3"/>
        <w:spacing w:after="100" w:before="240"/>
      </w:pPr>
      <w:r>
        <w:rPr>
          <w:b/>
          <w:bCs/>
          <w:color w:val="2E5496"/>
          <w:sz w:val="22"/>
          <w:szCs w:val="22"/>
        </w:rPr>
        <w:t xml:space="preserve">0.1 Three corrections to what I told you in revision 2</w:t>
      </w:r>
    </w:p>
    <w:p>
      <w:pPr>
        <w:pStyle w:val="ListParagraph"/>
        <w:numPr>
          <w:ilvl w:val="0"/>
          <w:numId w:val="2"/>
        </w:numPr>
        <w:spacing w:after="70"/>
      </w:pPr>
      <w:r>
        <w:rPr>
          <w:b/>
          <w:bCs/>
          <w:sz w:val="21"/>
          <w:szCs w:val="21"/>
        </w:rPr>
        <w:t xml:space="preserve">"Louisiana requires no Certificate of Need" — wrong as stated.</w:t>
      </w:r>
      <w:r>
        <w:rPr>
          <w:sz w:val="21"/>
          <w:szCs w:val="21"/>
        </w:rPr>
        <w:t xml:space="preserve"> Louisiana has no traditional CON, but its </w:t>
      </w:r>
      <w:r>
        <w:rPr>
          <w:b/>
          <w:bCs/>
          <w:sz w:val="21"/>
          <w:szCs w:val="21"/>
        </w:rPr>
        <w:t xml:space="preserve">Facility Need Review (FNR)</w:t>
      </w:r>
      <w:r>
        <w:rPr>
          <w:sz w:val="21"/>
          <w:szCs w:val="21"/>
        </w:rPr>
        <w:t xml:space="preserve"> program gates BHSP licensure for </w:t>
      </w:r>
      <w:r>
        <w:rPr>
          <w:b/>
          <w:bCs/>
          <w:sz w:val="21"/>
          <w:szCs w:val="21"/>
        </w:rPr>
        <w:t xml:space="preserve">PSR, CPST, and OTP</w:t>
      </w:r>
      <w:r>
        <w:rPr>
          <w:sz w:val="21"/>
          <w:szCs w:val="21"/>
        </w:rPr>
        <w:t xml:space="preserve"> services: "no BHSP or applicants seeking to provide psychosocial rehabilitation (PSR) and/or community psychiatric support and treatment (CPST) services shall be eligible to apply for licensure … unless the FNR committee has granted FNR approval" </w:t>
      </w:r>
      <w:r>
        <w:rPr>
          <w:rFonts w:ascii="Consolas" w:cs="Consolas" w:eastAsia="Consolas" w:hAnsi="Consolas"/>
          <w:sz w:val="19"/>
          <w:szCs w:val="19"/>
        </w:rPr>
        <w:t xml:space="preserve">[LAC §12525(A)]</w:t>
      </w:r>
      <w:r>
        <w:rPr>
          <w:sz w:val="21"/>
          <w:szCs w:val="21"/>
        </w:rPr>
        <w:t xml:space="preserve">. </w:t>
      </w:r>
      <w:r>
        <w:rPr>
          <w:b/>
          <w:bCs/>
          <w:sz w:val="21"/>
          <w:szCs w:val="21"/>
        </w:rPr>
        <w:t xml:space="preserve">SUD residential (3.1/3.3/3.5/3.7) and IOP are not FNR-gated</w:t>
      </w:r>
      <w:r>
        <w:rPr>
          <w:sz w:val="21"/>
          <w:szCs w:val="21"/>
        </w:rPr>
        <w:t xml:space="preserve"> — so your core plan is clear. But if you add CPST/PSR (the high-volume Medicaid outpatient lines) or opioid treatment/MAT, FNR approval is a precondition to </w:t>
      </w:r>
      <w:r>
        <w:rPr>
          <w:i/>
          <w:iCs/>
          <w:sz w:val="21"/>
          <w:szCs w:val="21"/>
        </w:rPr>
        <w:t xml:space="preserve">applying</w:t>
      </w:r>
      <w:r>
        <w:rPr>
          <w:sz w:val="21"/>
          <w:szCs w:val="21"/>
        </w:rPr>
        <w:t xml:space="preserve">.</w:t>
      </w:r>
    </w:p>
    <w:p>
      <w:pPr>
        <w:pStyle w:val="ListParagraph"/>
        <w:numPr>
          <w:ilvl w:val="0"/>
          <w:numId w:val="2"/>
        </w:numPr>
        <w:spacing w:after="70"/>
      </w:pPr>
      <w:r>
        <w:rPr>
          <w:b/>
          <w:bCs/>
          <w:sz w:val="21"/>
          <w:szCs w:val="21"/>
        </w:rPr>
        <w:t xml:space="preserve">"Accreditation is a licensing condition for residential" — wrong.</w:t>
      </w:r>
      <w:r>
        <w:rPr>
          <w:sz w:val="21"/>
          <w:szCs w:val="21"/>
        </w:rPr>
        <w:t xml:space="preserve"> LAC Ch. 56 contains </w:t>
      </w:r>
      <w:r>
        <w:rPr>
          <w:b/>
          <w:bCs/>
          <w:sz w:val="21"/>
          <w:szCs w:val="21"/>
        </w:rPr>
        <w:t xml:space="preserve">no accreditation prerequisite for licensure of any service type.</w:t>
      </w:r>
      <w:r>
        <w:rPr>
          <w:sz w:val="21"/>
          <w:szCs w:val="21"/>
        </w:rPr>
        <w:t xml:space="preserve"> Accreditation appears only as optional </w:t>
      </w:r>
      <w:r>
        <w:rPr>
          <w:i/>
          <w:iCs/>
          <w:sz w:val="21"/>
          <w:szCs w:val="21"/>
        </w:rPr>
        <w:t xml:space="preserve">Deemed Status</w:t>
      </w:r>
      <w:r>
        <w:rPr>
          <w:sz w:val="21"/>
          <w:szCs w:val="21"/>
        </w:rPr>
        <w:t xml:space="preserve"> (accepted "in lieu of on-site licensing surveys") and as a revocation ground "if accreditation is a federal or state requirement for participation in the program" </w:t>
      </w:r>
      <w:r>
        <w:rPr>
          <w:rFonts w:ascii="Consolas" w:cs="Consolas" w:eastAsia="Consolas" w:hAnsi="Consolas"/>
          <w:sz w:val="19"/>
          <w:szCs w:val="19"/>
        </w:rPr>
        <w:t xml:space="preserve">[LAC Ch.56]</w:t>
      </w:r>
      <w:r>
        <w:rPr>
          <w:sz w:val="21"/>
          <w:szCs w:val="21"/>
        </w:rPr>
        <w:t xml:space="preserve">. The actual requirement is </w:t>
      </w:r>
      <w:r>
        <w:rPr>
          <w:b/>
          <w:bCs/>
          <w:sz w:val="21"/>
          <w:szCs w:val="21"/>
        </w:rPr>
        <w:t xml:space="preserve">Medicaid enrollment</w:t>
      </w:r>
      <w:r>
        <w:rPr>
          <w:sz w:val="21"/>
          <w:szCs w:val="21"/>
        </w:rPr>
        <w:t xml:space="preserve">: facilities "must be accredited prior to enrollment" by CARF, COA, or TJC </w:t>
      </w:r>
      <w:r>
        <w:rPr>
          <w:rFonts w:ascii="Consolas" w:cs="Consolas" w:eastAsia="Consolas" w:hAnsi="Consolas"/>
          <w:sz w:val="19"/>
          <w:szCs w:val="19"/>
        </w:rPr>
        <w:t xml:space="preserve">[LA Medicaid BHS Provider Manual]</w:t>
      </w:r>
      <w:r>
        <w:rPr>
          <w:sz w:val="21"/>
          <w:szCs w:val="21"/>
        </w:rPr>
        <w:t xml:space="preserve">. </w:t>
      </w:r>
      <w:r>
        <w:rPr>
          <w:b/>
          <w:bCs/>
          <w:sz w:val="21"/>
          <w:szCs w:val="21"/>
        </w:rPr>
        <w:t xml:space="preserve">A commercial/private-pay-only residential program may be licensable without accreditation.</w:t>
      </w:r>
    </w:p>
    <w:p>
      <w:pPr>
        <w:pStyle w:val="ListParagraph"/>
        <w:numPr>
          <w:ilvl w:val="0"/>
          <w:numId w:val="2"/>
        </w:numPr>
        <w:spacing w:after="70"/>
      </w:pPr>
      <w:r>
        <w:rPr>
          <w:b/>
          <w:bCs/>
          <w:sz w:val="21"/>
          <w:szCs w:val="21"/>
        </w:rPr>
        <w:t xml:space="preserve">My "accreditation catch-22" was overstated — there is a defined pathway.</w:t>
      </w:r>
      <w:r>
        <w:rPr>
          <w:sz w:val="21"/>
          <w:szCs w:val="21"/>
        </w:rPr>
        <w:t xml:space="preserve"> CARF requires six months of </w:t>
      </w:r>
      <w:r>
        <w:rPr>
          <w:i/>
          <w:iCs/>
          <w:sz w:val="21"/>
          <w:szCs w:val="21"/>
        </w:rPr>
        <w:t xml:space="preserve">conformance/service records by the survey date</w:t>
      </w:r>
      <w:r>
        <w:rPr>
          <w:sz w:val="21"/>
          <w:szCs w:val="21"/>
        </w:rPr>
        <w:t xml:space="preserve">, but new programs not yet serving clients can obtain </w:t>
      </w:r>
      <w:r>
        <w:rPr>
          <w:b/>
          <w:bCs/>
          <w:sz w:val="21"/>
          <w:szCs w:val="21"/>
        </w:rPr>
        <w:t xml:space="preserve">Preliminary Accreditation</w:t>
      </w:r>
      <w:r>
        <w:rPr>
          <w:sz w:val="21"/>
          <w:szCs w:val="21"/>
        </w:rPr>
        <w:t xml:space="preserve"> by presenting proposed treatment and operational procedures, with a full survey roughly six months after services begin. The real sequence is: license → open → Preliminary Accreditation → operate 6 months → full survey → Medicaid enrollment. Not circular. Confirm specifics with CARF and LDH.</w:t>
      </w:r>
    </w:p>
    <w:p>
      <w:pPr>
        <w:pBdr>
          <w:bottom w:val="single" w:color="BFBFBF" w:sz="6" w:space="6"/>
        </w:pBdr>
        <w:spacing w:after="200" w:before="120"/>
      </w:pPr>
      <w:r>
        <w:t xml:space="preserve"/>
      </w:r>
    </w:p>
    <w:p>
      <w:pPr>
        <w:pStyle w:val="Heading2"/>
        <w:pBdr>
          <w:bottom w:val="single" w:color="1F3864" w:sz="4" w:space="4"/>
        </w:pBdr>
        <w:spacing w:after="140" w:before="320"/>
      </w:pPr>
      <w:r>
        <w:rPr>
          <w:b/>
          <w:bCs/>
          <w:color w:val="1F3864"/>
          <w:sz w:val="26"/>
          <w:szCs w:val="26"/>
        </w:rPr>
        <w:t xml:space="preserve">1. The Louisiana numbers that actually drive the model</w:t>
      </w:r>
    </w:p>
    <w:p>
      <w:pPr>
        <w:pStyle w:val="Heading3"/>
        <w:spacing w:after="100" w:before="240"/>
      </w:pPr>
      <w:r>
        <w:rPr>
          <w:b/>
          <w:bCs/>
          <w:color w:val="2E5496"/>
          <w:sz w:val="22"/>
          <w:szCs w:val="22"/>
        </w:rPr>
        <w:t xml:space="preserve">1.1 State licensing fees are trivial; the cost is everything around them</w:t>
      </w:r>
    </w:p>
    <w:p>
      <w:pPr>
        <w:spacing w:after="140" w:line="276"/>
        <w:jc w:val="left"/>
      </w:pPr>
      <w:r>
        <w:rPr>
          <w:rFonts w:ascii="Consolas" w:cs="Consolas" w:eastAsia="Consolas" w:hAnsi="Consolas"/>
          <w:sz w:val="19"/>
          <w:szCs w:val="19"/>
        </w:rPr>
        <w:t xml:space="preserve">[LDH HSS fee schedule]</w:t>
      </w:r>
      <w:r>
        <w:rPr>
          <w:sz w:val="21"/>
          <w:szCs w:val="21"/>
        </w:rPr>
        <w:t xml:space="preserve"> BHSP initial license </w:t>
      </w:r>
      <w:r>
        <w:rPr>
          <w:b/>
          <w:bCs/>
          <w:sz w:val="21"/>
          <w:szCs w:val="21"/>
        </w:rPr>
        <w:t xml:space="preserve">$600</w:t>
      </w:r>
      <w:r>
        <w:rPr>
          <w:sz w:val="21"/>
          <w:szCs w:val="21"/>
        </w:rPr>
        <w:t xml:space="preserve">; renewal $600; $5/unit; offsite/branch $300; </w:t>
      </w:r>
      <w:r>
        <w:rPr>
          <w:b/>
          <w:bCs/>
          <w:sz w:val="21"/>
          <w:szCs w:val="21"/>
        </w:rPr>
        <w:t xml:space="preserve">CHOW $600</w:t>
      </w:r>
      <w:r>
        <w:rPr>
          <w:sz w:val="21"/>
          <w:szCs w:val="21"/>
        </w:rPr>
        <w:t xml:space="preserve">; change of address $600. A statutory escalator (HB 414, 2017 RS) trends fees toward a $1,000 cap.</w:t>
      </w:r>
    </w:p>
    <w:p>
      <w:pPr>
        <w:spacing w:after="140" w:line="276"/>
        <w:jc w:val="left"/>
      </w:pPr>
      <w:r>
        <w:rPr>
          <w:sz w:val="21"/>
          <w:szCs w:val="21"/>
        </w:rPr>
        <w:t xml:space="preserve">National guides quoting "$25,000–$100,000 for licensing and legal" </w:t>
      </w:r>
      <w:r>
        <w:rPr>
          <w:rFonts w:ascii="Consolas" w:cs="Consolas" w:eastAsia="Consolas" w:hAnsi="Consolas"/>
          <w:sz w:val="19"/>
          <w:szCs w:val="19"/>
        </w:rPr>
        <w:t xml:space="preserve">[vendor]</w:t>
      </w:r>
      <w:r>
        <w:rPr>
          <w:sz w:val="21"/>
          <w:szCs w:val="21"/>
        </w:rPr>
        <w:t xml:space="preserve"> are describing </w:t>
      </w:r>
      <w:r>
        <w:rPr>
          <w:b/>
          <w:bCs/>
          <w:sz w:val="21"/>
          <w:szCs w:val="21"/>
        </w:rPr>
        <w:t xml:space="preserve">attorneys, policy development, licensing consultants, and accreditation prep — not state fees.</w:t>
      </w:r>
      <w:r>
        <w:rPr>
          <w:sz w:val="21"/>
          <w:szCs w:val="21"/>
        </w:rPr>
        <w:t xml:space="preserve"> Budget that work honestly; do not mistake the $600 for the cost of getting licensed.</w:t>
      </w:r>
    </w:p>
    <w:p>
      <w:pPr>
        <w:pStyle w:val="Heading3"/>
        <w:spacing w:after="100" w:before="240"/>
      </w:pPr>
      <w:r>
        <w:rPr>
          <w:b/>
          <w:bCs/>
          <w:color w:val="2E5496"/>
          <w:sz w:val="22"/>
          <w:szCs w:val="22"/>
        </w:rPr>
        <w:t xml:space="preserve">1.2 Actual Medicaid rates, effective 1/1/2026</w:t>
      </w:r>
    </w:p>
    <w:p>
      <w:pPr>
        <w:spacing w:after="140" w:line="276"/>
        <w:jc w:val="left"/>
      </w:pPr>
      <w:r>
        <w:rPr>
          <w:rFonts w:ascii="Consolas" w:cs="Consolas" w:eastAsia="Consolas" w:hAnsi="Consolas"/>
          <w:sz w:val="19"/>
          <w:szCs w:val="19"/>
        </w:rPr>
        <w:t xml:space="preserve">[IB 25-31 rev. 11/5/2025]</w:t>
      </w:r>
      <w:r>
        <w:rPr>
          <w:sz w:val="21"/>
          <w:szCs w:val="21"/>
        </w:rPr>
        <w:t xml:space="preserve">. Adult rates. Credential tiers: </w:t>
      </w:r>
      <w:r>
        <w:rPr>
          <w:b/>
          <w:bCs/>
          <w:sz w:val="21"/>
          <w:szCs w:val="21"/>
        </w:rPr>
        <w:t xml:space="preserve">HO</w:t>
      </w:r>
      <w:r>
        <w:rPr>
          <w:sz w:val="21"/>
          <w:szCs w:val="21"/>
        </w:rPr>
        <w:t xml:space="preserve"> = Master's, </w:t>
      </w:r>
      <w:r>
        <w:rPr>
          <w:b/>
          <w:bCs/>
          <w:sz w:val="21"/>
          <w:szCs w:val="21"/>
        </w:rPr>
        <w:t xml:space="preserve">HN</w:t>
      </w:r>
      <w:r>
        <w:rPr>
          <w:sz w:val="21"/>
          <w:szCs w:val="21"/>
        </w:rPr>
        <w:t xml:space="preserve"> = Bachelor's, </w:t>
      </w:r>
      <w:r>
        <w:rPr>
          <w:b/>
          <w:bCs/>
          <w:sz w:val="21"/>
          <w:szCs w:val="21"/>
        </w:rPr>
        <w:t xml:space="preserve">HM</w:t>
      </w:r>
      <w:r>
        <w:rPr>
          <w:sz w:val="21"/>
          <w:szCs w:val="21"/>
        </w:rPr>
        <w:t xml:space="preserve"> = less than Bachelor's.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638"/>
        <w:gridCol w:w="1638"/>
        <w:gridCol w:w="1638"/>
        <w:gridCol w:w="1638"/>
      </w:tblGrid>
      <w:tr>
        <w:trPr>
          <w:tblHeader/>
        </w:trPr>
        <w:tc>
          <w:tcPr>
            <w:tcW w:type="dxa" w:w="2808"/>
            <w:shd w:fill="E7E6E6" w:color="auto" w:val="clear"/>
            <w:tcMar>
              <w:top w:type="dxa" w:w="60"/>
              <w:left w:type="dxa" w:w="100"/>
              <w:bottom w:type="dxa" w:w="60"/>
              <w:right w:type="dxa" w:w="100"/>
            </w:tcMar>
          </w:tcPr>
          <w:p>
            <w:pPr>
              <w:spacing w:after="20" w:before="20"/>
            </w:pPr>
            <w:r>
              <w:rPr>
                <w:b/>
                <w:bCs/>
                <w:sz w:val="18"/>
                <w:szCs w:val="18"/>
              </w:rPr>
              <w:t xml:space="preserve">Code</w:t>
            </w:r>
          </w:p>
        </w:tc>
        <w:tc>
          <w:tcPr>
            <w:tcW w:type="dxa" w:w="1638"/>
            <w:shd w:fill="E7E6E6" w:color="auto" w:val="clear"/>
            <w:tcMar>
              <w:top w:type="dxa" w:w="60"/>
              <w:left w:type="dxa" w:w="100"/>
              <w:bottom w:type="dxa" w:w="60"/>
              <w:right w:type="dxa" w:w="100"/>
            </w:tcMar>
          </w:tcPr>
          <w:p>
            <w:pPr>
              <w:spacing w:after="20" w:before="20"/>
            </w:pPr>
            <w:r>
              <w:rPr>
                <w:b/>
                <w:bCs/>
                <w:sz w:val="18"/>
                <w:szCs w:val="18"/>
              </w:rPr>
              <w:t xml:space="preserve">Level</w:t>
            </w:r>
          </w:p>
        </w:tc>
        <w:tc>
          <w:tcPr>
            <w:tcW w:type="dxa" w:w="1638"/>
            <w:shd w:fill="E7E6E6" w:color="auto" w:val="clear"/>
            <w:tcMar>
              <w:top w:type="dxa" w:w="60"/>
              <w:left w:type="dxa" w:w="100"/>
              <w:bottom w:type="dxa" w:w="60"/>
              <w:right w:type="dxa" w:w="100"/>
            </w:tcMar>
          </w:tcPr>
          <w:p>
            <w:pPr>
              <w:spacing w:after="20" w:before="20"/>
            </w:pPr>
            <w:r>
              <w:rPr>
                <w:b/>
                <w:bCs/>
                <w:sz w:val="18"/>
                <w:szCs w:val="18"/>
              </w:rPr>
              <w:t xml:space="preserve">Service/day</w:t>
            </w:r>
          </w:p>
        </w:tc>
        <w:tc>
          <w:tcPr>
            <w:tcW w:type="dxa" w:w="1638"/>
            <w:shd w:fill="E7E6E6" w:color="auto" w:val="clear"/>
            <w:tcMar>
              <w:top w:type="dxa" w:w="60"/>
              <w:left w:type="dxa" w:w="100"/>
              <w:bottom w:type="dxa" w:w="60"/>
              <w:right w:type="dxa" w:w="100"/>
            </w:tcMar>
          </w:tcPr>
          <w:p>
            <w:pPr>
              <w:spacing w:after="20" w:before="20"/>
            </w:pPr>
            <w:r>
              <w:rPr>
                <w:b/>
                <w:bCs/>
                <w:sz w:val="18"/>
                <w:szCs w:val="18"/>
              </w:rPr>
              <w:t xml:space="preserve">R&amp;B/day</w:t>
            </w:r>
          </w:p>
        </w:tc>
        <w:tc>
          <w:tcPr>
            <w:tcW w:type="dxa" w:w="1638"/>
            <w:shd w:fill="E7E6E6" w:color="auto" w:val="clear"/>
            <w:tcMar>
              <w:top w:type="dxa" w:w="60"/>
              <w:left w:type="dxa" w:w="100"/>
              <w:bottom w:type="dxa" w:w="60"/>
              <w:right w:type="dxa" w:w="100"/>
            </w:tcMar>
          </w:tcPr>
          <w:p>
            <w:pPr>
              <w:spacing w:after="20" w:before="20"/>
            </w:pPr>
            <w:r>
              <w:rPr>
                <w:b/>
                <w:bCs/>
                <w:sz w:val="18"/>
                <w:szCs w:val="18"/>
              </w:rPr>
              <w:t xml:space="preserve">All-in</w:t>
            </w:r>
          </w:p>
        </w:tc>
      </w:tr>
      <w:tr>
        <w:tc>
          <w:tcPr>
            <w:tcW w:type="dxa" w:w="2808"/>
            <w:tcMar>
              <w:top w:type="dxa" w:w="60"/>
              <w:left w:type="dxa" w:w="100"/>
              <w:bottom w:type="dxa" w:w="60"/>
              <w:right w:type="dxa" w:w="100"/>
            </w:tcMar>
          </w:tcPr>
          <w:p>
            <w:pPr>
              <w:spacing w:after="20" w:before="20"/>
            </w:pPr>
            <w:r>
              <w:rPr>
                <w:sz w:val="18"/>
                <w:szCs w:val="18"/>
              </w:rPr>
              <w:t xml:space="preserve">H0015</w:t>
            </w:r>
          </w:p>
        </w:tc>
        <w:tc>
          <w:tcPr>
            <w:tcW w:type="dxa" w:w="1638"/>
            <w:tcMar>
              <w:top w:type="dxa" w:w="60"/>
              <w:left w:type="dxa" w:w="100"/>
              <w:bottom w:type="dxa" w:w="60"/>
              <w:right w:type="dxa" w:w="100"/>
            </w:tcMar>
          </w:tcPr>
          <w:p>
            <w:pPr>
              <w:spacing w:after="20" w:before="20"/>
            </w:pPr>
            <w:r>
              <w:rPr>
                <w:b/>
                <w:bCs/>
                <w:sz w:val="18"/>
                <w:szCs w:val="18"/>
              </w:rPr>
              <w:t xml:space="preserve">IOP 2.1, group</w:t>
            </w:r>
          </w:p>
        </w:tc>
        <w:tc>
          <w:tcPr>
            <w:tcW w:type="dxa" w:w="1638"/>
            <w:tcMar>
              <w:top w:type="dxa" w:w="60"/>
              <w:left w:type="dxa" w:w="100"/>
              <w:bottom w:type="dxa" w:w="60"/>
              <w:right w:type="dxa" w:w="100"/>
            </w:tcMar>
          </w:tcPr>
          <w:p>
            <w:pPr>
              <w:spacing w:after="20" w:before="20"/>
            </w:pPr>
            <w:r>
              <w:rPr>
                <w:b/>
                <w:bCs/>
                <w:sz w:val="18"/>
                <w:szCs w:val="18"/>
              </w:rPr>
              <w:t xml:space="preserve">$180 / $150 / $120</w:t>
            </w:r>
            <w:r>
              <w:rPr>
                <w:sz w:val="18"/>
                <w:szCs w:val="18"/>
              </w:rPr>
              <w:t xml:space="preserve"> (HO/HN/HM)</w:t>
            </w:r>
          </w:p>
        </w:tc>
        <w:tc>
          <w:tcPr>
            <w:tcW w:type="dxa" w:w="1638"/>
            <w:tcMar>
              <w:top w:type="dxa" w:w="60"/>
              <w:left w:type="dxa" w:w="100"/>
              <w:bottom w:type="dxa" w:w="60"/>
              <w:right w:type="dxa" w:w="100"/>
            </w:tcMar>
          </w:tcPr>
          <w:p>
            <w:pPr>
              <w:spacing w:after="20" w:before="20"/>
            </w:pPr>
            <w:r>
              <w:rPr>
                <w:sz w:val="18"/>
                <w:szCs w:val="18"/>
              </w:rPr>
              <w:t xml:space="preserve">—</w:t>
            </w:r>
          </w:p>
        </w:tc>
        <w:tc>
          <w:tcPr>
            <w:tcW w:type="dxa" w:w="1638"/>
            <w:tcMar>
              <w:top w:type="dxa" w:w="60"/>
              <w:left w:type="dxa" w:w="100"/>
              <w:bottom w:type="dxa" w:w="60"/>
              <w:right w:type="dxa" w:w="100"/>
            </w:tcMar>
          </w:tcPr>
          <w:p>
            <w:pPr>
              <w:spacing w:after="20" w:before="20"/>
            </w:pPr>
            <w:r>
              <w:rPr>
                <w:sz w:val="18"/>
                <w:szCs w:val="18"/>
              </w:rPr>
              <w:t xml:space="preserve">per day</w:t>
            </w:r>
          </w:p>
        </w:tc>
      </w:tr>
      <w:tr>
        <w:tc>
          <w:tcPr>
            <w:tcW w:type="dxa" w:w="2808"/>
            <w:tcMar>
              <w:top w:type="dxa" w:w="60"/>
              <w:left w:type="dxa" w:w="100"/>
              <w:bottom w:type="dxa" w:w="60"/>
              <w:right w:type="dxa" w:w="100"/>
            </w:tcMar>
          </w:tcPr>
          <w:p>
            <w:pPr>
              <w:spacing w:after="20" w:before="20"/>
            </w:pPr>
            <w:r>
              <w:rPr>
                <w:sz w:val="18"/>
                <w:szCs w:val="18"/>
              </w:rPr>
              <w:t xml:space="preserve">H2034</w:t>
            </w:r>
          </w:p>
        </w:tc>
        <w:tc>
          <w:tcPr>
            <w:tcW w:type="dxa" w:w="1638"/>
            <w:tcMar>
              <w:top w:type="dxa" w:w="60"/>
              <w:left w:type="dxa" w:w="100"/>
              <w:bottom w:type="dxa" w:w="60"/>
              <w:right w:type="dxa" w:w="100"/>
            </w:tcMar>
          </w:tcPr>
          <w:p>
            <w:pPr>
              <w:spacing w:after="20" w:before="20"/>
            </w:pPr>
            <w:r>
              <w:rPr>
                <w:sz w:val="18"/>
                <w:szCs w:val="18"/>
              </w:rPr>
              <w:t xml:space="preserve">3.1 halfway house (18+)</w:t>
            </w:r>
          </w:p>
        </w:tc>
        <w:tc>
          <w:tcPr>
            <w:tcW w:type="dxa" w:w="1638"/>
            <w:tcMar>
              <w:top w:type="dxa" w:w="60"/>
              <w:left w:type="dxa" w:w="100"/>
              <w:bottom w:type="dxa" w:w="60"/>
              <w:right w:type="dxa" w:w="100"/>
            </w:tcMar>
          </w:tcPr>
          <w:p>
            <w:pPr>
              <w:spacing w:after="20" w:before="20"/>
            </w:pPr>
            <w:r>
              <w:rPr>
                <w:sz w:val="18"/>
                <w:szCs w:val="18"/>
              </w:rPr>
              <w:t xml:space="preserve">$120.26</w:t>
            </w:r>
          </w:p>
        </w:tc>
        <w:tc>
          <w:tcPr>
            <w:tcW w:type="dxa" w:w="1638"/>
            <w:tcMar>
              <w:top w:type="dxa" w:w="60"/>
              <w:left w:type="dxa" w:w="100"/>
              <w:bottom w:type="dxa" w:w="60"/>
              <w:right w:type="dxa" w:w="100"/>
            </w:tcMar>
          </w:tcPr>
          <w:p>
            <w:pPr>
              <w:spacing w:after="20" w:before="20"/>
            </w:pPr>
            <w:r>
              <w:rPr>
                <w:sz w:val="18"/>
                <w:szCs w:val="18"/>
              </w:rPr>
              <w:t xml:space="preserve">$14.70</w:t>
            </w:r>
          </w:p>
        </w:tc>
        <w:tc>
          <w:tcPr>
            <w:tcW w:type="dxa" w:w="1638"/>
            <w:tcMar>
              <w:top w:type="dxa" w:w="60"/>
              <w:left w:type="dxa" w:w="100"/>
              <w:bottom w:type="dxa" w:w="60"/>
              <w:right w:type="dxa" w:w="100"/>
            </w:tcMar>
          </w:tcPr>
          <w:p>
            <w:pPr>
              <w:spacing w:after="20" w:before="20"/>
            </w:pPr>
            <w:r>
              <w:rPr>
                <w:sz w:val="18"/>
                <w:szCs w:val="18"/>
              </w:rPr>
              <w:t xml:space="preserve">$134.96</w:t>
            </w:r>
          </w:p>
        </w:tc>
      </w:tr>
      <w:tr>
        <w:tc>
          <w:tcPr>
            <w:tcW w:type="dxa" w:w="2808"/>
            <w:tcMar>
              <w:top w:type="dxa" w:w="60"/>
              <w:left w:type="dxa" w:w="100"/>
              <w:bottom w:type="dxa" w:w="60"/>
              <w:right w:type="dxa" w:w="100"/>
            </w:tcMar>
          </w:tcPr>
          <w:p>
            <w:pPr>
              <w:spacing w:after="20" w:before="20"/>
            </w:pPr>
            <w:r>
              <w:rPr>
                <w:sz w:val="18"/>
                <w:szCs w:val="18"/>
              </w:rPr>
              <w:t xml:space="preserve">H0019</w:t>
            </w:r>
          </w:p>
        </w:tc>
        <w:tc>
          <w:tcPr>
            <w:tcW w:type="dxa" w:w="1638"/>
            <w:tcMar>
              <w:top w:type="dxa" w:w="60"/>
              <w:left w:type="dxa" w:w="100"/>
              <w:bottom w:type="dxa" w:w="60"/>
              <w:right w:type="dxa" w:w="100"/>
            </w:tcMar>
          </w:tcPr>
          <w:p>
            <w:pPr>
              <w:spacing w:after="20" w:before="20"/>
            </w:pPr>
            <w:r>
              <w:rPr>
                <w:sz w:val="18"/>
                <w:szCs w:val="18"/>
              </w:rPr>
              <w:t xml:space="preserve">3.3 long-term residential</w:t>
            </w:r>
          </w:p>
        </w:tc>
        <w:tc>
          <w:tcPr>
            <w:tcW w:type="dxa" w:w="1638"/>
            <w:tcMar>
              <w:top w:type="dxa" w:w="60"/>
              <w:left w:type="dxa" w:w="100"/>
              <w:bottom w:type="dxa" w:w="60"/>
              <w:right w:type="dxa" w:w="100"/>
            </w:tcMar>
          </w:tcPr>
          <w:p>
            <w:pPr>
              <w:spacing w:after="20" w:before="20"/>
            </w:pPr>
            <w:r>
              <w:rPr>
                <w:sz w:val="18"/>
                <w:szCs w:val="18"/>
              </w:rPr>
              <w:t xml:space="preserve">$104.38</w:t>
            </w:r>
          </w:p>
        </w:tc>
        <w:tc>
          <w:tcPr>
            <w:tcW w:type="dxa" w:w="1638"/>
            <w:tcMar>
              <w:top w:type="dxa" w:w="60"/>
              <w:left w:type="dxa" w:w="100"/>
              <w:bottom w:type="dxa" w:w="60"/>
              <w:right w:type="dxa" w:w="100"/>
            </w:tcMar>
          </w:tcPr>
          <w:p>
            <w:pPr>
              <w:spacing w:after="20" w:before="20"/>
            </w:pPr>
            <w:r>
              <w:rPr>
                <w:sz w:val="18"/>
                <w:szCs w:val="18"/>
              </w:rPr>
              <w:t xml:space="preserve">$21.50</w:t>
            </w:r>
          </w:p>
        </w:tc>
        <w:tc>
          <w:tcPr>
            <w:tcW w:type="dxa" w:w="1638"/>
            <w:tcMar>
              <w:top w:type="dxa" w:w="60"/>
              <w:left w:type="dxa" w:w="100"/>
              <w:bottom w:type="dxa" w:w="60"/>
              <w:right w:type="dxa" w:w="100"/>
            </w:tcMar>
          </w:tcPr>
          <w:p>
            <w:pPr>
              <w:spacing w:after="20" w:before="20"/>
            </w:pPr>
            <w:r>
              <w:rPr>
                <w:sz w:val="18"/>
                <w:szCs w:val="18"/>
              </w:rPr>
              <w:t xml:space="preserve">$125.88</w:t>
            </w:r>
          </w:p>
        </w:tc>
      </w:tr>
      <w:tr>
        <w:tc>
          <w:tcPr>
            <w:tcW w:type="dxa" w:w="2808"/>
            <w:tcMar>
              <w:top w:type="dxa" w:w="60"/>
              <w:left w:type="dxa" w:w="100"/>
              <w:bottom w:type="dxa" w:w="60"/>
              <w:right w:type="dxa" w:w="100"/>
            </w:tcMar>
          </w:tcPr>
          <w:p>
            <w:pPr>
              <w:spacing w:after="20" w:before="20"/>
            </w:pPr>
            <w:r>
              <w:rPr>
                <w:b/>
                <w:bCs/>
                <w:sz w:val="18"/>
                <w:szCs w:val="18"/>
              </w:rPr>
              <w:t xml:space="preserve">H2036</w:t>
            </w:r>
          </w:p>
        </w:tc>
        <w:tc>
          <w:tcPr>
            <w:tcW w:type="dxa" w:w="1638"/>
            <w:tcMar>
              <w:top w:type="dxa" w:w="60"/>
              <w:left w:type="dxa" w:w="100"/>
              <w:bottom w:type="dxa" w:w="60"/>
              <w:right w:type="dxa" w:w="100"/>
            </w:tcMar>
          </w:tcPr>
          <w:p>
            <w:pPr>
              <w:spacing w:after="20" w:before="20"/>
            </w:pPr>
            <w:r>
              <w:rPr>
                <w:b/>
                <w:bCs/>
                <w:sz w:val="18"/>
                <w:szCs w:val="18"/>
              </w:rPr>
              <w:t xml:space="preserve">3.5 clinically managed high-intensity (18+)</w:t>
            </w:r>
          </w:p>
        </w:tc>
        <w:tc>
          <w:tcPr>
            <w:tcW w:type="dxa" w:w="1638"/>
            <w:tcMar>
              <w:top w:type="dxa" w:w="60"/>
              <w:left w:type="dxa" w:w="100"/>
              <w:bottom w:type="dxa" w:w="60"/>
              <w:right w:type="dxa" w:w="100"/>
            </w:tcMar>
          </w:tcPr>
          <w:p>
            <w:pPr>
              <w:spacing w:after="20" w:before="20"/>
            </w:pPr>
            <w:r>
              <w:rPr>
                <w:b/>
                <w:bCs/>
                <w:sz w:val="18"/>
                <w:szCs w:val="18"/>
              </w:rPr>
              <w:t xml:space="preserve">$303.67</w:t>
            </w:r>
          </w:p>
        </w:tc>
        <w:tc>
          <w:tcPr>
            <w:tcW w:type="dxa" w:w="1638"/>
            <w:tcMar>
              <w:top w:type="dxa" w:w="60"/>
              <w:left w:type="dxa" w:w="100"/>
              <w:bottom w:type="dxa" w:w="60"/>
              <w:right w:type="dxa" w:w="100"/>
            </w:tcMar>
          </w:tcPr>
          <w:p>
            <w:pPr>
              <w:spacing w:after="20" w:before="20"/>
            </w:pPr>
            <w:r>
              <w:rPr>
                <w:sz w:val="18"/>
                <w:szCs w:val="18"/>
              </w:rPr>
              <w:t xml:space="preserve">$31.62</w:t>
            </w:r>
          </w:p>
        </w:tc>
        <w:tc>
          <w:tcPr>
            <w:tcW w:type="dxa" w:w="1638"/>
            <w:tcMar>
              <w:top w:type="dxa" w:w="60"/>
              <w:left w:type="dxa" w:w="100"/>
              <w:bottom w:type="dxa" w:w="60"/>
              <w:right w:type="dxa" w:w="100"/>
            </w:tcMar>
          </w:tcPr>
          <w:p>
            <w:pPr>
              <w:spacing w:after="20" w:before="20"/>
            </w:pPr>
            <w:r>
              <w:rPr>
                <w:b/>
                <w:bCs/>
                <w:sz w:val="18"/>
                <w:szCs w:val="18"/>
              </w:rPr>
              <w:t xml:space="preserve">$335.29</w:t>
            </w:r>
          </w:p>
        </w:tc>
      </w:tr>
      <w:tr>
        <w:tc>
          <w:tcPr>
            <w:tcW w:type="dxa" w:w="2808"/>
            <w:tcMar>
              <w:top w:type="dxa" w:w="60"/>
              <w:left w:type="dxa" w:w="100"/>
              <w:bottom w:type="dxa" w:w="60"/>
              <w:right w:type="dxa" w:w="100"/>
            </w:tcMar>
          </w:tcPr>
          <w:p>
            <w:pPr>
              <w:spacing w:after="20" w:before="20"/>
            </w:pPr>
            <w:r>
              <w:rPr>
                <w:sz w:val="18"/>
                <w:szCs w:val="18"/>
              </w:rPr>
              <w:t xml:space="preserve">H2036</w:t>
            </w:r>
          </w:p>
        </w:tc>
        <w:tc>
          <w:tcPr>
            <w:tcW w:type="dxa" w:w="1638"/>
            <w:tcMar>
              <w:top w:type="dxa" w:w="60"/>
              <w:left w:type="dxa" w:w="100"/>
              <w:bottom w:type="dxa" w:w="60"/>
              <w:right w:type="dxa" w:w="100"/>
            </w:tcMar>
          </w:tcPr>
          <w:p>
            <w:pPr>
              <w:spacing w:after="20" w:before="20"/>
            </w:pPr>
            <w:r>
              <w:rPr>
                <w:sz w:val="18"/>
                <w:szCs w:val="18"/>
              </w:rPr>
              <w:t xml:space="preserve">3.7 medically monitored (21+)</w:t>
            </w:r>
          </w:p>
        </w:tc>
        <w:tc>
          <w:tcPr>
            <w:tcW w:type="dxa" w:w="1638"/>
            <w:tcMar>
              <w:top w:type="dxa" w:w="60"/>
              <w:left w:type="dxa" w:w="100"/>
              <w:bottom w:type="dxa" w:w="60"/>
              <w:right w:type="dxa" w:w="100"/>
            </w:tcMar>
          </w:tcPr>
          <w:p>
            <w:pPr>
              <w:spacing w:after="20" w:before="20"/>
            </w:pPr>
            <w:r>
              <w:rPr>
                <w:sz w:val="18"/>
                <w:szCs w:val="18"/>
              </w:rPr>
              <w:t xml:space="preserve">$404.13</w:t>
            </w:r>
          </w:p>
        </w:tc>
        <w:tc>
          <w:tcPr>
            <w:tcW w:type="dxa" w:w="1638"/>
            <w:tcMar>
              <w:top w:type="dxa" w:w="60"/>
              <w:left w:type="dxa" w:w="100"/>
              <w:bottom w:type="dxa" w:w="60"/>
              <w:right w:type="dxa" w:w="100"/>
            </w:tcMar>
          </w:tcPr>
          <w:p>
            <w:pPr>
              <w:spacing w:after="20" w:before="20"/>
            </w:pPr>
            <w:r>
              <w:rPr>
                <w:sz w:val="18"/>
                <w:szCs w:val="18"/>
              </w:rPr>
              <w:t xml:space="preserve">$56.26</w:t>
            </w:r>
          </w:p>
        </w:tc>
        <w:tc>
          <w:tcPr>
            <w:tcW w:type="dxa" w:w="1638"/>
            <w:tcMar>
              <w:top w:type="dxa" w:w="60"/>
              <w:left w:type="dxa" w:w="100"/>
              <w:bottom w:type="dxa" w:w="60"/>
              <w:right w:type="dxa" w:w="100"/>
            </w:tcMar>
          </w:tcPr>
          <w:p>
            <w:pPr>
              <w:spacing w:after="20" w:before="20"/>
            </w:pPr>
            <w:r>
              <w:rPr>
                <w:sz w:val="18"/>
                <w:szCs w:val="18"/>
              </w:rPr>
              <w:t xml:space="preserve">$460.39</w:t>
            </w:r>
          </w:p>
        </w:tc>
      </w:tr>
      <w:tr>
        <w:tc>
          <w:tcPr>
            <w:tcW w:type="dxa" w:w="2808"/>
            <w:tcMar>
              <w:top w:type="dxa" w:w="60"/>
              <w:left w:type="dxa" w:w="100"/>
              <w:bottom w:type="dxa" w:w="60"/>
              <w:right w:type="dxa" w:w="100"/>
            </w:tcMar>
          </w:tcPr>
          <w:p>
            <w:pPr>
              <w:spacing w:after="20" w:before="20"/>
            </w:pPr>
            <w:r>
              <w:rPr>
                <w:sz w:val="18"/>
                <w:szCs w:val="18"/>
              </w:rPr>
              <w:t xml:space="preserve">H0011</w:t>
            </w:r>
          </w:p>
        </w:tc>
        <w:tc>
          <w:tcPr>
            <w:tcW w:type="dxa" w:w="1638"/>
            <w:tcMar>
              <w:top w:type="dxa" w:w="60"/>
              <w:left w:type="dxa" w:w="100"/>
              <w:bottom w:type="dxa" w:w="60"/>
              <w:right w:type="dxa" w:w="100"/>
            </w:tcMar>
          </w:tcPr>
          <w:p>
            <w:pPr>
              <w:spacing w:after="20" w:before="20"/>
            </w:pPr>
            <w:r>
              <w:rPr>
                <w:sz w:val="18"/>
                <w:szCs w:val="18"/>
              </w:rPr>
              <w:t xml:space="preserve">3.7-WM acute withdrawal management (21+)</w:t>
            </w:r>
          </w:p>
        </w:tc>
        <w:tc>
          <w:tcPr>
            <w:tcW w:type="dxa" w:w="1638"/>
            <w:tcMar>
              <w:top w:type="dxa" w:w="60"/>
              <w:left w:type="dxa" w:w="100"/>
              <w:bottom w:type="dxa" w:w="60"/>
              <w:right w:type="dxa" w:w="100"/>
            </w:tcMar>
          </w:tcPr>
          <w:p>
            <w:pPr>
              <w:spacing w:after="20" w:before="20"/>
            </w:pPr>
            <w:r>
              <w:rPr>
                <w:sz w:val="18"/>
                <w:szCs w:val="18"/>
              </w:rPr>
              <w:t xml:space="preserve">$425.61</w:t>
            </w:r>
          </w:p>
        </w:tc>
        <w:tc>
          <w:tcPr>
            <w:tcW w:type="dxa" w:w="1638"/>
            <w:tcMar>
              <w:top w:type="dxa" w:w="60"/>
              <w:left w:type="dxa" w:w="100"/>
              <w:bottom w:type="dxa" w:w="60"/>
              <w:right w:type="dxa" w:w="100"/>
            </w:tcMar>
          </w:tcPr>
          <w:p>
            <w:pPr>
              <w:spacing w:after="20" w:before="20"/>
            </w:pPr>
            <w:r>
              <w:rPr>
                <w:sz w:val="18"/>
                <w:szCs w:val="18"/>
              </w:rPr>
              <w:t xml:space="preserve">$43.50</w:t>
            </w:r>
          </w:p>
        </w:tc>
        <w:tc>
          <w:tcPr>
            <w:tcW w:type="dxa" w:w="1638"/>
            <w:tcMar>
              <w:top w:type="dxa" w:w="60"/>
              <w:left w:type="dxa" w:w="100"/>
              <w:bottom w:type="dxa" w:w="60"/>
              <w:right w:type="dxa" w:w="100"/>
            </w:tcMar>
          </w:tcPr>
          <w:p>
            <w:pPr>
              <w:spacing w:after="20" w:before="20"/>
            </w:pPr>
            <w:r>
              <w:rPr>
                <w:sz w:val="18"/>
                <w:szCs w:val="18"/>
              </w:rPr>
              <w:t xml:space="preserve">$469.11</w:t>
            </w:r>
          </w:p>
        </w:tc>
      </w:tr>
      <w:tr>
        <w:tc>
          <w:tcPr>
            <w:tcW w:type="dxa" w:w="2808"/>
            <w:tcMar>
              <w:top w:type="dxa" w:w="60"/>
              <w:left w:type="dxa" w:w="100"/>
              <w:bottom w:type="dxa" w:w="60"/>
              <w:right w:type="dxa" w:w="100"/>
            </w:tcMar>
          </w:tcPr>
          <w:p>
            <w:pPr>
              <w:spacing w:after="20" w:before="20"/>
            </w:pPr>
            <w:r>
              <w:rPr>
                <w:sz w:val="18"/>
                <w:szCs w:val="18"/>
              </w:rPr>
              <w:t xml:space="preserve">H0001</w:t>
            </w:r>
          </w:p>
        </w:tc>
        <w:tc>
          <w:tcPr>
            <w:tcW w:type="dxa" w:w="1638"/>
            <w:tcMar>
              <w:top w:type="dxa" w:w="60"/>
              <w:left w:type="dxa" w:w="100"/>
              <w:bottom w:type="dxa" w:w="60"/>
              <w:right w:type="dxa" w:w="100"/>
            </w:tcMar>
          </w:tcPr>
          <w:p>
            <w:pPr>
              <w:spacing w:after="20" w:before="20"/>
            </w:pPr>
            <w:r>
              <w:rPr>
                <w:sz w:val="18"/>
                <w:szCs w:val="18"/>
              </w:rPr>
              <w:t xml:space="preserve">Assessment (18+)</w:t>
            </w:r>
          </w:p>
        </w:tc>
        <w:tc>
          <w:tcPr>
            <w:tcW w:type="dxa" w:w="1638"/>
            <w:tcMar>
              <w:top w:type="dxa" w:w="60"/>
              <w:left w:type="dxa" w:w="100"/>
              <w:bottom w:type="dxa" w:w="60"/>
              <w:right w:type="dxa" w:w="100"/>
            </w:tcMar>
          </w:tcPr>
          <w:p>
            <w:pPr>
              <w:spacing w:after="20" w:before="20"/>
            </w:pPr>
            <w:r>
              <w:rPr>
                <w:sz w:val="18"/>
                <w:szCs w:val="18"/>
              </w:rPr>
              <w:t xml:space="preserve">$81.59 / $79.81 / $78.03</w:t>
            </w:r>
          </w:p>
        </w:tc>
        <w:tc>
          <w:tcPr>
            <w:tcW w:type="dxa" w:w="1638"/>
            <w:tcMar>
              <w:top w:type="dxa" w:w="60"/>
              <w:left w:type="dxa" w:w="100"/>
              <w:bottom w:type="dxa" w:w="60"/>
              <w:right w:type="dxa" w:w="100"/>
            </w:tcMar>
          </w:tcPr>
          <w:p>
            <w:pPr>
              <w:spacing w:after="20" w:before="20"/>
            </w:pPr>
            <w:r>
              <w:rPr>
                <w:sz w:val="18"/>
                <w:szCs w:val="18"/>
              </w:rPr>
              <w:t xml:space="preserve">—</w:t>
            </w:r>
          </w:p>
        </w:tc>
        <w:tc>
          <w:tcPr>
            <w:tcW w:type="dxa" w:w="1638"/>
            <w:tcMar>
              <w:top w:type="dxa" w:w="60"/>
              <w:left w:type="dxa" w:w="100"/>
              <w:bottom w:type="dxa" w:w="60"/>
              <w:right w:type="dxa" w:w="100"/>
            </w:tcMar>
          </w:tcPr>
          <w:p>
            <w:pPr>
              <w:spacing w:after="20" w:before="20"/>
            </w:pPr>
            <w:r>
              <w:rPr>
                <w:sz w:val="18"/>
                <w:szCs w:val="18"/>
              </w:rPr>
              <w:t xml:space="preserve">per visit</w:t>
            </w:r>
          </w:p>
        </w:tc>
      </w:tr>
      <w:tr>
        <w:tc>
          <w:tcPr>
            <w:tcW w:type="dxa" w:w="2808"/>
            <w:tcMar>
              <w:top w:type="dxa" w:w="60"/>
              <w:left w:type="dxa" w:w="100"/>
              <w:bottom w:type="dxa" w:w="60"/>
              <w:right w:type="dxa" w:w="100"/>
            </w:tcMar>
          </w:tcPr>
          <w:p>
            <w:pPr>
              <w:spacing w:after="20" w:before="20"/>
            </w:pPr>
            <w:r>
              <w:rPr>
                <w:sz w:val="18"/>
                <w:szCs w:val="18"/>
              </w:rPr>
              <w:t xml:space="preserve">H0004</w:t>
            </w:r>
          </w:p>
        </w:tc>
        <w:tc>
          <w:tcPr>
            <w:tcW w:type="dxa" w:w="1638"/>
            <w:tcMar>
              <w:top w:type="dxa" w:w="60"/>
              <w:left w:type="dxa" w:w="100"/>
              <w:bottom w:type="dxa" w:w="60"/>
              <w:right w:type="dxa" w:w="100"/>
            </w:tcMar>
          </w:tcPr>
          <w:p>
            <w:pPr>
              <w:spacing w:after="20" w:before="20"/>
            </w:pPr>
            <w:r>
              <w:rPr>
                <w:sz w:val="18"/>
                <w:szCs w:val="18"/>
              </w:rPr>
              <w:t xml:space="preserve">Individual counseling (18+)</w:t>
            </w:r>
          </w:p>
        </w:tc>
        <w:tc>
          <w:tcPr>
            <w:tcW w:type="dxa" w:w="1638"/>
            <w:tcMar>
              <w:top w:type="dxa" w:w="60"/>
              <w:left w:type="dxa" w:w="100"/>
              <w:bottom w:type="dxa" w:w="60"/>
              <w:right w:type="dxa" w:w="100"/>
            </w:tcMar>
          </w:tcPr>
          <w:p>
            <w:pPr>
              <w:spacing w:after="20" w:before="20"/>
            </w:pPr>
            <w:r>
              <w:rPr>
                <w:sz w:val="18"/>
                <w:szCs w:val="18"/>
              </w:rPr>
              <w:t xml:space="preserve">$18.57 (HO)</w:t>
            </w:r>
          </w:p>
        </w:tc>
        <w:tc>
          <w:tcPr>
            <w:tcW w:type="dxa" w:w="1638"/>
            <w:tcMar>
              <w:top w:type="dxa" w:w="60"/>
              <w:left w:type="dxa" w:w="100"/>
              <w:bottom w:type="dxa" w:w="60"/>
              <w:right w:type="dxa" w:w="100"/>
            </w:tcMar>
          </w:tcPr>
          <w:p>
            <w:pPr>
              <w:spacing w:after="20" w:before="20"/>
            </w:pPr>
            <w:r>
              <w:rPr>
                <w:sz w:val="18"/>
                <w:szCs w:val="18"/>
              </w:rPr>
              <w:t xml:space="preserve">—</w:t>
            </w:r>
          </w:p>
        </w:tc>
        <w:tc>
          <w:tcPr>
            <w:tcW w:type="dxa" w:w="1638"/>
            <w:tcMar>
              <w:top w:type="dxa" w:w="60"/>
              <w:left w:type="dxa" w:w="100"/>
              <w:bottom w:type="dxa" w:w="60"/>
              <w:right w:type="dxa" w:w="100"/>
            </w:tcMar>
          </w:tcPr>
          <w:p>
            <w:pPr>
              <w:spacing w:after="20" w:before="20"/>
            </w:pPr>
            <w:r>
              <w:rPr>
                <w:sz w:val="18"/>
                <w:szCs w:val="18"/>
              </w:rPr>
              <w:t xml:space="preserve">per 15 min</w:t>
            </w:r>
          </w:p>
        </w:tc>
      </w:tr>
    </w:tbl>
    <w:p>
      <w:pPr>
        <w:spacing w:after="160"/>
      </w:pPr>
      <w:r>
        <w:t xml:space="preserve"/>
      </w:r>
    </w:p>
    <w:p>
      <w:pPr>
        <w:spacing w:after="140" w:line="276"/>
        <w:jc w:val="left"/>
      </w:pPr>
      <w:r>
        <w:rPr>
          <w:b/>
          <w:bCs/>
          <w:sz w:val="21"/>
          <w:szCs w:val="21"/>
        </w:rPr>
        <w:t xml:space="preserve">Correction to revision 2:</w:t>
      </w:r>
      <w:r>
        <w:rPr>
          <w:sz w:val="21"/>
          <w:szCs w:val="21"/>
        </w:rPr>
        <w:t xml:space="preserve"> I used $364.24 for ASAM 3.5 — that is the </w:t>
      </w:r>
      <w:r>
        <w:rPr>
          <w:i/>
          <w:iCs/>
          <w:sz w:val="21"/>
          <w:szCs w:val="21"/>
        </w:rPr>
        <w:t xml:space="preserve">prenatal/postpartum</w:t>
      </w:r>
      <w:r>
        <w:rPr>
          <w:sz w:val="21"/>
          <w:szCs w:val="21"/>
        </w:rPr>
        <w:t xml:space="preserve"> variant. The </w:t>
      </w:r>
      <w:r>
        <w:rPr>
          <w:b/>
          <w:bCs/>
          <w:sz w:val="21"/>
          <w:szCs w:val="21"/>
        </w:rPr>
        <w:t xml:space="preserve">general adult 3.5 rate is $303.67.</w:t>
      </w:r>
    </w:p>
    <w:p>
      <w:pPr>
        <w:spacing w:after="140" w:line="276"/>
        <w:jc w:val="left"/>
      </w:pPr>
      <w:r>
        <w:rPr>
          <w:b/>
          <w:bCs/>
          <w:sz w:val="21"/>
          <w:szCs w:val="21"/>
        </w:rPr>
        <w:t xml:space="preserve">⚠️ Room and board is MCO-discretionary.</w:t>
      </w:r>
      <w:r>
        <w:rPr>
          <w:sz w:val="21"/>
          <w:szCs w:val="21"/>
        </w:rPr>
        <w:t xml:space="preserve"> </w:t>
      </w:r>
      <w:r>
        <w:rPr>
          <w:rFonts w:ascii="Consolas" w:cs="Consolas" w:eastAsia="Consolas" w:hAnsi="Consolas"/>
          <w:sz w:val="19"/>
          <w:szCs w:val="19"/>
        </w:rPr>
        <w:t xml:space="preserve">[IB]</w:t>
      </w:r>
      <w:r>
        <w:rPr>
          <w:sz w:val="21"/>
          <w:szCs w:val="21"/>
        </w:rPr>
        <w:t xml:space="preserve"> states R&amp;B rates "have been removed from the SBHS fee schedule, as these are not State Plan services and are payable at the discretion of the managed care organization." Plan on </w:t>
      </w:r>
      <w:r>
        <w:rPr>
          <w:b/>
          <w:bCs/>
          <w:sz w:val="21"/>
          <w:szCs w:val="21"/>
        </w:rPr>
        <w:t xml:space="preserve">service-only</w:t>
      </w:r>
      <w:r>
        <w:rPr>
          <w:sz w:val="21"/>
          <w:szCs w:val="21"/>
        </w:rPr>
        <w:t xml:space="preserve"> rates; treat R&amp;B as upside to be confirmed MCO-by-MCO.</w:t>
      </w:r>
    </w:p>
    <w:p>
      <w:pPr>
        <w:spacing w:after="140" w:line="276"/>
        <w:jc w:val="left"/>
      </w:pPr>
      <w:r>
        <w:rPr>
          <w:b/>
          <w:bCs/>
          <w:sz w:val="21"/>
          <w:szCs w:val="21"/>
        </w:rPr>
        <w:t xml:space="preserve">Three consequences:</w:t>
      </w:r>
    </w:p>
    <w:p>
      <w:pPr>
        <w:spacing w:after="140" w:line="276"/>
        <w:jc w:val="left"/>
      </w:pPr>
      <w:r>
        <w:rPr>
          <w:b/>
          <w:bCs/>
          <w:sz w:val="21"/>
          <w:szCs w:val="21"/>
        </w:rPr>
        <w:t xml:space="preserve">(a) Staff credential mix is a revenue decision.</w:t>
      </w:r>
      <w:r>
        <w:rPr>
          <w:sz w:val="21"/>
          <w:szCs w:val="21"/>
        </w:rPr>
        <w:t xml:space="preserve"> IOP group pays </w:t>
      </w:r>
      <w:r>
        <w:rPr>
          <w:b/>
          <w:bCs/>
          <w:sz w:val="21"/>
          <w:szCs w:val="21"/>
        </w:rPr>
        <w:t xml:space="preserve">$180/day at Master's level versus $120 at less-than-Bachelor's</w:t>
      </w:r>
      <w:r>
        <w:rPr>
          <w:sz w:val="21"/>
          <w:szCs w:val="21"/>
        </w:rPr>
        <w:t xml:space="preserve"> — a 50% revenue swing on identical service. Cheaper staff can cut revenue faster than payroll.</w:t>
      </w:r>
    </w:p>
    <w:p>
      <w:pPr>
        <w:spacing w:after="140" w:line="276"/>
        <w:jc w:val="left"/>
      </w:pPr>
      <w:r>
        <w:rPr>
          <w:b/>
          <w:bCs/>
          <w:sz w:val="21"/>
          <w:szCs w:val="21"/>
        </w:rPr>
        <w:t xml:space="preserve">(b) Louisiana residential is more viable than revision 2 implied.</w:t>
      </w:r>
      <w:r>
        <w:rPr>
          <w:sz w:val="21"/>
          <w:szCs w:val="21"/>
        </w:rPr>
        <w:t xml:space="preserve"> At 24 beds, 80% occupancy, service-only: </w:t>
      </w:r>
      <w:r>
        <w:rPr>
          <w:b/>
          <w:bCs/>
          <w:sz w:val="21"/>
          <w:szCs w:val="21"/>
        </w:rPr>
        <w:t xml:space="preserve">$303.67 × 24 × 0.80 × 365 ≈ $2.13M/yr</w:t>
      </w:r>
      <w:r>
        <w:rPr>
          <w:sz w:val="21"/>
          <w:szCs w:val="21"/>
        </w:rPr>
        <w:t xml:space="preserve"> (≈$2.35M if R&amp;B is paid). Revision 2's "$150–300 Medicaid" range bracketed neither end — 3.1/3.3 fall below it, and 3.5/3.7 (the levels an actual residential program bills) fall well above. The commercial-vs-Medicaid spread is roughly </w:t>
      </w:r>
      <w:r>
        <w:rPr>
          <w:b/>
          <w:bCs/>
          <w:sz w:val="21"/>
          <w:szCs w:val="21"/>
        </w:rPr>
        <w:t xml:space="preserve">2.4–4.5×</w:t>
      </w:r>
      <w:r>
        <w:rPr>
          <w:sz w:val="21"/>
          <w:szCs w:val="21"/>
        </w:rPr>
        <w:t xml:space="preserve">, not the 4–5× I stated. </w:t>
      </w:r>
      <w:r>
        <w:rPr>
          <w:b/>
          <w:bCs/>
          <w:sz w:val="21"/>
          <w:szCs w:val="21"/>
        </w:rPr>
        <w:t xml:space="preserve">This weakens the case for leaving Louisiana.</w:t>
      </w:r>
    </w:p>
    <w:p>
      <w:pPr>
        <w:spacing w:after="140" w:line="276"/>
        <w:jc w:val="left"/>
      </w:pPr>
      <w:r>
        <w:rPr>
          <w:b/>
          <w:bCs/>
          <w:sz w:val="21"/>
          <w:szCs w:val="21"/>
        </w:rPr>
        <w:t xml:space="preserve">(c) IOP remains the best capital efficiency</w:t>
      </w:r>
      <w:r>
        <w:rPr>
          <w:sz w:val="21"/>
          <w:szCs w:val="21"/>
        </w:rPr>
        <w:t xml:space="preserve">, but on throughput, not per-diem comparison — see §2.2.</w:t>
      </w:r>
    </w:p>
    <w:p>
      <w:pPr>
        <w:pStyle w:val="Heading3"/>
        <w:spacing w:after="100" w:before="240"/>
      </w:pPr>
      <w:r>
        <w:rPr>
          <w:b/>
          <w:bCs/>
          <w:color w:val="2E5496"/>
          <w:sz w:val="22"/>
          <w:szCs w:val="22"/>
        </w:rPr>
        <w:t xml:space="preserve">1.3 ASAM 4th Edition: rulemaking is complete</w:t>
      </w:r>
    </w:p>
    <w:p>
      <w:pPr>
        <w:spacing w:after="140" w:line="276"/>
        <w:jc w:val="left"/>
      </w:pPr>
      <w:r>
        <w:rPr>
          <w:rFonts w:ascii="Consolas" w:cs="Consolas" w:eastAsia="Consolas" w:hAnsi="Consolas"/>
          <w:sz w:val="19"/>
          <w:szCs w:val="19"/>
        </w:rPr>
        <w:t xml:space="preserve">[LDH HSS memo 2/4/2026]</w:t>
      </w:r>
      <w:r>
        <w:rPr>
          <w:sz w:val="21"/>
          <w:szCs w:val="21"/>
        </w:rPr>
        <w:t xml:space="preserve"> Notice of Intent published 9/20/2025; </w:t>
      </w:r>
      <w:r>
        <w:rPr>
          <w:b/>
          <w:bCs/>
          <w:sz w:val="21"/>
          <w:szCs w:val="21"/>
        </w:rPr>
        <w:t xml:space="preserve">final rule published in the Louisiana Register 1/20/2026</w:t>
      </w:r>
      <w:r>
        <w:rPr>
          <w:sz w:val="21"/>
          <w:szCs w:val="21"/>
        </w:rPr>
        <w:t xml:space="preserve">; "all BHSPs shall be required to be in compliance with the updated regulations no later than </w:t>
      </w:r>
      <w:r>
        <w:rPr>
          <w:b/>
          <w:bCs/>
          <w:sz w:val="21"/>
          <w:szCs w:val="21"/>
        </w:rPr>
        <w:t xml:space="preserve">July 1, 2026</w:t>
      </w:r>
      <w:r>
        <w:rPr>
          <w:sz w:val="21"/>
          <w:szCs w:val="21"/>
        </w:rPr>
        <w:t xml:space="preserve">." This answers revision 2's open question — the rules are final, not pending.</w:t>
      </w:r>
    </w:p>
    <w:p>
      <w:pPr>
        <w:spacing w:after="140" w:line="276"/>
        <w:jc w:val="left"/>
      </w:pPr>
      <w:r>
        <w:rPr>
          <w:sz w:val="21"/>
          <w:szCs w:val="21"/>
        </w:rPr>
        <w:t xml:space="preserve">Terminology follows: under 4th Edition, former "PHP / Level 2.5" is </w:t>
      </w:r>
      <w:r>
        <w:rPr>
          <w:b/>
          <w:bCs/>
          <w:sz w:val="21"/>
          <w:szCs w:val="21"/>
        </w:rPr>
        <w:t xml:space="preserve">High-Intensity Outpatient</w:t>
      </w:r>
      <w:r>
        <w:rPr>
          <w:sz w:val="21"/>
          <w:szCs w:val="21"/>
        </w:rPr>
        <w:t xml:space="preserve">, Level 1 becomes </w:t>
      </w:r>
      <w:r>
        <w:rPr>
          <w:b/>
          <w:bCs/>
          <w:sz w:val="21"/>
          <w:szCs w:val="21"/>
        </w:rPr>
        <w:t xml:space="preserve">1.5</w:t>
      </w:r>
      <w:r>
        <w:rPr>
          <w:sz w:val="21"/>
          <w:szCs w:val="21"/>
        </w:rPr>
        <w:t xml:space="preserve">, and the 3.x/WM levels are restructured. Build to 4th Edition labels.</w:t>
      </w:r>
    </w:p>
    <w:p>
      <w:pPr>
        <w:pStyle w:val="Heading3"/>
        <w:spacing w:after="100" w:before="240"/>
      </w:pPr>
      <w:r>
        <w:rPr>
          <w:b/>
          <w:bCs/>
          <w:color w:val="2E5496"/>
          <w:sz w:val="22"/>
          <w:szCs w:val="22"/>
        </w:rPr>
        <w:t xml:space="preserve">1.4 Incumbent operators are publicly warning</w:t>
      </w:r>
    </w:p>
    <w:p>
      <w:pPr>
        <w:spacing w:after="140" w:line="276"/>
        <w:jc w:val="left"/>
      </w:pPr>
      <w:r>
        <w:rPr>
          <w:sz w:val="21"/>
          <w:szCs w:val="21"/>
        </w:rPr>
        <w:t xml:space="preserve">Leaders from Odyssey House Louisiana and O'Brien House testified that rate levels and eligibility gaps together threaten provider capacity </w:t>
      </w:r>
      <w:r>
        <w:rPr>
          <w:rFonts w:ascii="Consolas" w:cs="Consolas" w:eastAsia="Consolas" w:hAnsi="Consolas"/>
          <w:sz w:val="19"/>
          <w:szCs w:val="19"/>
        </w:rPr>
        <w:t xml:space="preserve">[trade]</w:t>
      </w:r>
      <w:r>
        <w:rPr>
          <w:sz w:val="21"/>
          <w:szCs w:val="21"/>
        </w:rPr>
        <w:t xml:space="preserve">. The 2025 legislature did fund an increase (implemented as the higher of new actuarial rates or the existing temporary 25% bump) </w:t>
      </w:r>
      <w:r>
        <w:rPr>
          <w:rFonts w:ascii="Consolas" w:cs="Consolas" w:eastAsia="Consolas" w:hAnsi="Consolas"/>
          <w:sz w:val="19"/>
          <w:szCs w:val="19"/>
        </w:rPr>
        <w:t xml:space="preserve">[IB]</w:t>
      </w:r>
      <w:r>
        <w:rPr>
          <w:sz w:val="21"/>
          <w:szCs w:val="21"/>
        </w:rPr>
        <w:t xml:space="preserve">. Weigh accordingly: do not enter Medicaid-only at thin margins with no commercial or private-pay mix.</w:t>
      </w:r>
    </w:p>
    <w:p>
      <w:pPr>
        <w:pBdr>
          <w:bottom w:val="single" w:color="BFBFBF" w:sz="6" w:space="6"/>
        </w:pBdr>
        <w:spacing w:after="200" w:before="120"/>
      </w:pPr>
      <w:r>
        <w:t xml:space="preserve"/>
      </w:r>
    </w:p>
    <w:p>
      <w:pPr>
        <w:pStyle w:val="Heading2"/>
        <w:pBdr>
          <w:bottom w:val="single" w:color="1F3864" w:sz="4" w:space="4"/>
        </w:pBdr>
        <w:spacing w:after="140" w:before="320"/>
      </w:pPr>
      <w:r>
        <w:rPr>
          <w:b/>
          <w:bCs/>
          <w:color w:val="1F3864"/>
          <w:sz w:val="26"/>
          <w:szCs w:val="26"/>
        </w:rPr>
        <w:t xml:space="preserve">2. Capital models</w:t>
      </w:r>
    </w:p>
    <w:p>
      <w:pPr>
        <w:pStyle w:val="Heading3"/>
        <w:spacing w:after="100" w:before="240"/>
      </w:pPr>
      <w:r>
        <w:rPr>
          <w:b/>
          <w:bCs/>
          <w:color w:val="2E5496"/>
          <w:sz w:val="22"/>
          <w:szCs w:val="22"/>
        </w:rPr>
        <w:t xml:space="preserve">2.1 Recovery residence (unlicensed), 10 beds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shd w:fill="E7E6E6" w:color="auto" w:val="clear"/>
            <w:tcMar>
              <w:top w:type="dxa" w:w="60"/>
              <w:left w:type="dxa" w:w="100"/>
              <w:bottom w:type="dxa" w:w="60"/>
              <w:right w:type="dxa" w:w="100"/>
            </w:tcMar>
          </w:tcPr>
          <w:p>
            <w:pPr>
              <w:spacing w:after="20" w:before="20"/>
            </w:pPr>
            <w:r>
              <w:rPr>
                <w:b/>
                <w:bCs/>
                <w:sz w:val="18"/>
                <w:szCs w:val="18"/>
              </w:rPr>
              <w:t xml:space="preserve">Line</w:t>
            </w:r>
          </w:p>
        </w:tc>
        <w:tc>
          <w:tcPr>
            <w:tcW w:type="dxa" w:w="5429"/>
            <w:shd w:fill="E7E6E6" w:color="auto" w:val="clear"/>
            <w:tcMar>
              <w:top w:type="dxa" w:w="60"/>
              <w:left w:type="dxa" w:w="100"/>
              <w:bottom w:type="dxa" w:w="60"/>
              <w:right w:type="dxa" w:w="100"/>
            </w:tcMar>
          </w:tcPr>
          <w:p>
            <w:pPr>
              <w:spacing w:after="20" w:before="20"/>
            </w:pPr>
            <w:r>
              <w:rPr>
                <w:b/>
                <w:bCs/>
                <w:sz w:val="18"/>
                <w:szCs w:val="18"/>
              </w:rPr>
              <w:t xml:space="preserve">Amount</w:t>
            </w:r>
          </w:p>
        </w:tc>
      </w:tr>
      <w:tr>
        <w:tc>
          <w:tcPr>
            <w:tcW w:type="dxa" w:w="3931"/>
            <w:tcMar>
              <w:top w:type="dxa" w:w="60"/>
              <w:left w:type="dxa" w:w="100"/>
              <w:bottom w:type="dxa" w:w="60"/>
              <w:right w:type="dxa" w:w="100"/>
            </w:tcMar>
          </w:tcPr>
          <w:p>
            <w:pPr>
              <w:spacing w:after="20" w:before="20"/>
            </w:pPr>
            <w:r>
              <w:rPr>
                <w:sz w:val="18"/>
                <w:szCs w:val="18"/>
              </w:rPr>
              <w:t xml:space="preserve">Lease deposit + first/last (5–6 BR, LA)</w:t>
            </w:r>
          </w:p>
        </w:tc>
        <w:tc>
          <w:tcPr>
            <w:tcW w:type="dxa" w:w="5429"/>
            <w:tcMar>
              <w:top w:type="dxa" w:w="60"/>
              <w:left w:type="dxa" w:w="100"/>
              <w:bottom w:type="dxa" w:w="60"/>
              <w:right w:type="dxa" w:w="100"/>
            </w:tcMar>
          </w:tcPr>
          <w:p>
            <w:pPr>
              <w:spacing w:after="20" w:before="20"/>
            </w:pPr>
            <w:r>
              <w:rPr>
                <w:sz w:val="18"/>
                <w:szCs w:val="18"/>
              </w:rPr>
              <w:t xml:space="preserve">$6,000–10,000</w:t>
            </w:r>
          </w:p>
        </w:tc>
      </w:tr>
      <w:tr>
        <w:tc>
          <w:tcPr>
            <w:tcW w:type="dxa" w:w="3931"/>
            <w:tcMar>
              <w:top w:type="dxa" w:w="60"/>
              <w:left w:type="dxa" w:w="100"/>
              <w:bottom w:type="dxa" w:w="60"/>
              <w:right w:type="dxa" w:w="100"/>
            </w:tcMar>
          </w:tcPr>
          <w:p>
            <w:pPr>
              <w:spacing w:after="20" w:before="20"/>
            </w:pPr>
            <w:r>
              <w:rPr>
                <w:sz w:val="18"/>
                <w:szCs w:val="18"/>
              </w:rPr>
              <w:t xml:space="preserve">Furnishings</w:t>
            </w:r>
          </w:p>
        </w:tc>
        <w:tc>
          <w:tcPr>
            <w:tcW w:type="dxa" w:w="5429"/>
            <w:tcMar>
              <w:top w:type="dxa" w:w="60"/>
              <w:left w:type="dxa" w:w="100"/>
              <w:bottom w:type="dxa" w:w="60"/>
              <w:right w:type="dxa" w:w="100"/>
            </w:tcMar>
          </w:tcPr>
          <w:p>
            <w:pPr>
              <w:spacing w:after="20" w:before="20"/>
            </w:pPr>
            <w:r>
              <w:rPr>
                <w:sz w:val="18"/>
                <w:szCs w:val="18"/>
              </w:rPr>
              <w:t xml:space="preserve">$15,000–25,000</w:t>
            </w:r>
          </w:p>
        </w:tc>
      </w:tr>
      <w:tr>
        <w:tc>
          <w:tcPr>
            <w:tcW w:type="dxa" w:w="3931"/>
            <w:tcMar>
              <w:top w:type="dxa" w:w="60"/>
              <w:left w:type="dxa" w:w="100"/>
              <w:bottom w:type="dxa" w:w="60"/>
              <w:right w:type="dxa" w:w="100"/>
            </w:tcMar>
          </w:tcPr>
          <w:p>
            <w:pPr>
              <w:spacing w:after="20" w:before="20"/>
            </w:pPr>
            <w:r>
              <w:rPr>
                <w:sz w:val="18"/>
                <w:szCs w:val="18"/>
              </w:rPr>
              <w:t xml:space="preserve">Entity formation + legal</w:t>
            </w:r>
          </w:p>
        </w:tc>
        <w:tc>
          <w:tcPr>
            <w:tcW w:type="dxa" w:w="5429"/>
            <w:tcMar>
              <w:top w:type="dxa" w:w="60"/>
              <w:left w:type="dxa" w:w="100"/>
              <w:bottom w:type="dxa" w:w="60"/>
              <w:right w:type="dxa" w:w="100"/>
            </w:tcMar>
          </w:tcPr>
          <w:p>
            <w:pPr>
              <w:spacing w:after="20" w:before="20"/>
            </w:pPr>
            <w:r>
              <w:rPr>
                <w:sz w:val="18"/>
                <w:szCs w:val="18"/>
              </w:rPr>
              <w:t xml:space="preserve">$3,000–8,000</w:t>
            </w:r>
          </w:p>
        </w:tc>
      </w:tr>
      <w:tr>
        <w:tc>
          <w:tcPr>
            <w:tcW w:type="dxa" w:w="3931"/>
            <w:tcMar>
              <w:top w:type="dxa" w:w="60"/>
              <w:left w:type="dxa" w:w="100"/>
              <w:bottom w:type="dxa" w:w="60"/>
              <w:right w:type="dxa" w:w="100"/>
            </w:tcMar>
          </w:tcPr>
          <w:p>
            <w:pPr>
              <w:spacing w:after="20" w:before="20"/>
            </w:pPr>
            <w:r>
              <w:rPr>
                <w:sz w:val="18"/>
                <w:szCs w:val="18"/>
              </w:rPr>
              <w:t xml:space="preserve">Insurance (GL, property, yr 1)</w:t>
            </w:r>
          </w:p>
        </w:tc>
        <w:tc>
          <w:tcPr>
            <w:tcW w:type="dxa" w:w="5429"/>
            <w:tcMar>
              <w:top w:type="dxa" w:w="60"/>
              <w:left w:type="dxa" w:w="100"/>
              <w:bottom w:type="dxa" w:w="60"/>
              <w:right w:type="dxa" w:w="100"/>
            </w:tcMar>
          </w:tcPr>
          <w:p>
            <w:pPr>
              <w:spacing w:after="20" w:before="20"/>
            </w:pPr>
            <w:r>
              <w:rPr>
                <w:sz w:val="18"/>
                <w:szCs w:val="18"/>
              </w:rPr>
              <w:t xml:space="preserve">$3,000–6,000</w:t>
            </w:r>
          </w:p>
        </w:tc>
      </w:tr>
      <w:tr>
        <w:tc>
          <w:tcPr>
            <w:tcW w:type="dxa" w:w="3931"/>
            <w:tcMar>
              <w:top w:type="dxa" w:w="60"/>
              <w:left w:type="dxa" w:w="100"/>
              <w:bottom w:type="dxa" w:w="60"/>
              <w:right w:type="dxa" w:w="100"/>
            </w:tcMar>
          </w:tcPr>
          <w:p>
            <w:pPr>
              <w:spacing w:after="20" w:before="20"/>
            </w:pPr>
            <w:r>
              <w:rPr>
                <w:sz w:val="18"/>
                <w:szCs w:val="18"/>
              </w:rPr>
              <w:t xml:space="preserve">NARR affiliate certification</w:t>
            </w:r>
          </w:p>
        </w:tc>
        <w:tc>
          <w:tcPr>
            <w:tcW w:type="dxa" w:w="5429"/>
            <w:tcMar>
              <w:top w:type="dxa" w:w="60"/>
              <w:left w:type="dxa" w:w="100"/>
              <w:bottom w:type="dxa" w:w="60"/>
              <w:right w:type="dxa" w:w="100"/>
            </w:tcMar>
          </w:tcPr>
          <w:p>
            <w:pPr>
              <w:spacing w:after="20" w:before="20"/>
            </w:pPr>
            <w:r>
              <w:rPr>
                <w:sz w:val="18"/>
                <w:szCs w:val="18"/>
              </w:rPr>
              <w:t xml:space="preserve">$500–2,000</w:t>
            </w:r>
          </w:p>
        </w:tc>
      </w:tr>
      <w:tr>
        <w:tc>
          <w:tcPr>
            <w:tcW w:type="dxa" w:w="3931"/>
            <w:tcMar>
              <w:top w:type="dxa" w:w="60"/>
              <w:left w:type="dxa" w:w="100"/>
              <w:bottom w:type="dxa" w:w="60"/>
              <w:right w:type="dxa" w:w="100"/>
            </w:tcMar>
          </w:tcPr>
          <w:p>
            <w:pPr>
              <w:spacing w:after="20" w:before="20"/>
            </w:pPr>
            <w:r>
              <w:rPr>
                <w:sz w:val="18"/>
                <w:szCs w:val="18"/>
              </w:rPr>
              <w:t xml:space="preserve">Working capital, 6 mo partial occupancy</w:t>
            </w:r>
          </w:p>
        </w:tc>
        <w:tc>
          <w:tcPr>
            <w:tcW w:type="dxa" w:w="5429"/>
            <w:tcMar>
              <w:top w:type="dxa" w:w="60"/>
              <w:left w:type="dxa" w:w="100"/>
              <w:bottom w:type="dxa" w:w="60"/>
              <w:right w:type="dxa" w:w="100"/>
            </w:tcMar>
          </w:tcPr>
          <w:p>
            <w:pPr>
              <w:spacing w:after="20" w:before="20"/>
            </w:pPr>
            <w:r>
              <w:rPr>
                <w:sz w:val="18"/>
                <w:szCs w:val="18"/>
              </w:rPr>
              <w:t xml:space="preserve">$20,000–35,000</w:t>
            </w:r>
          </w:p>
        </w:tc>
      </w:tr>
      <w:tr>
        <w:tc>
          <w:tcPr>
            <w:tcW w:type="dxa" w:w="3931"/>
            <w:tcMar>
              <w:top w:type="dxa" w:w="60"/>
              <w:left w:type="dxa" w:w="100"/>
              <w:bottom w:type="dxa" w:w="60"/>
              <w:right w:type="dxa" w:w="100"/>
            </w:tcMar>
          </w:tcPr>
          <w:p>
            <w:pPr>
              <w:spacing w:after="20" w:before="20"/>
            </w:pPr>
            <w:r>
              <w:rPr>
                <w:b/>
                <w:bCs/>
                <w:sz w:val="18"/>
                <w:szCs w:val="18"/>
              </w:rPr>
              <w:t xml:space="preserve">Total per house</w:t>
            </w:r>
          </w:p>
        </w:tc>
        <w:tc>
          <w:tcPr>
            <w:tcW w:type="dxa" w:w="5429"/>
            <w:tcMar>
              <w:top w:type="dxa" w:w="60"/>
              <w:left w:type="dxa" w:w="100"/>
              <w:bottom w:type="dxa" w:w="60"/>
              <w:right w:type="dxa" w:w="100"/>
            </w:tcMar>
          </w:tcPr>
          <w:p>
            <w:pPr>
              <w:spacing w:after="20" w:before="20"/>
            </w:pPr>
            <w:r>
              <w:rPr>
                <w:b/>
                <w:bCs/>
                <w:sz w:val="18"/>
                <w:szCs w:val="18"/>
              </w:rPr>
              <w:t xml:space="preserve">$50,000–85,000</w:t>
            </w:r>
          </w:p>
        </w:tc>
      </w:tr>
    </w:tbl>
    <w:p>
      <w:pPr>
        <w:spacing w:after="160"/>
      </w:pPr>
      <w:r>
        <w:t xml:space="preserve"/>
      </w:r>
    </w:p>
    <w:p>
      <w:pPr>
        <w:spacing w:after="140" w:line="276"/>
        <w:jc w:val="left"/>
      </w:pPr>
      <w:r>
        <w:rPr>
          <w:sz w:val="21"/>
          <w:szCs w:val="21"/>
        </w:rPr>
        <w:t xml:space="preserve">Stabilized: 10 beds × $175–250/wk = $7,600–10,800/mo gross; net </w:t>
      </w:r>
      <w:r>
        <w:rPr>
          <w:b/>
          <w:bCs/>
          <w:sz w:val="21"/>
          <w:szCs w:val="21"/>
        </w:rPr>
        <w:t xml:space="preserve">$400–3,500/mo per house.</w:t>
      </w:r>
      <w:r>
        <w:rPr>
          <w:sz w:val="21"/>
          <w:szCs w:val="21"/>
        </w:rPr>
        <w:t xml:space="preserve"> Three to five stabilized houses is </w:t>
      </w:r>
      <w:r>
        <w:rPr>
          <w:b/>
          <w:bCs/>
          <w:sz w:val="21"/>
          <w:szCs w:val="21"/>
        </w:rPr>
        <w:t xml:space="preserve">$1,200–17,500/month</w:t>
      </w:r>
      <w:r>
        <w:rPr>
          <w:sz w:val="21"/>
          <w:szCs w:val="21"/>
        </w:rPr>
        <w:t xml:space="preserve"> — a band so wide it conveys little, and whose low end is a poor return on 18 months. </w:t>
      </w:r>
      <w:r>
        <w:rPr>
          <w:b/>
          <w:bCs/>
          <w:sz w:val="21"/>
          <w:szCs w:val="21"/>
        </w:rPr>
        <w:t xml:space="preserve">No LDH license is required</w:t>
      </w:r>
      <w:r>
        <w:rPr>
          <w:sz w:val="21"/>
          <w:szCs w:val="21"/>
        </w:rPr>
        <w:t xml:space="preserve"> provided no clinical service is offered; the moment clinical services are added you are a BHSP and must be licensed. Draw that line in writing with counsel.</w:t>
      </w:r>
    </w:p>
    <w:p>
      <w:pPr>
        <w:pStyle w:val="Heading3"/>
        <w:spacing w:after="100" w:before="240"/>
      </w:pPr>
      <w:r>
        <w:rPr>
          <w:b/>
          <w:bCs/>
          <w:color w:val="2E5496"/>
          <w:sz w:val="22"/>
          <w:szCs w:val="22"/>
        </w:rPr>
        <w:t xml:space="preserve">2.2 ASAM 2.1 IOP — the recommended licensed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shd w:fill="E7E6E6" w:color="auto" w:val="clear"/>
            <w:tcMar>
              <w:top w:type="dxa" w:w="60"/>
              <w:left w:type="dxa" w:w="100"/>
              <w:bottom w:type="dxa" w:w="60"/>
              <w:right w:type="dxa" w:w="100"/>
            </w:tcMar>
          </w:tcPr>
          <w:p>
            <w:pPr>
              <w:spacing w:after="20" w:before="20"/>
            </w:pPr>
            <w:r>
              <w:rPr>
                <w:b/>
                <w:bCs/>
                <w:sz w:val="18"/>
                <w:szCs w:val="18"/>
              </w:rPr>
              <w:t xml:space="preserve">Line</w:t>
            </w:r>
          </w:p>
        </w:tc>
        <w:tc>
          <w:tcPr>
            <w:tcW w:type="dxa" w:w="5429"/>
            <w:shd w:fill="E7E6E6" w:color="auto" w:val="clear"/>
            <w:tcMar>
              <w:top w:type="dxa" w:w="60"/>
              <w:left w:type="dxa" w:w="100"/>
              <w:bottom w:type="dxa" w:w="60"/>
              <w:right w:type="dxa" w:w="100"/>
            </w:tcMar>
          </w:tcPr>
          <w:p>
            <w:pPr>
              <w:spacing w:after="20" w:before="20"/>
            </w:pPr>
            <w:r>
              <w:rPr>
                <w:b/>
                <w:bCs/>
                <w:sz w:val="18"/>
                <w:szCs w:val="18"/>
              </w:rPr>
              <w:t xml:space="preserve">Amount</w:t>
            </w:r>
          </w:p>
        </w:tc>
      </w:tr>
      <w:tr>
        <w:tc>
          <w:tcPr>
            <w:tcW w:type="dxa" w:w="3931"/>
            <w:tcMar>
              <w:top w:type="dxa" w:w="60"/>
              <w:left w:type="dxa" w:w="100"/>
              <w:bottom w:type="dxa" w:w="60"/>
              <w:right w:type="dxa" w:w="100"/>
            </w:tcMar>
          </w:tcPr>
          <w:p>
            <w:pPr>
              <w:spacing w:after="20" w:before="20"/>
            </w:pPr>
            <w:r>
              <w:rPr>
                <w:sz w:val="18"/>
                <w:szCs w:val="18"/>
              </w:rPr>
              <w:t xml:space="preserve">LDH BHSP initial license </w:t>
            </w:r>
            <w:r>
              <w:rPr>
                <w:rFonts w:ascii="Consolas" w:cs="Consolas" w:eastAsia="Consolas" w:hAnsi="Consolas"/>
                <w:sz w:val="16"/>
                <w:szCs w:val="16"/>
              </w:rPr>
              <w:t xml:space="preserve">[LDH]</w:t>
            </w:r>
          </w:p>
        </w:tc>
        <w:tc>
          <w:tcPr>
            <w:tcW w:type="dxa" w:w="5429"/>
            <w:tcMar>
              <w:top w:type="dxa" w:w="60"/>
              <w:left w:type="dxa" w:w="100"/>
              <w:bottom w:type="dxa" w:w="60"/>
              <w:right w:type="dxa" w:w="100"/>
            </w:tcMar>
          </w:tcPr>
          <w:p>
            <w:pPr>
              <w:spacing w:after="20" w:before="20"/>
            </w:pPr>
            <w:r>
              <w:rPr>
                <w:sz w:val="18"/>
                <w:szCs w:val="18"/>
              </w:rPr>
              <w:t xml:space="preserve">$600</w:t>
            </w:r>
          </w:p>
        </w:tc>
      </w:tr>
      <w:tr>
        <w:tc>
          <w:tcPr>
            <w:tcW w:type="dxa" w:w="3931"/>
            <w:tcMar>
              <w:top w:type="dxa" w:w="60"/>
              <w:left w:type="dxa" w:w="100"/>
              <w:bottom w:type="dxa" w:w="60"/>
              <w:right w:type="dxa" w:w="100"/>
            </w:tcMar>
          </w:tcPr>
          <w:p>
            <w:pPr>
              <w:spacing w:after="20" w:before="20"/>
            </w:pPr>
            <w:r>
              <w:rPr>
                <w:sz w:val="18"/>
                <w:szCs w:val="18"/>
              </w:rPr>
              <w:t xml:space="preserve">Healthcare regulatory counsel (entity, CPOM, EKRA, Part 2, payer contracts)</w:t>
            </w:r>
          </w:p>
        </w:tc>
        <w:tc>
          <w:tcPr>
            <w:tcW w:type="dxa" w:w="5429"/>
            <w:tcMar>
              <w:top w:type="dxa" w:w="60"/>
              <w:left w:type="dxa" w:w="100"/>
              <w:bottom w:type="dxa" w:w="60"/>
              <w:right w:type="dxa" w:w="100"/>
            </w:tcMar>
          </w:tcPr>
          <w:p>
            <w:pPr>
              <w:spacing w:after="20" w:before="20"/>
            </w:pPr>
            <w:r>
              <w:rPr>
                <w:sz w:val="18"/>
                <w:szCs w:val="18"/>
              </w:rPr>
              <w:t xml:space="preserve">$25,000–50,000</w:t>
            </w:r>
          </w:p>
        </w:tc>
      </w:tr>
      <w:tr>
        <w:tc>
          <w:tcPr>
            <w:tcW w:type="dxa" w:w="3931"/>
            <w:tcMar>
              <w:top w:type="dxa" w:w="60"/>
              <w:left w:type="dxa" w:w="100"/>
              <w:bottom w:type="dxa" w:w="60"/>
              <w:right w:type="dxa" w:w="100"/>
            </w:tcMar>
          </w:tcPr>
          <w:p>
            <w:pPr>
              <w:spacing w:after="20" w:before="20"/>
            </w:pPr>
            <w:r>
              <w:rPr>
                <w:sz w:val="18"/>
                <w:szCs w:val="18"/>
              </w:rPr>
              <w:t xml:space="preserve">Policy/procedure development + licensing consultant </w:t>
            </w:r>
            <w:r>
              <w:rPr>
                <w:rFonts w:ascii="Consolas" w:cs="Consolas" w:eastAsia="Consolas" w:hAnsi="Consolas"/>
                <w:sz w:val="16"/>
                <w:szCs w:val="16"/>
              </w:rPr>
              <w:t xml:space="preserve">[vendor]</w:t>
            </w:r>
          </w:p>
        </w:tc>
        <w:tc>
          <w:tcPr>
            <w:tcW w:type="dxa" w:w="5429"/>
            <w:tcMar>
              <w:top w:type="dxa" w:w="60"/>
              <w:left w:type="dxa" w:w="100"/>
              <w:bottom w:type="dxa" w:w="60"/>
              <w:right w:type="dxa" w:w="100"/>
            </w:tcMar>
          </w:tcPr>
          <w:p>
            <w:pPr>
              <w:spacing w:after="20" w:before="20"/>
            </w:pPr>
            <w:r>
              <w:rPr>
                <w:sz w:val="18"/>
                <w:szCs w:val="18"/>
              </w:rPr>
              <w:t xml:space="preserve">$15,000–40,000</w:t>
            </w:r>
          </w:p>
        </w:tc>
      </w:tr>
      <w:tr>
        <w:tc>
          <w:tcPr>
            <w:tcW w:type="dxa" w:w="3931"/>
            <w:tcMar>
              <w:top w:type="dxa" w:w="60"/>
              <w:left w:type="dxa" w:w="100"/>
              <w:bottom w:type="dxa" w:w="60"/>
              <w:right w:type="dxa" w:w="100"/>
            </w:tcMar>
          </w:tcPr>
          <w:p>
            <w:pPr>
              <w:spacing w:after="20" w:before="20"/>
            </w:pPr>
            <w:r>
              <w:rPr>
                <w:sz w:val="18"/>
                <w:szCs w:val="18"/>
              </w:rPr>
              <w:t xml:space="preserve">Lease deposit + build-out, 2,500–4,000 sq ft </w:t>
            </w:r>
            <w:r>
              <w:rPr>
                <w:rFonts w:ascii="Consolas" w:cs="Consolas" w:eastAsia="Consolas" w:hAnsi="Consolas"/>
                <w:sz w:val="16"/>
                <w:szCs w:val="16"/>
              </w:rPr>
              <w:t xml:space="preserve">[vendor]</w:t>
            </w:r>
          </w:p>
        </w:tc>
        <w:tc>
          <w:tcPr>
            <w:tcW w:type="dxa" w:w="5429"/>
            <w:tcMar>
              <w:top w:type="dxa" w:w="60"/>
              <w:left w:type="dxa" w:w="100"/>
              <w:bottom w:type="dxa" w:w="60"/>
              <w:right w:type="dxa" w:w="100"/>
            </w:tcMar>
          </w:tcPr>
          <w:p>
            <w:pPr>
              <w:spacing w:after="20" w:before="20"/>
            </w:pPr>
            <w:r>
              <w:rPr>
                <w:sz w:val="18"/>
                <w:szCs w:val="18"/>
              </w:rPr>
              <w:t xml:space="preserve">$40,000–120,000</w:t>
            </w:r>
          </w:p>
        </w:tc>
      </w:tr>
      <w:tr>
        <w:tc>
          <w:tcPr>
            <w:tcW w:type="dxa" w:w="3931"/>
            <w:tcMar>
              <w:top w:type="dxa" w:w="60"/>
              <w:left w:type="dxa" w:w="100"/>
              <w:bottom w:type="dxa" w:w="60"/>
              <w:right w:type="dxa" w:w="100"/>
            </w:tcMar>
          </w:tcPr>
          <w:p>
            <w:pPr>
              <w:spacing w:after="20" w:before="20"/>
            </w:pPr>
            <w:r>
              <w:rPr>
                <w:sz w:val="18"/>
                <w:szCs w:val="18"/>
              </w:rPr>
              <w:t xml:space="preserve">Furnishings, IT, EMR</w:t>
            </w:r>
          </w:p>
        </w:tc>
        <w:tc>
          <w:tcPr>
            <w:tcW w:type="dxa" w:w="5429"/>
            <w:tcMar>
              <w:top w:type="dxa" w:w="60"/>
              <w:left w:type="dxa" w:w="100"/>
              <w:bottom w:type="dxa" w:w="60"/>
              <w:right w:type="dxa" w:w="100"/>
            </w:tcMar>
          </w:tcPr>
          <w:p>
            <w:pPr>
              <w:spacing w:after="20" w:before="20"/>
            </w:pPr>
            <w:r>
              <w:rPr>
                <w:sz w:val="18"/>
                <w:szCs w:val="18"/>
              </w:rPr>
              <w:t xml:space="preserve">$20,000–40,000</w:t>
            </w:r>
          </w:p>
        </w:tc>
      </w:tr>
      <w:tr>
        <w:tc>
          <w:tcPr>
            <w:tcW w:type="dxa" w:w="3931"/>
            <w:tcMar>
              <w:top w:type="dxa" w:w="60"/>
              <w:left w:type="dxa" w:w="100"/>
              <w:bottom w:type="dxa" w:w="60"/>
              <w:right w:type="dxa" w:w="100"/>
            </w:tcMar>
          </w:tcPr>
          <w:p>
            <w:pPr>
              <w:spacing w:after="20" w:before="20"/>
            </w:pPr>
            <w:r>
              <w:rPr>
                <w:b/>
                <w:bCs/>
                <w:sz w:val="18"/>
                <w:szCs w:val="18"/>
              </w:rPr>
              <w:t xml:space="preserve">Professional liability</w:t>
            </w:r>
            <w:r>
              <w:rPr>
                <w:sz w:val="18"/>
                <w:szCs w:val="18"/>
              </w:rPr>
              <w:t xml:space="preserve"> (see §4.3 — availability, not price, is the gate)</w:t>
            </w:r>
          </w:p>
        </w:tc>
        <w:tc>
          <w:tcPr>
            <w:tcW w:type="dxa" w:w="5429"/>
            <w:tcMar>
              <w:top w:type="dxa" w:w="60"/>
              <w:left w:type="dxa" w:w="100"/>
              <w:bottom w:type="dxa" w:w="60"/>
              <w:right w:type="dxa" w:w="100"/>
            </w:tcMar>
          </w:tcPr>
          <w:p>
            <w:pPr>
              <w:spacing w:after="20" w:before="20"/>
            </w:pPr>
            <w:r>
              <w:rPr>
                <w:sz w:val="18"/>
                <w:szCs w:val="18"/>
              </w:rPr>
              <w:t xml:space="preserve">$15,000–40,000</w:t>
            </w:r>
          </w:p>
        </w:tc>
      </w:tr>
      <w:tr>
        <w:tc>
          <w:tcPr>
            <w:tcW w:type="dxa" w:w="3931"/>
            <w:tcMar>
              <w:top w:type="dxa" w:w="60"/>
              <w:left w:type="dxa" w:w="100"/>
              <w:bottom w:type="dxa" w:w="60"/>
              <w:right w:type="dxa" w:w="100"/>
            </w:tcMar>
          </w:tcPr>
          <w:p>
            <w:pPr>
              <w:spacing w:after="20" w:before="20"/>
            </w:pPr>
            <w:r>
              <w:rPr>
                <w:sz w:val="18"/>
                <w:szCs w:val="18"/>
              </w:rPr>
              <w:t xml:space="preserve">General liability + abuse/molestation + D&amp;O + cyber/Part 2 breach</w:t>
            </w:r>
          </w:p>
        </w:tc>
        <w:tc>
          <w:tcPr>
            <w:tcW w:type="dxa" w:w="5429"/>
            <w:tcMar>
              <w:top w:type="dxa" w:w="60"/>
              <w:left w:type="dxa" w:w="100"/>
              <w:bottom w:type="dxa" w:w="60"/>
              <w:right w:type="dxa" w:w="100"/>
            </w:tcMar>
          </w:tcPr>
          <w:p>
            <w:pPr>
              <w:spacing w:after="20" w:before="20"/>
            </w:pPr>
            <w:r>
              <w:rPr>
                <w:sz w:val="18"/>
                <w:szCs w:val="18"/>
              </w:rPr>
              <w:t xml:space="preserve">$10,000–25,000</w:t>
            </w:r>
          </w:p>
        </w:tc>
      </w:tr>
      <w:tr>
        <w:tc>
          <w:tcPr>
            <w:tcW w:type="dxa" w:w="3931"/>
            <w:tcMar>
              <w:top w:type="dxa" w:w="60"/>
              <w:left w:type="dxa" w:w="100"/>
              <w:bottom w:type="dxa" w:w="60"/>
              <w:right w:type="dxa" w:w="100"/>
            </w:tcMar>
          </w:tcPr>
          <w:p>
            <w:pPr>
              <w:spacing w:after="20" w:before="20"/>
            </w:pPr>
            <w:r>
              <w:rPr>
                <w:sz w:val="18"/>
                <w:szCs w:val="18"/>
              </w:rPr>
              <w:t xml:space="preserve">CARF accreditation incl. prep </w:t>
            </w:r>
            <w:r>
              <w:rPr>
                <w:rFonts w:ascii="Consolas" w:cs="Consolas" w:eastAsia="Consolas" w:hAnsi="Consolas"/>
                <w:sz w:val="16"/>
                <w:szCs w:val="16"/>
              </w:rPr>
              <w:t xml:space="preserve">[vendor]</w:t>
            </w:r>
          </w:p>
        </w:tc>
        <w:tc>
          <w:tcPr>
            <w:tcW w:type="dxa" w:w="5429"/>
            <w:tcMar>
              <w:top w:type="dxa" w:w="60"/>
              <w:left w:type="dxa" w:w="100"/>
              <w:bottom w:type="dxa" w:w="60"/>
              <w:right w:type="dxa" w:w="100"/>
            </w:tcMar>
          </w:tcPr>
          <w:p>
            <w:pPr>
              <w:spacing w:after="20" w:before="20"/>
            </w:pPr>
            <w:r>
              <w:rPr>
                <w:sz w:val="18"/>
                <w:szCs w:val="18"/>
              </w:rPr>
              <w:t xml:space="preserve">$25,000–75,000</w:t>
            </w:r>
          </w:p>
        </w:tc>
      </w:tr>
      <w:tr>
        <w:tc>
          <w:tcPr>
            <w:tcW w:type="dxa" w:w="3931"/>
            <w:tcMar>
              <w:top w:type="dxa" w:w="60"/>
              <w:left w:type="dxa" w:w="100"/>
              <w:bottom w:type="dxa" w:w="60"/>
              <w:right w:type="dxa" w:w="100"/>
            </w:tcMar>
          </w:tcPr>
          <w:p>
            <w:pPr>
              <w:spacing w:after="20" w:before="20"/>
            </w:pPr>
            <w:r>
              <w:rPr>
                <w:sz w:val="18"/>
                <w:szCs w:val="18"/>
              </w:rPr>
              <w:t xml:space="preserve">Credentialing consultant</w:t>
            </w:r>
          </w:p>
        </w:tc>
        <w:tc>
          <w:tcPr>
            <w:tcW w:type="dxa" w:w="5429"/>
            <w:tcMar>
              <w:top w:type="dxa" w:w="60"/>
              <w:left w:type="dxa" w:w="100"/>
              <w:bottom w:type="dxa" w:w="60"/>
              <w:right w:type="dxa" w:w="100"/>
            </w:tcMar>
          </w:tcPr>
          <w:p>
            <w:pPr>
              <w:spacing w:after="20" w:before="20"/>
            </w:pPr>
            <w:r>
              <w:rPr>
                <w:sz w:val="18"/>
                <w:szCs w:val="18"/>
              </w:rPr>
              <w:t xml:space="preserve">$10,000–25,000</w:t>
            </w:r>
          </w:p>
        </w:tc>
      </w:tr>
      <w:tr>
        <w:tc>
          <w:tcPr>
            <w:tcW w:type="dxa" w:w="3931"/>
            <w:tcMar>
              <w:top w:type="dxa" w:w="60"/>
              <w:left w:type="dxa" w:w="100"/>
              <w:bottom w:type="dxa" w:w="60"/>
              <w:right w:type="dxa" w:w="100"/>
            </w:tcMar>
          </w:tcPr>
          <w:p>
            <w:pPr>
              <w:spacing w:after="20" w:before="20"/>
            </w:pPr>
            <w:r>
              <w:rPr>
                <w:sz w:val="18"/>
                <w:szCs w:val="18"/>
              </w:rPr>
              <w:t xml:space="preserve">Marketing, website, LegitScript</w:t>
            </w:r>
          </w:p>
        </w:tc>
        <w:tc>
          <w:tcPr>
            <w:tcW w:type="dxa" w:w="5429"/>
            <w:tcMar>
              <w:top w:type="dxa" w:w="60"/>
              <w:left w:type="dxa" w:w="100"/>
              <w:bottom w:type="dxa" w:w="60"/>
              <w:right w:type="dxa" w:w="100"/>
            </w:tcMar>
          </w:tcPr>
          <w:p>
            <w:pPr>
              <w:spacing w:after="20" w:before="20"/>
            </w:pPr>
            <w:r>
              <w:rPr>
                <w:sz w:val="18"/>
                <w:szCs w:val="18"/>
              </w:rPr>
              <w:t xml:space="preserve">$5,000–15,000</w:t>
            </w:r>
          </w:p>
        </w:tc>
      </w:tr>
      <w:tr>
        <w:tc>
          <w:tcPr>
            <w:tcW w:type="dxa" w:w="3931"/>
            <w:tcMar>
              <w:top w:type="dxa" w:w="60"/>
              <w:left w:type="dxa" w:w="100"/>
              <w:bottom w:type="dxa" w:w="60"/>
              <w:right w:type="dxa" w:w="100"/>
            </w:tcMar>
          </w:tcPr>
          <w:p>
            <w:pPr>
              <w:spacing w:after="20" w:before="20"/>
            </w:pPr>
            <w:r>
              <w:rPr>
                <w:b/>
                <w:bCs/>
                <w:sz w:val="18"/>
                <w:szCs w:val="18"/>
              </w:rPr>
              <w:t xml:space="preserve">Pre-revenue staffing, 9–12 mo</w:t>
            </w:r>
            <w:r>
              <w:rPr>
                <w:sz w:val="18"/>
                <w:szCs w:val="18"/>
              </w:rPr>
              <w:t xml:space="preserve"> (Clinical Director $85–110K; 2 counselors $46–62K ea.; admin $35–45K; Medical Director stipend $2–5K/mo)</w:t>
            </w:r>
          </w:p>
        </w:tc>
        <w:tc>
          <w:tcPr>
            <w:tcW w:type="dxa" w:w="5429"/>
            <w:tcMar>
              <w:top w:type="dxa" w:w="60"/>
              <w:left w:type="dxa" w:w="100"/>
              <w:bottom w:type="dxa" w:w="60"/>
              <w:right w:type="dxa" w:w="100"/>
            </w:tcMar>
          </w:tcPr>
          <w:p>
            <w:pPr>
              <w:spacing w:after="20" w:before="20"/>
            </w:pPr>
            <w:r>
              <w:rPr>
                <w:b/>
                <w:bCs/>
                <w:sz w:val="18"/>
                <w:szCs w:val="18"/>
              </w:rPr>
              <w:t xml:space="preserve">$250,000–400,000</w:t>
            </w:r>
          </w:p>
        </w:tc>
      </w:tr>
      <w:tr>
        <w:tc>
          <w:tcPr>
            <w:tcW w:type="dxa" w:w="3931"/>
            <w:tcMar>
              <w:top w:type="dxa" w:w="60"/>
              <w:left w:type="dxa" w:w="100"/>
              <w:bottom w:type="dxa" w:w="60"/>
              <w:right w:type="dxa" w:w="100"/>
            </w:tcMar>
          </w:tcPr>
          <w:p>
            <w:pPr>
              <w:spacing w:after="20" w:before="20"/>
            </w:pPr>
            <w:r>
              <w:rPr>
                <w:sz w:val="18"/>
                <w:szCs w:val="18"/>
              </w:rPr>
              <w:t xml:space="preserve">Contingency 15%</w:t>
            </w:r>
          </w:p>
        </w:tc>
        <w:tc>
          <w:tcPr>
            <w:tcW w:type="dxa" w:w="5429"/>
            <w:tcMar>
              <w:top w:type="dxa" w:w="60"/>
              <w:left w:type="dxa" w:w="100"/>
              <w:bottom w:type="dxa" w:w="60"/>
              <w:right w:type="dxa" w:w="100"/>
            </w:tcMar>
          </w:tcPr>
          <w:p>
            <w:pPr>
              <w:spacing w:after="20" w:before="20"/>
            </w:pPr>
            <w:r>
              <w:rPr>
                <w:sz w:val="18"/>
                <w:szCs w:val="18"/>
              </w:rPr>
              <w:t xml:space="preserve">$55,000–95,000</w:t>
            </w:r>
          </w:p>
        </w:tc>
      </w:tr>
      <w:tr>
        <w:tc>
          <w:tcPr>
            <w:tcW w:type="dxa" w:w="3931"/>
            <w:tcMar>
              <w:top w:type="dxa" w:w="60"/>
              <w:left w:type="dxa" w:w="100"/>
              <w:bottom w:type="dxa" w:w="60"/>
              <w:right w:type="dxa" w:w="100"/>
            </w:tcMar>
          </w:tcPr>
          <w:p>
            <w:pPr>
              <w:spacing w:after="20" w:before="20"/>
            </w:pPr>
            <w:r>
              <w:rPr>
                <w:b/>
                <w:bCs/>
                <w:sz w:val="18"/>
                <w:szCs w:val="18"/>
              </w:rPr>
              <w:t xml:space="preserve">Total</w:t>
            </w:r>
          </w:p>
        </w:tc>
        <w:tc>
          <w:tcPr>
            <w:tcW w:type="dxa" w:w="5429"/>
            <w:tcMar>
              <w:top w:type="dxa" w:w="60"/>
              <w:left w:type="dxa" w:w="100"/>
              <w:bottom w:type="dxa" w:w="60"/>
              <w:right w:type="dxa" w:w="100"/>
            </w:tcMar>
          </w:tcPr>
          <w:p>
            <w:pPr>
              <w:spacing w:after="20" w:before="20"/>
            </w:pPr>
            <w:r>
              <w:rPr>
                <w:b/>
                <w:bCs/>
                <w:sz w:val="18"/>
                <w:szCs w:val="18"/>
              </w:rPr>
              <w:t xml:space="preserve">$400,000–700,000</w:t>
            </w:r>
          </w:p>
        </w:tc>
      </w:tr>
    </w:tbl>
    <w:p>
      <w:pPr>
        <w:spacing w:after="160"/>
      </w:pPr>
      <w:r>
        <w:t xml:space="preserve"/>
      </w:r>
    </w:p>
    <w:p>
      <w:pPr>
        <w:spacing w:after="140" w:line="276"/>
        <w:jc w:val="left"/>
      </w:pPr>
      <w:r>
        <w:rPr>
          <w:b/>
          <w:bCs/>
          <w:sz w:val="21"/>
          <w:szCs w:val="21"/>
        </w:rPr>
        <w:t xml:space="preserve">Revenue — modeled on throughput, not a 52-week multiplier.</w:t>
      </w:r>
      <w:r>
        <w:rPr>
          <w:sz w:val="21"/>
          <w:szCs w:val="21"/>
        </w:rPr>
        <w:t xml:space="preserve"> Revision 2 computed "25 clients × 3 sessions × 52 weeks," which assumes every client stays a year. IOP episodes typically run 6–12 weeks, so revenue is governed by </w:t>
      </w:r>
      <w:r>
        <w:rPr>
          <w:b/>
          <w:bCs/>
          <w:sz w:val="21"/>
          <w:szCs w:val="21"/>
        </w:rPr>
        <w:t xml:space="preserve">admissions throughput × authorized length of stay</w:t>
      </w:r>
      <w:r>
        <w:rPr>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184"/>
        <w:gridCol w:w="2184"/>
        <w:gridCol w:w="2184"/>
      </w:tblGrid>
      <w:tr>
        <w:trPr>
          <w:tblHeader/>
        </w:trPr>
        <w:tc>
          <w:tcPr>
            <w:tcW w:type="dxa" w:w="2808"/>
            <w:shd w:fill="E7E6E6" w:color="auto" w:val="clear"/>
            <w:tcMar>
              <w:top w:type="dxa" w:w="60"/>
              <w:left w:type="dxa" w:w="100"/>
              <w:bottom w:type="dxa" w:w="60"/>
              <w:right w:type="dxa" w:w="100"/>
            </w:tcMar>
          </w:tcPr>
          <w:p>
            <w:pPr>
              <w:spacing w:after="20" w:before="20"/>
            </w:pPr>
            <w:r>
              <w:rPr>
                <w:b/>
                <w:bCs/>
                <w:sz w:val="18"/>
                <w:szCs w:val="18"/>
              </w:rPr>
              <w:t xml:space="preserve">Admissions/mo</w:t>
            </w:r>
          </w:p>
        </w:tc>
        <w:tc>
          <w:tcPr>
            <w:tcW w:type="dxa" w:w="2184"/>
            <w:shd w:fill="E7E6E6" w:color="auto" w:val="clear"/>
            <w:tcMar>
              <w:top w:type="dxa" w:w="60"/>
              <w:left w:type="dxa" w:w="100"/>
              <w:bottom w:type="dxa" w:w="60"/>
              <w:right w:type="dxa" w:w="100"/>
            </w:tcMar>
          </w:tcPr>
          <w:p>
            <w:pPr>
              <w:spacing w:after="20" w:before="20"/>
            </w:pPr>
            <w:r>
              <w:rPr>
                <w:b/>
                <w:bCs/>
                <w:sz w:val="18"/>
                <w:szCs w:val="18"/>
              </w:rPr>
              <w:t xml:space="preserve">Avg LOS</w:t>
            </w:r>
          </w:p>
        </w:tc>
        <w:tc>
          <w:tcPr>
            <w:tcW w:type="dxa" w:w="2184"/>
            <w:shd w:fill="E7E6E6" w:color="auto" w:val="clear"/>
            <w:tcMar>
              <w:top w:type="dxa" w:w="60"/>
              <w:left w:type="dxa" w:w="100"/>
              <w:bottom w:type="dxa" w:w="60"/>
              <w:right w:type="dxa" w:w="100"/>
            </w:tcMar>
          </w:tcPr>
          <w:p>
            <w:pPr>
              <w:spacing w:after="20" w:before="20"/>
            </w:pPr>
            <w:r>
              <w:rPr>
                <w:b/>
                <w:bCs/>
                <w:sz w:val="18"/>
                <w:szCs w:val="18"/>
              </w:rPr>
              <w:t xml:space="preserve">Steady census</w:t>
            </w:r>
          </w:p>
        </w:tc>
        <w:tc>
          <w:tcPr>
            <w:tcW w:type="dxa" w:w="2184"/>
            <w:shd w:fill="E7E6E6" w:color="auto" w:val="clear"/>
            <w:tcMar>
              <w:top w:type="dxa" w:w="60"/>
              <w:left w:type="dxa" w:w="100"/>
              <w:bottom w:type="dxa" w:w="60"/>
              <w:right w:type="dxa" w:w="100"/>
            </w:tcMar>
          </w:tcPr>
          <w:p>
            <w:pPr>
              <w:spacing w:after="20" w:before="20"/>
            </w:pPr>
            <w:r>
              <w:rPr>
                <w:b/>
                <w:bCs/>
                <w:sz w:val="18"/>
                <w:szCs w:val="18"/>
              </w:rPr>
              <w:t xml:space="preserve">Annual (3 sessions/wk @ $180)</w:t>
            </w:r>
          </w:p>
        </w:tc>
      </w:tr>
      <w:tr>
        <w:tc>
          <w:tcPr>
            <w:tcW w:type="dxa" w:w="2808"/>
            <w:tcMar>
              <w:top w:type="dxa" w:w="60"/>
              <w:left w:type="dxa" w:w="100"/>
              <w:bottom w:type="dxa" w:w="60"/>
              <w:right w:type="dxa" w:w="100"/>
            </w:tcMar>
          </w:tcPr>
          <w:p>
            <w:pPr>
              <w:spacing w:after="20" w:before="20"/>
            </w:pPr>
            <w:r>
              <w:rPr>
                <w:sz w:val="18"/>
                <w:szCs w:val="18"/>
              </w:rPr>
              <w:t xml:space="preserve">8</w:t>
            </w:r>
          </w:p>
        </w:tc>
        <w:tc>
          <w:tcPr>
            <w:tcW w:type="dxa" w:w="2184"/>
            <w:tcMar>
              <w:top w:type="dxa" w:w="60"/>
              <w:left w:type="dxa" w:w="100"/>
              <w:bottom w:type="dxa" w:w="60"/>
              <w:right w:type="dxa" w:w="100"/>
            </w:tcMar>
          </w:tcPr>
          <w:p>
            <w:pPr>
              <w:spacing w:after="20" w:before="20"/>
            </w:pPr>
            <w:r>
              <w:rPr>
                <w:sz w:val="18"/>
                <w:szCs w:val="18"/>
              </w:rPr>
              <w:t xml:space="preserve">8 weeks</w:t>
            </w:r>
          </w:p>
        </w:tc>
        <w:tc>
          <w:tcPr>
            <w:tcW w:type="dxa" w:w="2184"/>
            <w:tcMar>
              <w:top w:type="dxa" w:w="60"/>
              <w:left w:type="dxa" w:w="100"/>
              <w:bottom w:type="dxa" w:w="60"/>
              <w:right w:type="dxa" w:w="100"/>
            </w:tcMar>
          </w:tcPr>
          <w:p>
            <w:pPr>
              <w:spacing w:after="20" w:before="20"/>
            </w:pPr>
            <w:r>
              <w:rPr>
                <w:sz w:val="18"/>
                <w:szCs w:val="18"/>
              </w:rPr>
              <w:t xml:space="preserve">~15</w:t>
            </w:r>
          </w:p>
        </w:tc>
        <w:tc>
          <w:tcPr>
            <w:tcW w:type="dxa" w:w="2184"/>
            <w:tcMar>
              <w:top w:type="dxa" w:w="60"/>
              <w:left w:type="dxa" w:w="100"/>
              <w:bottom w:type="dxa" w:w="60"/>
              <w:right w:type="dxa" w:w="100"/>
            </w:tcMar>
          </w:tcPr>
          <w:p>
            <w:pPr>
              <w:spacing w:after="20" w:before="20"/>
            </w:pPr>
            <w:r>
              <w:rPr>
                <w:sz w:val="18"/>
                <w:szCs w:val="18"/>
              </w:rPr>
              <w:t xml:space="preserve">~$420K</w:t>
            </w:r>
          </w:p>
        </w:tc>
      </w:tr>
      <w:tr>
        <w:tc>
          <w:tcPr>
            <w:tcW w:type="dxa" w:w="2808"/>
            <w:tcMar>
              <w:top w:type="dxa" w:w="60"/>
              <w:left w:type="dxa" w:w="100"/>
              <w:bottom w:type="dxa" w:w="60"/>
              <w:right w:type="dxa" w:w="100"/>
            </w:tcMar>
          </w:tcPr>
          <w:p>
            <w:pPr>
              <w:spacing w:after="20" w:before="20"/>
            </w:pPr>
            <w:r>
              <w:rPr>
                <w:sz w:val="18"/>
                <w:szCs w:val="18"/>
              </w:rPr>
              <w:t xml:space="preserve">12</w:t>
            </w:r>
          </w:p>
        </w:tc>
        <w:tc>
          <w:tcPr>
            <w:tcW w:type="dxa" w:w="2184"/>
            <w:tcMar>
              <w:top w:type="dxa" w:w="60"/>
              <w:left w:type="dxa" w:w="100"/>
              <w:bottom w:type="dxa" w:w="60"/>
              <w:right w:type="dxa" w:w="100"/>
            </w:tcMar>
          </w:tcPr>
          <w:p>
            <w:pPr>
              <w:spacing w:after="20" w:before="20"/>
            </w:pPr>
            <w:r>
              <w:rPr>
                <w:sz w:val="18"/>
                <w:szCs w:val="18"/>
              </w:rPr>
              <w:t xml:space="preserve">8 weeks</w:t>
            </w:r>
          </w:p>
        </w:tc>
        <w:tc>
          <w:tcPr>
            <w:tcW w:type="dxa" w:w="2184"/>
            <w:tcMar>
              <w:top w:type="dxa" w:w="60"/>
              <w:left w:type="dxa" w:w="100"/>
              <w:bottom w:type="dxa" w:w="60"/>
              <w:right w:type="dxa" w:w="100"/>
            </w:tcMar>
          </w:tcPr>
          <w:p>
            <w:pPr>
              <w:spacing w:after="20" w:before="20"/>
            </w:pPr>
            <w:r>
              <w:rPr>
                <w:sz w:val="18"/>
                <w:szCs w:val="18"/>
              </w:rPr>
              <w:t xml:space="preserve">~22</w:t>
            </w:r>
          </w:p>
        </w:tc>
        <w:tc>
          <w:tcPr>
            <w:tcW w:type="dxa" w:w="2184"/>
            <w:tcMar>
              <w:top w:type="dxa" w:w="60"/>
              <w:left w:type="dxa" w:w="100"/>
              <w:bottom w:type="dxa" w:w="60"/>
              <w:right w:type="dxa" w:w="100"/>
            </w:tcMar>
          </w:tcPr>
          <w:p>
            <w:pPr>
              <w:spacing w:after="20" w:before="20"/>
            </w:pPr>
            <w:r>
              <w:rPr>
                <w:sz w:val="18"/>
                <w:szCs w:val="18"/>
              </w:rPr>
              <w:t xml:space="preserve">~$620K</w:t>
            </w:r>
          </w:p>
        </w:tc>
      </w:tr>
      <w:tr>
        <w:tc>
          <w:tcPr>
            <w:tcW w:type="dxa" w:w="2808"/>
            <w:tcMar>
              <w:top w:type="dxa" w:w="60"/>
              <w:left w:type="dxa" w:w="100"/>
              <w:bottom w:type="dxa" w:w="60"/>
              <w:right w:type="dxa" w:w="100"/>
            </w:tcMar>
          </w:tcPr>
          <w:p>
            <w:pPr>
              <w:spacing w:after="20" w:before="20"/>
            </w:pPr>
            <w:r>
              <w:rPr>
                <w:sz w:val="18"/>
                <w:szCs w:val="18"/>
              </w:rPr>
              <w:t xml:space="preserve">12</w:t>
            </w:r>
          </w:p>
        </w:tc>
        <w:tc>
          <w:tcPr>
            <w:tcW w:type="dxa" w:w="2184"/>
            <w:tcMar>
              <w:top w:type="dxa" w:w="60"/>
              <w:left w:type="dxa" w:w="100"/>
              <w:bottom w:type="dxa" w:w="60"/>
              <w:right w:type="dxa" w:w="100"/>
            </w:tcMar>
          </w:tcPr>
          <w:p>
            <w:pPr>
              <w:spacing w:after="20" w:before="20"/>
            </w:pPr>
            <w:r>
              <w:rPr>
                <w:sz w:val="18"/>
                <w:szCs w:val="18"/>
              </w:rPr>
              <w:t xml:space="preserve">10 weeks</w:t>
            </w:r>
          </w:p>
        </w:tc>
        <w:tc>
          <w:tcPr>
            <w:tcW w:type="dxa" w:w="2184"/>
            <w:tcMar>
              <w:top w:type="dxa" w:w="60"/>
              <w:left w:type="dxa" w:w="100"/>
              <w:bottom w:type="dxa" w:w="60"/>
              <w:right w:type="dxa" w:w="100"/>
            </w:tcMar>
          </w:tcPr>
          <w:p>
            <w:pPr>
              <w:spacing w:after="20" w:before="20"/>
            </w:pPr>
            <w:r>
              <w:rPr>
                <w:sz w:val="18"/>
                <w:szCs w:val="18"/>
              </w:rPr>
              <w:t xml:space="preserve">~28</w:t>
            </w:r>
          </w:p>
        </w:tc>
        <w:tc>
          <w:tcPr>
            <w:tcW w:type="dxa" w:w="2184"/>
            <w:tcMar>
              <w:top w:type="dxa" w:w="60"/>
              <w:left w:type="dxa" w:w="100"/>
              <w:bottom w:type="dxa" w:w="60"/>
              <w:right w:type="dxa" w:w="100"/>
            </w:tcMar>
          </w:tcPr>
          <w:p>
            <w:pPr>
              <w:spacing w:after="20" w:before="20"/>
            </w:pPr>
            <w:r>
              <w:rPr>
                <w:sz w:val="18"/>
                <w:szCs w:val="18"/>
              </w:rPr>
              <w:t xml:space="preserve">~$780K</w:t>
            </w:r>
          </w:p>
        </w:tc>
      </w:tr>
      <w:tr>
        <w:tc>
          <w:tcPr>
            <w:tcW w:type="dxa" w:w="2808"/>
            <w:tcMar>
              <w:top w:type="dxa" w:w="60"/>
              <w:left w:type="dxa" w:w="100"/>
              <w:bottom w:type="dxa" w:w="60"/>
              <w:right w:type="dxa" w:w="100"/>
            </w:tcMar>
          </w:tcPr>
          <w:p>
            <w:pPr>
              <w:spacing w:after="20" w:before="20"/>
            </w:pPr>
            <w:r>
              <w:rPr>
                <w:sz w:val="18"/>
                <w:szCs w:val="18"/>
              </w:rPr>
              <w:t xml:space="preserve">16</w:t>
            </w:r>
          </w:p>
        </w:tc>
        <w:tc>
          <w:tcPr>
            <w:tcW w:type="dxa" w:w="2184"/>
            <w:tcMar>
              <w:top w:type="dxa" w:w="60"/>
              <w:left w:type="dxa" w:w="100"/>
              <w:bottom w:type="dxa" w:w="60"/>
              <w:right w:type="dxa" w:w="100"/>
            </w:tcMar>
          </w:tcPr>
          <w:p>
            <w:pPr>
              <w:spacing w:after="20" w:before="20"/>
            </w:pPr>
            <w:r>
              <w:rPr>
                <w:sz w:val="18"/>
                <w:szCs w:val="18"/>
              </w:rPr>
              <w:t xml:space="preserve">10 weeks</w:t>
            </w:r>
          </w:p>
        </w:tc>
        <w:tc>
          <w:tcPr>
            <w:tcW w:type="dxa" w:w="2184"/>
            <w:tcMar>
              <w:top w:type="dxa" w:w="60"/>
              <w:left w:type="dxa" w:w="100"/>
              <w:bottom w:type="dxa" w:w="60"/>
              <w:right w:type="dxa" w:w="100"/>
            </w:tcMar>
          </w:tcPr>
          <w:p>
            <w:pPr>
              <w:spacing w:after="20" w:before="20"/>
            </w:pPr>
            <w:r>
              <w:rPr>
                <w:sz w:val="18"/>
                <w:szCs w:val="18"/>
              </w:rPr>
              <w:t xml:space="preserve">~37</w:t>
            </w:r>
          </w:p>
        </w:tc>
        <w:tc>
          <w:tcPr>
            <w:tcW w:type="dxa" w:w="2184"/>
            <w:tcMar>
              <w:top w:type="dxa" w:w="60"/>
              <w:left w:type="dxa" w:w="100"/>
              <w:bottom w:type="dxa" w:w="60"/>
              <w:right w:type="dxa" w:w="100"/>
            </w:tcMar>
          </w:tcPr>
          <w:p>
            <w:pPr>
              <w:spacing w:after="20" w:before="20"/>
            </w:pPr>
            <w:r>
              <w:rPr>
                <w:sz w:val="18"/>
                <w:szCs w:val="18"/>
              </w:rPr>
              <w:t xml:space="preserve">~$1.04M</w:t>
            </w:r>
          </w:p>
        </w:tc>
      </w:tr>
    </w:tbl>
    <w:p>
      <w:pPr>
        <w:spacing w:after="160"/>
      </w:pPr>
      <w:r>
        <w:t xml:space="preserve"/>
      </w:r>
    </w:p>
    <w:p>
      <w:pPr>
        <w:spacing w:after="140" w:line="276"/>
        <w:jc w:val="left"/>
      </w:pPr>
      <w:r>
        <w:rPr>
          <w:b/>
          <w:bCs/>
          <w:sz w:val="21"/>
          <w:szCs w:val="21"/>
        </w:rPr>
        <w:t xml:space="preserve">Payer-authorized length of stay is the variable that controls this</w:t>
      </w:r>
      <w:r>
        <w:rPr>
          <w:sz w:val="21"/>
          <w:szCs w:val="21"/>
        </w:rPr>
        <w:t xml:space="preserve">, and it is not under your control. At ~22 steady census and 15–25% operating margin, indicative EBITDA is </w:t>
      </w:r>
      <w:r>
        <w:rPr>
          <w:b/>
          <w:bCs/>
          <w:sz w:val="21"/>
          <w:szCs w:val="21"/>
        </w:rPr>
        <w:t xml:space="preserve">$95–155K</w:t>
      </w:r>
      <w:r>
        <w:rPr>
          <w:sz w:val="21"/>
          <w:szCs w:val="21"/>
        </w:rPr>
        <w:t xml:space="preserve"> on $400–700K deployed.</w:t>
      </w:r>
    </w:p>
    <w:p>
      <w:pPr>
        <w:pStyle w:val="Heading3"/>
        <w:spacing w:after="100" w:before="240"/>
      </w:pPr>
      <w:r>
        <w:rPr>
          <w:b/>
          <w:bCs/>
          <w:color w:val="2E5496"/>
          <w:sz w:val="22"/>
          <w:szCs w:val="22"/>
        </w:rPr>
        <w:t xml:space="preserve">2.3 Residential 3.1 /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872"/>
        <w:gridCol w:w="4306"/>
      </w:tblGrid>
      <w:tr>
        <w:trPr>
          <w:tblHeader/>
        </w:trPr>
        <w:tc>
          <w:tcPr>
            <w:tcW w:type="dxa" w:w="3182"/>
            <w:shd w:fill="E7E6E6" w:color="auto" w:val="clear"/>
            <w:tcMar>
              <w:top w:type="dxa" w:w="60"/>
              <w:left w:type="dxa" w:w="100"/>
              <w:bottom w:type="dxa" w:w="60"/>
              <w:right w:type="dxa" w:w="100"/>
            </w:tcMar>
          </w:tcPr>
          <w:p>
            <w:pPr>
              <w:spacing w:after="20" w:before="20"/>
            </w:pPr>
            <w:r>
              <w:rPr>
                <w:b/>
                <w:bCs/>
                <w:sz w:val="18"/>
                <w:szCs w:val="18"/>
              </w:rPr>
              <w:t xml:space="preserve">Line</w:t>
            </w:r>
          </w:p>
        </w:tc>
        <w:tc>
          <w:tcPr>
            <w:tcW w:type="dxa" w:w="1872"/>
            <w:shd w:fill="E7E6E6" w:color="auto" w:val="clear"/>
            <w:tcMar>
              <w:top w:type="dxa" w:w="60"/>
              <w:left w:type="dxa" w:w="100"/>
              <w:bottom w:type="dxa" w:w="60"/>
              <w:right w:type="dxa" w:w="100"/>
            </w:tcMar>
          </w:tcPr>
          <w:p>
            <w:pPr>
              <w:spacing w:after="20" w:before="20"/>
            </w:pPr>
            <w:r>
              <w:rPr>
                <w:b/>
                <w:bCs/>
                <w:sz w:val="18"/>
                <w:szCs w:val="18"/>
              </w:rPr>
              <w:t xml:space="preserve">3.1</w:t>
            </w:r>
          </w:p>
        </w:tc>
        <w:tc>
          <w:tcPr>
            <w:tcW w:type="dxa" w:w="4306"/>
            <w:shd w:fill="E7E6E6" w:color="auto" w:val="clear"/>
            <w:tcMar>
              <w:top w:type="dxa" w:w="60"/>
              <w:left w:type="dxa" w:w="100"/>
              <w:bottom w:type="dxa" w:w="60"/>
              <w:right w:type="dxa" w:w="100"/>
            </w:tcMar>
          </w:tcPr>
          <w:p>
            <w:pPr>
              <w:spacing w:after="20" w:before="20"/>
            </w:pPr>
            <w:r>
              <w:rPr>
                <w:b/>
                <w:bCs/>
                <w:sz w:val="18"/>
                <w:szCs w:val="18"/>
              </w:rPr>
              <w:t xml:space="preserve">3.5</w:t>
            </w:r>
          </w:p>
        </w:tc>
      </w:tr>
      <w:tr>
        <w:tc>
          <w:tcPr>
            <w:tcW w:type="dxa" w:w="3182"/>
            <w:tcMar>
              <w:top w:type="dxa" w:w="60"/>
              <w:left w:type="dxa" w:w="100"/>
              <w:bottom w:type="dxa" w:w="60"/>
              <w:right w:type="dxa" w:w="100"/>
            </w:tcMar>
          </w:tcPr>
          <w:p>
            <w:pPr>
              <w:spacing w:after="20" w:before="20"/>
            </w:pPr>
            <w:r>
              <w:rPr>
                <w:sz w:val="18"/>
                <w:szCs w:val="18"/>
              </w:rPr>
              <w:t xml:space="preserve">Property: deposit + licensing-standard build-out </w:t>
            </w:r>
            <w:r>
              <w:rPr>
                <w:rFonts w:ascii="Consolas" w:cs="Consolas" w:eastAsia="Consolas" w:hAnsi="Consolas"/>
                <w:sz w:val="16"/>
                <w:szCs w:val="16"/>
              </w:rPr>
              <w:t xml:space="preserve">[vendor]</w:t>
            </w:r>
          </w:p>
        </w:tc>
        <w:tc>
          <w:tcPr>
            <w:tcW w:type="dxa" w:w="1872"/>
            <w:tcMar>
              <w:top w:type="dxa" w:w="60"/>
              <w:left w:type="dxa" w:w="100"/>
              <w:bottom w:type="dxa" w:w="60"/>
              <w:right w:type="dxa" w:w="100"/>
            </w:tcMar>
          </w:tcPr>
          <w:p>
            <w:pPr>
              <w:spacing w:after="20" w:before="20"/>
            </w:pPr>
            <w:r>
              <w:rPr>
                <w:sz w:val="18"/>
                <w:szCs w:val="18"/>
              </w:rPr>
              <w:t xml:space="preserve">$100–250K</w:t>
            </w:r>
          </w:p>
        </w:tc>
        <w:tc>
          <w:tcPr>
            <w:tcW w:type="dxa" w:w="4306"/>
            <w:tcMar>
              <w:top w:type="dxa" w:w="60"/>
              <w:left w:type="dxa" w:w="100"/>
              <w:bottom w:type="dxa" w:w="60"/>
              <w:right w:type="dxa" w:w="100"/>
            </w:tcMar>
          </w:tcPr>
          <w:p>
            <w:pPr>
              <w:spacing w:after="20" w:before="20"/>
            </w:pPr>
            <w:r>
              <w:rPr>
                <w:sz w:val="18"/>
                <w:szCs w:val="18"/>
              </w:rPr>
              <w:t xml:space="preserve">$200–500K</w:t>
            </w:r>
          </w:p>
        </w:tc>
      </w:tr>
      <w:tr>
        <w:tc>
          <w:tcPr>
            <w:tcW w:type="dxa" w:w="3182"/>
            <w:tcMar>
              <w:top w:type="dxa" w:w="60"/>
              <w:left w:type="dxa" w:w="100"/>
              <w:bottom w:type="dxa" w:w="60"/>
              <w:right w:type="dxa" w:w="100"/>
            </w:tcMar>
          </w:tcPr>
          <w:p>
            <w:pPr>
              <w:spacing w:after="20" w:before="20"/>
            </w:pPr>
            <w:r>
              <w:rPr>
                <w:sz w:val="18"/>
                <w:szCs w:val="18"/>
              </w:rPr>
              <w:t xml:space="preserve">Legal, policy, licensing consultant</w:t>
            </w:r>
          </w:p>
        </w:tc>
        <w:tc>
          <w:tcPr>
            <w:tcW w:type="dxa" w:w="1872"/>
            <w:tcMar>
              <w:top w:type="dxa" w:w="60"/>
              <w:left w:type="dxa" w:w="100"/>
              <w:bottom w:type="dxa" w:w="60"/>
              <w:right w:type="dxa" w:w="100"/>
            </w:tcMar>
          </w:tcPr>
          <w:p>
            <w:pPr>
              <w:spacing w:after="20" w:before="20"/>
            </w:pPr>
            <w:r>
              <w:rPr>
                <w:sz w:val="18"/>
                <w:szCs w:val="18"/>
              </w:rPr>
              <w:t xml:space="preserve">$40–90K</w:t>
            </w:r>
          </w:p>
        </w:tc>
        <w:tc>
          <w:tcPr>
            <w:tcW w:type="dxa" w:w="4306"/>
            <w:tcMar>
              <w:top w:type="dxa" w:w="60"/>
              <w:left w:type="dxa" w:w="100"/>
              <w:bottom w:type="dxa" w:w="60"/>
              <w:right w:type="dxa" w:w="100"/>
            </w:tcMar>
          </w:tcPr>
          <w:p>
            <w:pPr>
              <w:spacing w:after="20" w:before="20"/>
            </w:pPr>
            <w:r>
              <w:rPr>
                <w:sz w:val="18"/>
                <w:szCs w:val="18"/>
              </w:rPr>
              <w:t xml:space="preserve">$50–120K</w:t>
            </w:r>
          </w:p>
        </w:tc>
      </w:tr>
      <w:tr>
        <w:tc>
          <w:tcPr>
            <w:tcW w:type="dxa" w:w="3182"/>
            <w:tcMar>
              <w:top w:type="dxa" w:w="60"/>
              <w:left w:type="dxa" w:w="100"/>
              <w:bottom w:type="dxa" w:w="60"/>
              <w:right w:type="dxa" w:w="100"/>
            </w:tcMar>
          </w:tcPr>
          <w:p>
            <w:pPr>
              <w:spacing w:after="20" w:before="20"/>
            </w:pPr>
            <w:r>
              <w:rPr>
                <w:sz w:val="18"/>
                <w:szCs w:val="18"/>
              </w:rPr>
              <w:t xml:space="preserve">Accreditation (</w:t>
            </w:r>
            <w:r>
              <w:rPr>
                <w:b/>
                <w:bCs/>
                <w:sz w:val="18"/>
                <w:szCs w:val="18"/>
              </w:rPr>
              <w:t xml:space="preserve">for Medicaid enrollment</w:t>
            </w:r>
            <w:r>
              <w:rPr>
                <w:sz w:val="18"/>
                <w:szCs w:val="18"/>
              </w:rPr>
              <w:t xml:space="preserve">, not licensure — see §0.1)</w:t>
            </w:r>
          </w:p>
        </w:tc>
        <w:tc>
          <w:tcPr>
            <w:tcW w:type="dxa" w:w="1872"/>
            <w:tcMar>
              <w:top w:type="dxa" w:w="60"/>
              <w:left w:type="dxa" w:w="100"/>
              <w:bottom w:type="dxa" w:w="60"/>
              <w:right w:type="dxa" w:w="100"/>
            </w:tcMar>
          </w:tcPr>
          <w:p>
            <w:pPr>
              <w:spacing w:after="20" w:before="20"/>
            </w:pPr>
            <w:r>
              <w:rPr>
                <w:sz w:val="18"/>
                <w:szCs w:val="18"/>
              </w:rPr>
              <w:t xml:space="preserve">$35–85K</w:t>
            </w:r>
          </w:p>
        </w:tc>
        <w:tc>
          <w:tcPr>
            <w:tcW w:type="dxa" w:w="4306"/>
            <w:tcMar>
              <w:top w:type="dxa" w:w="60"/>
              <w:left w:type="dxa" w:w="100"/>
              <w:bottom w:type="dxa" w:w="60"/>
              <w:right w:type="dxa" w:w="100"/>
            </w:tcMar>
          </w:tcPr>
          <w:p>
            <w:pPr>
              <w:spacing w:after="20" w:before="20"/>
            </w:pPr>
            <w:r>
              <w:rPr>
                <w:sz w:val="18"/>
                <w:szCs w:val="18"/>
              </w:rPr>
              <w:t xml:space="preserve">$40–100K</w:t>
            </w:r>
          </w:p>
        </w:tc>
      </w:tr>
      <w:tr>
        <w:tc>
          <w:tcPr>
            <w:tcW w:type="dxa" w:w="3182"/>
            <w:tcMar>
              <w:top w:type="dxa" w:w="60"/>
              <w:left w:type="dxa" w:w="100"/>
              <w:bottom w:type="dxa" w:w="60"/>
              <w:right w:type="dxa" w:w="100"/>
            </w:tcMar>
          </w:tcPr>
          <w:p>
            <w:pPr>
              <w:spacing w:after="20" w:before="20"/>
            </w:pPr>
            <w:r>
              <w:rPr>
                <w:sz w:val="18"/>
                <w:szCs w:val="18"/>
              </w:rPr>
              <w:t xml:space="preserve">Furnishings, IT, EMR</w:t>
            </w:r>
          </w:p>
        </w:tc>
        <w:tc>
          <w:tcPr>
            <w:tcW w:type="dxa" w:w="1872"/>
            <w:tcMar>
              <w:top w:type="dxa" w:w="60"/>
              <w:left w:type="dxa" w:w="100"/>
              <w:bottom w:type="dxa" w:w="60"/>
              <w:right w:type="dxa" w:w="100"/>
            </w:tcMar>
          </w:tcPr>
          <w:p>
            <w:pPr>
              <w:spacing w:after="20" w:before="20"/>
            </w:pPr>
            <w:r>
              <w:rPr>
                <w:sz w:val="18"/>
                <w:szCs w:val="18"/>
              </w:rPr>
              <w:t xml:space="preserve">$30–60K</w:t>
            </w:r>
          </w:p>
        </w:tc>
        <w:tc>
          <w:tcPr>
            <w:tcW w:type="dxa" w:w="4306"/>
            <w:tcMar>
              <w:top w:type="dxa" w:w="60"/>
              <w:left w:type="dxa" w:w="100"/>
              <w:bottom w:type="dxa" w:w="60"/>
              <w:right w:type="dxa" w:w="100"/>
            </w:tcMar>
          </w:tcPr>
          <w:p>
            <w:pPr>
              <w:spacing w:after="20" w:before="20"/>
            </w:pPr>
            <w:r>
              <w:rPr>
                <w:sz w:val="18"/>
                <w:szCs w:val="18"/>
              </w:rPr>
              <w:t xml:space="preserve">$40–90K</w:t>
            </w:r>
          </w:p>
        </w:tc>
      </w:tr>
      <w:tr>
        <w:tc>
          <w:tcPr>
            <w:tcW w:type="dxa" w:w="3182"/>
            <w:tcMar>
              <w:top w:type="dxa" w:w="60"/>
              <w:left w:type="dxa" w:w="100"/>
              <w:bottom w:type="dxa" w:w="60"/>
              <w:right w:type="dxa" w:w="100"/>
            </w:tcMar>
          </w:tcPr>
          <w:p>
            <w:pPr>
              <w:spacing w:after="20" w:before="20"/>
            </w:pPr>
            <w:r>
              <w:rPr>
                <w:sz w:val="18"/>
                <w:szCs w:val="18"/>
              </w:rPr>
              <w:t xml:space="preserve">Insurance (all lines; residential is materially harder to place)</w:t>
            </w:r>
          </w:p>
        </w:tc>
        <w:tc>
          <w:tcPr>
            <w:tcW w:type="dxa" w:w="1872"/>
            <w:tcMar>
              <w:top w:type="dxa" w:w="60"/>
              <w:left w:type="dxa" w:w="100"/>
              <w:bottom w:type="dxa" w:w="60"/>
              <w:right w:type="dxa" w:w="100"/>
            </w:tcMar>
          </w:tcPr>
          <w:p>
            <w:pPr>
              <w:spacing w:after="20" w:before="20"/>
            </w:pPr>
            <w:r>
              <w:rPr>
                <w:sz w:val="18"/>
                <w:szCs w:val="18"/>
              </w:rPr>
              <w:t xml:space="preserve">$25–55K</w:t>
            </w:r>
          </w:p>
        </w:tc>
        <w:tc>
          <w:tcPr>
            <w:tcW w:type="dxa" w:w="4306"/>
            <w:tcMar>
              <w:top w:type="dxa" w:w="60"/>
              <w:left w:type="dxa" w:w="100"/>
              <w:bottom w:type="dxa" w:w="60"/>
              <w:right w:type="dxa" w:w="100"/>
            </w:tcMar>
          </w:tcPr>
          <w:p>
            <w:pPr>
              <w:spacing w:after="20" w:before="20"/>
            </w:pPr>
            <w:r>
              <w:rPr>
                <w:sz w:val="18"/>
                <w:szCs w:val="18"/>
              </w:rPr>
              <w:t xml:space="preserve">$40–90K</w:t>
            </w:r>
          </w:p>
        </w:tc>
      </w:tr>
      <w:tr>
        <w:tc>
          <w:tcPr>
            <w:tcW w:type="dxa" w:w="3182"/>
            <w:tcMar>
              <w:top w:type="dxa" w:w="60"/>
              <w:left w:type="dxa" w:w="100"/>
              <w:bottom w:type="dxa" w:w="60"/>
              <w:right w:type="dxa" w:w="100"/>
            </w:tcMar>
          </w:tcPr>
          <w:p>
            <w:pPr>
              <w:spacing w:after="20" w:before="20"/>
            </w:pPr>
            <w:r>
              <w:rPr>
                <w:sz w:val="18"/>
                <w:szCs w:val="18"/>
              </w:rPr>
              <w:t xml:space="preserve">Pre-revenue staffing incl. 24/7 coverage, 9–12 mo</w:t>
            </w:r>
          </w:p>
        </w:tc>
        <w:tc>
          <w:tcPr>
            <w:tcW w:type="dxa" w:w="1872"/>
            <w:tcMar>
              <w:top w:type="dxa" w:w="60"/>
              <w:left w:type="dxa" w:w="100"/>
              <w:bottom w:type="dxa" w:w="60"/>
              <w:right w:type="dxa" w:w="100"/>
            </w:tcMar>
          </w:tcPr>
          <w:p>
            <w:pPr>
              <w:spacing w:after="20" w:before="20"/>
            </w:pPr>
            <w:r>
              <w:rPr>
                <w:sz w:val="18"/>
                <w:szCs w:val="18"/>
              </w:rPr>
              <w:t xml:space="preserve">$300–500K</w:t>
            </w:r>
          </w:p>
        </w:tc>
        <w:tc>
          <w:tcPr>
            <w:tcW w:type="dxa" w:w="4306"/>
            <w:tcMar>
              <w:top w:type="dxa" w:w="60"/>
              <w:left w:type="dxa" w:w="100"/>
              <w:bottom w:type="dxa" w:w="60"/>
              <w:right w:type="dxa" w:w="100"/>
            </w:tcMar>
          </w:tcPr>
          <w:p>
            <w:pPr>
              <w:spacing w:after="20" w:before="20"/>
            </w:pPr>
            <w:r>
              <w:rPr>
                <w:sz w:val="18"/>
                <w:szCs w:val="18"/>
              </w:rPr>
              <w:t xml:space="preserve">$550K–1.3M</w:t>
            </w:r>
          </w:p>
        </w:tc>
      </w:tr>
      <w:tr>
        <w:tc>
          <w:tcPr>
            <w:tcW w:type="dxa" w:w="3182"/>
            <w:tcMar>
              <w:top w:type="dxa" w:w="60"/>
              <w:left w:type="dxa" w:w="100"/>
              <w:bottom w:type="dxa" w:w="60"/>
              <w:right w:type="dxa" w:w="100"/>
            </w:tcMar>
          </w:tcPr>
          <w:p>
            <w:pPr>
              <w:spacing w:after="20" w:before="20"/>
            </w:pPr>
            <w:r>
              <w:rPr>
                <w:sz w:val="18"/>
                <w:szCs w:val="18"/>
              </w:rPr>
              <w:t xml:space="preserve">Contingency</w:t>
            </w:r>
          </w:p>
        </w:tc>
        <w:tc>
          <w:tcPr>
            <w:tcW w:type="dxa" w:w="1872"/>
            <w:tcMar>
              <w:top w:type="dxa" w:w="60"/>
              <w:left w:type="dxa" w:w="100"/>
              <w:bottom w:type="dxa" w:w="60"/>
              <w:right w:type="dxa" w:w="100"/>
            </w:tcMar>
          </w:tcPr>
          <w:p>
            <w:pPr>
              <w:spacing w:after="20" w:before="20"/>
            </w:pPr>
            <w:r>
              <w:rPr>
                <w:sz w:val="18"/>
                <w:szCs w:val="18"/>
              </w:rPr>
              <w:t xml:space="preserve">$60–120K</w:t>
            </w:r>
          </w:p>
        </w:tc>
        <w:tc>
          <w:tcPr>
            <w:tcW w:type="dxa" w:w="4306"/>
            <w:tcMar>
              <w:top w:type="dxa" w:w="60"/>
              <w:left w:type="dxa" w:w="100"/>
              <w:bottom w:type="dxa" w:w="60"/>
              <w:right w:type="dxa" w:w="100"/>
            </w:tcMar>
          </w:tcPr>
          <w:p>
            <w:pPr>
              <w:spacing w:after="20" w:before="20"/>
            </w:pPr>
            <w:r>
              <w:rPr>
                <w:sz w:val="18"/>
                <w:szCs w:val="18"/>
              </w:rPr>
              <w:t xml:space="preserve">$120–250K</w:t>
            </w:r>
          </w:p>
        </w:tc>
      </w:tr>
      <w:tr>
        <w:tc>
          <w:tcPr>
            <w:tcW w:type="dxa" w:w="3182"/>
            <w:tcMar>
              <w:top w:type="dxa" w:w="60"/>
              <w:left w:type="dxa" w:w="100"/>
              <w:bottom w:type="dxa" w:w="60"/>
              <w:right w:type="dxa" w:w="100"/>
            </w:tcMar>
          </w:tcPr>
          <w:p>
            <w:pPr>
              <w:spacing w:after="20" w:before="20"/>
            </w:pPr>
            <w:r>
              <w:rPr>
                <w:b/>
                <w:bCs/>
                <w:sz w:val="18"/>
                <w:szCs w:val="18"/>
              </w:rPr>
              <w:t xml:space="preserve">Total</w:t>
            </w:r>
          </w:p>
        </w:tc>
        <w:tc>
          <w:tcPr>
            <w:tcW w:type="dxa" w:w="1872"/>
            <w:tcMar>
              <w:top w:type="dxa" w:w="60"/>
              <w:left w:type="dxa" w:w="100"/>
              <w:bottom w:type="dxa" w:w="60"/>
              <w:right w:type="dxa" w:w="100"/>
            </w:tcMar>
          </w:tcPr>
          <w:p>
            <w:pPr>
              <w:spacing w:after="20" w:before="20"/>
            </w:pPr>
            <w:r>
              <w:rPr>
                <w:b/>
                <w:bCs/>
                <w:sz w:val="18"/>
                <w:szCs w:val="18"/>
              </w:rPr>
              <w:t xml:space="preserve">$500–900K</w:t>
            </w:r>
          </w:p>
        </w:tc>
        <w:tc>
          <w:tcPr>
            <w:tcW w:type="dxa" w:w="4306"/>
            <w:tcMar>
              <w:top w:type="dxa" w:w="60"/>
              <w:left w:type="dxa" w:w="100"/>
              <w:bottom w:type="dxa" w:w="60"/>
              <w:right w:type="dxa" w:w="100"/>
            </w:tcMar>
          </w:tcPr>
          <w:p>
            <w:pPr>
              <w:spacing w:after="20" w:before="20"/>
            </w:pPr>
            <w:r>
              <w:rPr>
                <w:b/>
                <w:bCs/>
                <w:sz w:val="18"/>
                <w:szCs w:val="18"/>
              </w:rPr>
              <w:t xml:space="preserve">$900K–2.0M</w:t>
            </w:r>
          </w:p>
        </w:tc>
      </w:tr>
    </w:tbl>
    <w:p>
      <w:pPr>
        <w:spacing w:after="160"/>
      </w:pPr>
      <w:r>
        <w:t xml:space="preserve"/>
      </w:r>
    </w:p>
    <w:p>
      <w:pPr>
        <w:spacing w:after="140" w:line="276"/>
        <w:jc w:val="left"/>
      </w:pPr>
      <w:r>
        <w:rPr>
          <w:sz w:val="21"/>
          <w:szCs w:val="21"/>
        </w:rPr>
        <w:t xml:space="preserve">At 24 beds / 80% / service-only $303.67 → </w:t>
      </w:r>
      <w:r>
        <w:rPr>
          <w:b/>
          <w:bCs/>
          <w:sz w:val="21"/>
          <w:szCs w:val="21"/>
        </w:rPr>
        <w:t xml:space="preserve">~$2.13M/yr</w:t>
      </w:r>
      <w:r>
        <w:rPr>
          <w:sz w:val="21"/>
          <w:szCs w:val="21"/>
        </w:rPr>
        <w:t xml:space="preserve"> revenue at 3.5.</w:t>
      </w:r>
    </w:p>
    <w:p>
      <w:pPr>
        <w:spacing w:after="140" w:line="276"/>
        <w:jc w:val="left"/>
      </w:pPr>
      <w:r>
        <w:rPr>
          <w:b/>
          <w:bCs/>
          <w:sz w:val="21"/>
          <w:szCs w:val="21"/>
        </w:rPr>
        <w:t xml:space="preserve">Note on "inpatient."</w:t>
      </w:r>
      <w:r>
        <w:rPr>
          <w:sz w:val="21"/>
          <w:szCs w:val="21"/>
        </w:rPr>
        <w:t xml:space="preserve"> Your stated goal says inpatient. In Louisiana, ASAM residential levels sit under </w:t>
      </w:r>
      <w:r>
        <w:rPr>
          <w:b/>
          <w:bCs/>
          <w:sz w:val="21"/>
          <w:szCs w:val="21"/>
        </w:rPr>
        <w:t xml:space="preserve">BHSP licensure</w:t>
      </w:r>
      <w:r>
        <w:rPr>
          <w:sz w:val="21"/>
          <w:szCs w:val="21"/>
        </w:rPr>
        <w:t xml:space="preserve">; true psychiatric-hospital inpatient is a </w:t>
      </w:r>
      <w:r>
        <w:rPr>
          <w:b/>
          <w:bCs/>
          <w:sz w:val="21"/>
          <w:szCs w:val="21"/>
        </w:rPr>
        <w:t xml:space="preserve">separate hospital licensure category</w:t>
      </w:r>
      <w:r>
        <w:rPr>
          <w:sz w:val="21"/>
          <w:szCs w:val="21"/>
        </w:rPr>
        <w:t xml:space="preserve"> and a materially harder path. This plan addresses the former.</w:t>
      </w:r>
    </w:p>
    <w:p>
      <w:pPr>
        <w:pStyle w:val="Heading3"/>
        <w:spacing w:after="100" w:before="240"/>
      </w:pPr>
      <w:r>
        <w:rPr>
          <w:b/>
          <w:bCs/>
          <w:color w:val="2E5496"/>
          <w:sz w:val="22"/>
          <w:szCs w:val="22"/>
        </w:rPr>
        <w:t xml:space="preserve">2.4 Acquisition — corrected rationale</w:t>
      </w:r>
    </w:p>
    <w:p>
      <w:pPr>
        <w:spacing w:after="140" w:line="276"/>
        <w:jc w:val="left"/>
      </w:pPr>
      <w:r>
        <w:rPr>
          <w:b/>
          <w:bCs/>
          <w:sz w:val="21"/>
          <w:szCs w:val="21"/>
        </w:rPr>
        <w:t xml:space="preserve">You do not buy the license.</w:t>
      </w:r>
      <w:r>
        <w:rPr>
          <w:sz w:val="21"/>
          <w:szCs w:val="21"/>
        </w:rPr>
        <w:t xml:space="preserve"> </w:t>
      </w:r>
      <w:r>
        <w:rPr>
          <w:rFonts w:ascii="Consolas" w:cs="Consolas" w:eastAsia="Consolas" w:hAnsi="Consolas"/>
          <w:sz w:val="19"/>
          <w:szCs w:val="19"/>
        </w:rPr>
        <w:t xml:space="preserve">[LAC Ch.56]</w:t>
      </w:r>
      <w:r>
        <w:rPr>
          <w:sz w:val="21"/>
          <w:szCs w:val="21"/>
        </w:rPr>
        <w:t xml:space="preserve"> on CHOW: the new owner must submit "</w:t>
      </w:r>
      <w:r>
        <w:rPr>
          <w:b/>
          <w:bCs/>
          <w:sz w:val="21"/>
          <w:szCs w:val="21"/>
        </w:rPr>
        <w:t xml:space="preserve">all documents required for a new license</w:t>
      </w:r>
      <w:r>
        <w:rPr>
          <w:sz w:val="21"/>
          <w:szCs w:val="21"/>
        </w:rPr>
        <w:t xml:space="preserve">" plus the fee, and "once all application requirements are completed and approved … </w:t>
      </w:r>
      <w:r>
        <w:rPr>
          <w:b/>
          <w:bCs/>
          <w:sz w:val="21"/>
          <w:szCs w:val="21"/>
        </w:rPr>
        <w:t xml:space="preserve">a new license may be issued to the new owner</w:t>
      </w:r>
      <w:r>
        <w:rPr>
          <w:sz w:val="21"/>
          <w:szCs w:val="21"/>
        </w:rPr>
        <w:t xml:space="preserve">." The license is valid up to one year and for one geographic service area only.</w:t>
      </w:r>
    </w:p>
    <w:p>
      <w:pPr>
        <w:spacing w:after="140" w:line="276"/>
        <w:jc w:val="left"/>
      </w:pPr>
      <w:r>
        <w:rPr>
          <w:b/>
          <w:bCs/>
          <w:sz w:val="21"/>
          <w:szCs w:val="21"/>
        </w:rPr>
        <w:t xml:space="preserve">And the distressed-asset angle is largely closed:</w:t>
      </w:r>
      <w:r>
        <w:rPr>
          <w:sz w:val="21"/>
          <w:szCs w:val="21"/>
        </w:rPr>
        <w:t xml:space="preserve"> "</w:t>
      </w:r>
      <w:r>
        <w:rPr>
          <w:b/>
          <w:bCs/>
          <w:sz w:val="21"/>
          <w:szCs w:val="21"/>
        </w:rPr>
        <w:t xml:space="preserve">A BHS provider that is under license revocation, provisional licensure or denial of license renewal may not undergo a CHOW</w:t>
      </w:r>
      <w:r>
        <w:rPr>
          <w:sz w:val="21"/>
          <w:szCs w:val="21"/>
        </w:rPr>
        <w:t xml:space="preserve">" </w:t>
      </w:r>
      <w:r>
        <w:rPr>
          <w:rFonts w:ascii="Consolas" w:cs="Consolas" w:eastAsia="Consolas" w:hAnsi="Consolas"/>
          <w:sz w:val="19"/>
          <w:szCs w:val="19"/>
        </w:rPr>
        <w:t xml:space="preserve">[LAC Ch.56]</w:t>
      </w:r>
      <w:r>
        <w:rPr>
          <w:sz w:val="21"/>
          <w:szCs w:val="21"/>
        </w:rPr>
        <w:t xml:space="preserve">; outstanding fees or fines suspend a CHOW until paid. The struggling sellers a bargain-hunter would target are frequently the ones legally barred from selling.</w:t>
      </w:r>
    </w:p>
    <w:p>
      <w:pPr>
        <w:spacing w:after="140" w:line="276"/>
        <w:jc w:val="left"/>
      </w:pPr>
      <w:r>
        <w:rPr>
          <w:b/>
          <w:bCs/>
          <w:sz w:val="21"/>
          <w:szCs w:val="21"/>
        </w:rPr>
        <w:t xml:space="preserve">What an acquisition does buy:</w:t>
      </w:r>
      <w:r>
        <w:rPr>
          <w:sz w:val="21"/>
          <w:szCs w:val="21"/>
        </w:rPr>
        <w:t xml:space="preserve"> physical plant already built and surveyed to standard; clinical leadership and staff in post; existing census and referral relationships; </w:t>
      </w:r>
      <w:r>
        <w:rPr>
          <w:b/>
          <w:bCs/>
          <w:sz w:val="21"/>
          <w:szCs w:val="21"/>
        </w:rPr>
        <w:t xml:space="preserve">accreditation</w:t>
      </w:r>
      <w:r>
        <w:rPr>
          <w:sz w:val="21"/>
          <w:szCs w:val="21"/>
        </w:rPr>
        <w:t xml:space="preserve">, which attaches to the program; policies that have passed survey; documented operating history; and a seller available for transition. Those are real. </w:t>
      </w:r>
      <w:r>
        <w:rPr>
          <w:b/>
          <w:bCs/>
          <w:sz w:val="21"/>
          <w:szCs w:val="21"/>
        </w:rPr>
        <w:t xml:space="preserve">Budget $150–300K transition reserve</w:t>
      </w:r>
      <w:r>
        <w:rPr>
          <w:sz w:val="21"/>
          <w:szCs w:val="21"/>
        </w:rPr>
        <w:t xml:space="preserve"> for CHOW re-licensure, re-credentialing, and census disruption. Payer credentialing generally attaches to entity/TIN — assume Medicaid re-enrollment and check each commercial contract for assignment/novation clauses rather than assuming they travel.</w:t>
      </w:r>
    </w:p>
    <w:p>
      <w:pPr>
        <w:pStyle w:val="Heading3"/>
        <w:spacing w:after="100" w:before="240"/>
      </w:pPr>
      <w:r>
        <w:rPr>
          <w:b/>
          <w:bCs/>
          <w:color w:val="2E5496"/>
          <w:sz w:val="22"/>
          <w:szCs w:val="22"/>
        </w:rPr>
        <w:t xml:space="preserve">2.5 Financing — and the downside</w:t>
      </w:r>
    </w:p>
    <w:p>
      <w:pPr>
        <w:pStyle w:val="ListParagraph"/>
        <w:numPr>
          <w:ilvl w:val="0"/>
          <w:numId w:val="3"/>
        </w:numPr>
        <w:spacing w:after="70"/>
      </w:pPr>
      <w:r>
        <w:rPr>
          <w:b/>
          <w:bCs/>
          <w:sz w:val="21"/>
          <w:szCs w:val="21"/>
        </w:rPr>
        <w:t xml:space="preserve">SBA 7(a)</w:t>
      </w:r>
      <w:r>
        <w:rPr>
          <w:sz w:val="21"/>
          <w:szCs w:val="21"/>
        </w:rPr>
        <w:t xml:space="preserve"> finances startups and acquisitions to $5M. </w:t>
      </w:r>
      <w:r>
        <w:rPr>
          <w:b/>
          <w:bCs/>
          <w:sz w:val="21"/>
          <w:szCs w:val="21"/>
        </w:rPr>
        <w:t xml:space="preserve">Correction to a common belief:</w:t>
      </w:r>
      <w:r>
        <w:rPr>
          <w:sz w:val="21"/>
          <w:szCs w:val="21"/>
        </w:rPr>
        <w:t xml:space="preserve"> </w:t>
      </w:r>
      <w:r>
        <w:rPr>
          <w:b/>
          <w:bCs/>
          <w:sz w:val="21"/>
          <w:szCs w:val="21"/>
        </w:rPr>
        <w:t xml:space="preserve">13 CFR § 120.150</w:t>
      </w:r>
      <w:r>
        <w:rPr>
          <w:sz w:val="21"/>
          <w:szCs w:val="21"/>
        </w:rPr>
        <w:t xml:space="preserve">, as amended at 88 FR 21085 (Apr. 10, 2023) </w:t>
      </w:r>
      <w:r>
        <w:rPr>
          <w:rFonts w:ascii="Consolas" w:cs="Consolas" w:eastAsia="Consolas" w:hAnsi="Consolas"/>
          <w:sz w:val="19"/>
          <w:szCs w:val="19"/>
        </w:rPr>
        <w:t xml:space="preserve">[CFR]</w:t>
      </w:r>
      <w:r>
        <w:rPr>
          <w:sz w:val="21"/>
          <w:szCs w:val="21"/>
        </w:rPr>
        <w:t xml:space="preserve">, lists only credit history, earnings/cashflow, and equity/collateral — the former "experience and depth of management" criterion </w:t>
      </w:r>
      <w:r>
        <w:rPr>
          <w:b/>
          <w:bCs/>
          <w:sz w:val="21"/>
          <w:szCs w:val="21"/>
        </w:rPr>
        <w:t xml:space="preserve">was removed.</w:t>
      </w:r>
      <w:r>
        <w:rPr>
          <w:sz w:val="21"/>
          <w:szCs w:val="21"/>
        </w:rPr>
        <w:t xml:space="preserve"> Industry experience is now </w:t>
      </w:r>
      <w:r>
        <w:rPr>
          <w:i/>
          <w:iCs/>
          <w:sz w:val="21"/>
          <w:szCs w:val="21"/>
        </w:rPr>
        <w:t xml:space="preserve">lender credit policy</w:t>
      </w:r>
      <w:r>
        <w:rPr>
          <w:sz w:val="21"/>
          <w:szCs w:val="21"/>
        </w:rPr>
        <w:t xml:space="preserve">, not an SBA eligibility rule. In licensed healthcare, lenders commonly still require relevant management experience plus evidence licensure will be reissued. </w:t>
      </w:r>
      <w:r>
        <w:rPr>
          <w:b/>
          <w:bCs/>
          <w:sz w:val="21"/>
          <w:szCs w:val="21"/>
        </w:rPr>
        <w:t xml:space="preserve">The binding constraint on a Louisiana acquisition is the state CHOW, not SBA eligibility.</w:t>
      </w:r>
    </w:p>
    <w:p>
      <w:pPr>
        <w:pStyle w:val="ListParagraph"/>
        <w:numPr>
          <w:ilvl w:val="0"/>
          <w:numId w:val="3"/>
        </w:numPr>
        <w:spacing w:after="70"/>
      </w:pPr>
      <w:r>
        <w:rPr>
          <w:b/>
          <w:bCs/>
          <w:sz w:val="21"/>
          <w:szCs w:val="21"/>
        </w:rPr>
        <w:t xml:space="preserve">The downside, stated with the same specificity as the upside:</w:t>
      </w:r>
      <w:r>
        <w:rPr>
          <w:sz w:val="21"/>
          <w:szCs w:val="21"/>
        </w:rPr>
        <w:t xml:space="preserve"> 7(a) loans are personally guaranteed by owners of 20%+, commonly secured against home equity. A $1–3M acquisition means a </w:t>
      </w:r>
      <w:r>
        <w:rPr>
          <w:b/>
          <w:bCs/>
          <w:sz w:val="21"/>
          <w:szCs w:val="21"/>
        </w:rPr>
        <w:t xml:space="preserve">$1–3M personal guarantee.</w:t>
      </w:r>
      <w:r>
        <w:rPr>
          <w:sz w:val="21"/>
          <w:szCs w:val="21"/>
        </w:rPr>
        <w:t xml:space="preserve"> Combined with the undercapitalization risk, the realistic bad outcome is not "lose the invested capital" — it is </w:t>
      </w:r>
      <w:r>
        <w:rPr>
          <w:b/>
          <w:bCs/>
          <w:sz w:val="21"/>
          <w:szCs w:val="21"/>
        </w:rPr>
        <w:t xml:space="preserve">lose the capital, owe the guarantee, and carry it personally after the entity fails.</w:t>
      </w:r>
    </w:p>
    <w:p>
      <w:pPr>
        <w:pStyle w:val="ListParagraph"/>
        <w:numPr>
          <w:ilvl w:val="0"/>
          <w:numId w:val="3"/>
        </w:numPr>
        <w:spacing w:after="70"/>
      </w:pPr>
      <w:r>
        <w:rPr>
          <w:sz w:val="21"/>
          <w:szCs w:val="21"/>
        </w:rPr>
        <w:t xml:space="preserve">SBA's </w:t>
      </w:r>
      <w:r>
        <w:rPr>
          <w:b/>
          <w:bCs/>
          <w:sz w:val="21"/>
          <w:szCs w:val="21"/>
        </w:rPr>
        <w:t xml:space="preserve">active-ownership rule</w:t>
      </w:r>
      <w:r>
        <w:rPr>
          <w:sz w:val="21"/>
          <w:szCs w:val="21"/>
        </w:rPr>
        <w:t xml:space="preserve"> bars passive investors: an "own it, hire an administrator, stay employed in tech" structure is not 7(a)-financeable.</w:t>
      </w:r>
    </w:p>
    <w:p>
      <w:pPr>
        <w:pBdr>
          <w:bottom w:val="single" w:color="BFBFBF" w:sz="6" w:space="6"/>
        </w:pBdr>
        <w:spacing w:after="200" w:before="120"/>
      </w:pPr>
      <w:r>
        <w:t xml:space="preserve"/>
      </w:r>
    </w:p>
    <w:p>
      <w:pPr>
        <w:pStyle w:val="Heading2"/>
        <w:pBdr>
          <w:bottom w:val="single" w:color="1F3864" w:sz="4" w:space="4"/>
        </w:pBdr>
        <w:spacing w:after="140" w:before="320"/>
      </w:pPr>
      <w:r>
        <w:rPr>
          <w:b/>
          <w:bCs/>
          <w:color w:val="1F3864"/>
          <w:sz w:val="26"/>
          <w:szCs w:val="26"/>
        </w:rPr>
        <w:t xml:space="preserve">3. Sequencing — revised after review</w:t>
      </w:r>
    </w:p>
    <w:p>
      <w:pPr>
        <w:spacing w:after="140" w:line="276"/>
        <w:jc w:val="left"/>
      </w:pPr>
      <w:r>
        <w:rPr>
          <w:sz w:val="21"/>
          <w:szCs w:val="21"/>
        </w:rPr>
        <w:t xml:space="preserve">Revision 2 recommended </w:t>
      </w:r>
      <w:r>
        <w:rPr>
          <w:i/>
          <w:iCs/>
          <w:sz w:val="21"/>
          <w:szCs w:val="21"/>
        </w:rPr>
        <w:t xml:space="preserve">sober living → IOP → residential</w:t>
      </w:r>
      <w:r>
        <w:rPr>
          <w:sz w:val="21"/>
          <w:szCs w:val="21"/>
        </w:rPr>
        <w:t xml:space="preserve">. The review substantially damaged the first leg, and I now think it was wrong.</w:t>
      </w:r>
    </w:p>
    <w:p>
      <w:pPr>
        <w:spacing w:after="140" w:line="276"/>
        <w:jc w:val="left"/>
      </w:pPr>
      <w:r>
        <w:rPr>
          <w:b/>
          <w:bCs/>
          <w:sz w:val="21"/>
          <w:szCs w:val="21"/>
        </w:rPr>
        <w:t xml:space="preserve">The case against sober-living-first, which I accept:</w:t>
      </w:r>
    </w:p>
    <w:p>
      <w:pPr>
        <w:pStyle w:val="ListParagraph"/>
        <w:numPr>
          <w:ilvl w:val="0"/>
          <w:numId w:val="2"/>
        </w:numPr>
        <w:spacing w:after="70"/>
      </w:pPr>
      <w:r>
        <w:rPr>
          <w:b/>
          <w:bCs/>
          <w:sz w:val="21"/>
          <w:szCs w:val="21"/>
        </w:rPr>
        <w:t xml:space="preserve">It does not build the track record that matters.</w:t>
      </w:r>
      <w:r>
        <w:rPr>
          <w:sz w:val="21"/>
          <w:szCs w:val="21"/>
        </w:rPr>
        <w:t xml:space="preserve"> What a BHSP applicant and a payer need is </w:t>
      </w:r>
      <w:r>
        <w:rPr>
          <w:i/>
          <w:iCs/>
          <w:sz w:val="21"/>
          <w:szCs w:val="21"/>
        </w:rPr>
        <w:t xml:space="preserve">clinical</w:t>
      </w:r>
      <w:r>
        <w:rPr>
          <w:sz w:val="21"/>
          <w:szCs w:val="21"/>
        </w:rPr>
        <w:t xml:space="preserve">: ASAM level-of-care fidelity, LMHP supervision structure, treatment planning and documentation, utilization review, survey response, incident reporting, 42 CFR Part 2 handling. A recovery residence produces none of these — it is a leased-property business with a house manager.</w:t>
      </w:r>
    </w:p>
    <w:p>
      <w:pPr>
        <w:pStyle w:val="ListParagraph"/>
        <w:numPr>
          <w:ilvl w:val="0"/>
          <w:numId w:val="2"/>
        </w:numPr>
        <w:spacing w:after="70"/>
      </w:pPr>
      <w:r>
        <w:rPr>
          <w:b/>
          <w:bCs/>
          <w:sz w:val="21"/>
          <w:szCs w:val="21"/>
        </w:rPr>
        <w:t xml:space="preserve">It manufactures your largest criminal exposure.</w:t>
      </w:r>
      <w:r>
        <w:rPr>
          <w:sz w:val="21"/>
          <w:szCs w:val="21"/>
        </w:rPr>
        <w:t xml:space="preserve"> An owned sober-living → owned-treatment referral path is the paradigm EKRA "body brokering" fact pattern. Sequences that put IOP first simply do not create the structure. This is a </w:t>
      </w:r>
      <w:r>
        <w:rPr>
          <w:i/>
          <w:iCs/>
          <w:sz w:val="21"/>
          <w:szCs w:val="21"/>
        </w:rPr>
        <w:t xml:space="preserve">cost of the inversion</w:t>
      </w:r>
      <w:r>
        <w:rPr>
          <w:sz w:val="21"/>
          <w:szCs w:val="21"/>
        </w:rPr>
        <w:t xml:space="preserve">, not a neutral feature.</w:t>
      </w:r>
    </w:p>
    <w:p>
      <w:pPr>
        <w:pStyle w:val="ListParagraph"/>
        <w:numPr>
          <w:ilvl w:val="0"/>
          <w:numId w:val="2"/>
        </w:numPr>
        <w:spacing w:after="70"/>
      </w:pPr>
      <w:r>
        <w:rPr>
          <w:b/>
          <w:bCs/>
          <w:sz w:val="21"/>
          <w:szCs w:val="21"/>
        </w:rPr>
        <w:t xml:space="preserve">Its own economics are weak</w:t>
      </w:r>
      <w:r>
        <w:rPr>
          <w:sz w:val="21"/>
          <w:szCs w:val="21"/>
        </w:rPr>
        <w:t xml:space="preserve"> — $1,200–17,500/month across 3–5 houses for 18 months of work.</w:t>
      </w:r>
    </w:p>
    <w:p>
      <w:pPr>
        <w:spacing w:after="140" w:line="276"/>
        <w:jc w:val="left"/>
      </w:pPr>
      <w:r>
        <w:rPr>
          <w:b/>
          <w:bCs/>
          <w:sz w:val="21"/>
          <w:szCs w:val="21"/>
        </w:rPr>
        <w:t xml:space="preserve">What survives from revision 2:</w:t>
      </w:r>
      <w:r>
        <w:rPr>
          <w:sz w:val="21"/>
          <w:szCs w:val="21"/>
        </w:rPr>
        <w:t xml:space="preserve"> the </w:t>
      </w:r>
      <w:r>
        <w:rPr>
          <w:i/>
          <w:iCs/>
          <w:sz w:val="21"/>
          <w:szCs w:val="21"/>
        </w:rPr>
        <w:t xml:space="preserve">ordering</w:t>
      </w:r>
      <w:r>
        <w:rPr>
          <w:sz w:val="21"/>
          <w:szCs w:val="21"/>
        </w:rPr>
        <w:t xml:space="preserve"> of difficulty. Entering at residential or detox first — no clinical credential, no operating history, no payer contracts, no survey record — remains the worst available entry. That conclusion does not depend on any contested number.</w:t>
      </w:r>
    </w:p>
    <w:p>
      <w:pPr>
        <w:pStyle w:val="Heading3"/>
        <w:spacing w:after="100" w:before="240"/>
      </w:pPr>
      <w:r>
        <w:rPr>
          <w:b/>
          <w:bCs/>
          <w:color w:val="2E5496"/>
          <w:sz w:val="22"/>
          <w:szCs w:val="22"/>
        </w:rPr>
        <w:t xml:space="preserve">The revised option set, including the one I omitted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184"/>
        <w:gridCol w:w="2184"/>
        <w:gridCol w:w="2184"/>
      </w:tblGrid>
      <w:tr>
        <w:trPr>
          <w:tblHeader/>
        </w:trPr>
        <w:tc>
          <w:tcPr>
            <w:tcW w:type="dxa" w:w="2808"/>
            <w:shd w:fill="E7E6E6" w:color="auto" w:val="clear"/>
            <w:tcMar>
              <w:top w:type="dxa" w:w="60"/>
              <w:left w:type="dxa" w:w="100"/>
              <w:bottom w:type="dxa" w:w="60"/>
              <w:right w:type="dxa" w:w="100"/>
            </w:tcMar>
          </w:tcPr>
          <w:p>
            <w:pPr>
              <w:spacing w:after="20" w:before="20"/>
            </w:pPr>
            <w:r>
              <w:rPr>
                <w:b/>
                <w:bCs/>
                <w:sz w:val="18"/>
                <w:szCs w:val="18"/>
              </w:rPr>
              <w:t xml:space="preserve">Option</w:t>
            </w:r>
          </w:p>
        </w:tc>
        <w:tc>
          <w:tcPr>
            <w:tcW w:type="dxa" w:w="2184"/>
            <w:shd w:fill="E7E6E6" w:color="auto" w:val="clear"/>
            <w:tcMar>
              <w:top w:type="dxa" w:w="60"/>
              <w:left w:type="dxa" w:w="100"/>
              <w:bottom w:type="dxa" w:w="60"/>
              <w:right w:type="dxa" w:w="100"/>
            </w:tcMar>
          </w:tcPr>
          <w:p>
            <w:pPr>
              <w:spacing w:after="20" w:before="20"/>
            </w:pPr>
            <w:r>
              <w:rPr>
                <w:b/>
                <w:bCs/>
                <w:sz w:val="18"/>
                <w:szCs w:val="18"/>
              </w:rPr>
              <w:t xml:space="preserve">Capital at risk</w:t>
            </w:r>
          </w:p>
        </w:tc>
        <w:tc>
          <w:tcPr>
            <w:tcW w:type="dxa" w:w="2184"/>
            <w:shd w:fill="E7E6E6" w:color="auto" w:val="clear"/>
            <w:tcMar>
              <w:top w:type="dxa" w:w="60"/>
              <w:left w:type="dxa" w:w="100"/>
              <w:bottom w:type="dxa" w:w="60"/>
              <w:right w:type="dxa" w:w="100"/>
            </w:tcMar>
          </w:tcPr>
          <w:p>
            <w:pPr>
              <w:spacing w:after="20" w:before="20"/>
            </w:pPr>
            <w:r>
              <w:rPr>
                <w:b/>
                <w:bCs/>
                <w:sz w:val="18"/>
                <w:szCs w:val="18"/>
              </w:rPr>
              <w:t xml:space="preserve">What it buys</w:t>
            </w:r>
          </w:p>
        </w:tc>
        <w:tc>
          <w:tcPr>
            <w:tcW w:type="dxa" w:w="2184"/>
            <w:shd w:fill="E7E6E6" w:color="auto" w:val="clear"/>
            <w:tcMar>
              <w:top w:type="dxa" w:w="60"/>
              <w:left w:type="dxa" w:w="100"/>
              <w:bottom w:type="dxa" w:w="60"/>
              <w:right w:type="dxa" w:w="100"/>
            </w:tcMar>
          </w:tcPr>
          <w:p>
            <w:pPr>
              <w:spacing w:after="20" w:before="20"/>
            </w:pPr>
            <w:r>
              <w:rPr>
                <w:b/>
                <w:bCs/>
                <w:sz w:val="18"/>
                <w:szCs w:val="18"/>
              </w:rPr>
              <w:t xml:space="preserve">Honest verdict</w:t>
            </w:r>
          </w:p>
        </w:tc>
      </w:tr>
      <w:tr>
        <w:tc>
          <w:tcPr>
            <w:tcW w:type="dxa" w:w="2808"/>
            <w:tcMar>
              <w:top w:type="dxa" w:w="60"/>
              <w:left w:type="dxa" w:w="100"/>
              <w:bottom w:type="dxa" w:w="60"/>
              <w:right w:type="dxa" w:w="100"/>
            </w:tcMar>
          </w:tcPr>
          <w:p>
            <w:pPr>
              <w:spacing w:after="20" w:before="20"/>
            </w:pPr>
            <w:r>
              <w:rPr>
                <w:b/>
                <w:bCs/>
                <w:sz w:val="18"/>
                <w:szCs w:val="18"/>
              </w:rPr>
              <w:t xml:space="preserve">A. Status quo — stay employed, hold assets as options</w:t>
            </w:r>
          </w:p>
        </w:tc>
        <w:tc>
          <w:tcPr>
            <w:tcW w:type="dxa" w:w="2184"/>
            <w:tcMar>
              <w:top w:type="dxa" w:w="60"/>
              <w:left w:type="dxa" w:w="100"/>
              <w:bottom w:type="dxa" w:w="60"/>
              <w:right w:type="dxa" w:w="100"/>
            </w:tcMar>
          </w:tcPr>
          <w:p>
            <w:pPr>
              <w:spacing w:after="20" w:before="20"/>
            </w:pPr>
            <w:r>
              <w:rPr>
                <w:sz w:val="18"/>
                <w:szCs w:val="18"/>
              </w:rPr>
              <w:t xml:space="preserve">$0</w:t>
            </w:r>
          </w:p>
        </w:tc>
        <w:tc>
          <w:tcPr>
            <w:tcW w:type="dxa" w:w="2184"/>
            <w:tcMar>
              <w:top w:type="dxa" w:w="60"/>
              <w:left w:type="dxa" w:w="100"/>
              <w:bottom w:type="dxa" w:w="60"/>
              <w:right w:type="dxa" w:w="100"/>
            </w:tcMar>
          </w:tcPr>
          <w:p>
            <w:pPr>
              <w:spacing w:after="20" w:before="20"/>
            </w:pPr>
            <w:r>
              <w:rPr>
                <w:sz w:val="18"/>
                <w:szCs w:val="18"/>
              </w:rPr>
              <w:t xml:space="preserve">Preserves baseline; everything stays open</w:t>
            </w:r>
          </w:p>
        </w:tc>
        <w:tc>
          <w:tcPr>
            <w:tcW w:type="dxa" w:w="2184"/>
            <w:tcMar>
              <w:top w:type="dxa" w:w="60"/>
              <w:left w:type="dxa" w:w="100"/>
              <w:bottom w:type="dxa" w:w="60"/>
              <w:right w:type="dxa" w:w="100"/>
            </w:tcMar>
          </w:tcPr>
          <w:p>
            <w:pPr>
              <w:spacing w:after="20" w:before="20"/>
            </w:pPr>
            <w:r>
              <w:rPr>
                <w:b/>
                <w:bCs/>
                <w:sz w:val="18"/>
                <w:szCs w:val="18"/>
              </w:rPr>
              <w:t xml:space="preserve">Omitted from revision 2. That was a framing failure</w:t>
            </w:r>
            <w:r>
              <w:rPr>
                <w:sz w:val="18"/>
                <w:szCs w:val="18"/>
              </w:rPr>
              <w:t xml:space="preserve">, and my sibling memo named the same failure a week's work earlier. It belongs on the list.</w:t>
            </w:r>
          </w:p>
        </w:tc>
      </w:tr>
      <w:tr>
        <w:tc>
          <w:tcPr>
            <w:tcW w:type="dxa" w:w="2808"/>
            <w:tcMar>
              <w:top w:type="dxa" w:w="60"/>
              <w:left w:type="dxa" w:w="100"/>
              <w:bottom w:type="dxa" w:w="60"/>
              <w:right w:type="dxa" w:w="100"/>
            </w:tcMar>
          </w:tcPr>
          <w:p>
            <w:pPr>
              <w:spacing w:after="20" w:before="20"/>
            </w:pPr>
            <w:r>
              <w:rPr>
                <w:b/>
                <w:bCs/>
                <w:sz w:val="18"/>
                <w:szCs w:val="18"/>
              </w:rPr>
              <w:t xml:space="preserve">B. Paid industry employment</w:t>
            </w:r>
            <w:r>
              <w:rPr>
                <w:sz w:val="18"/>
                <w:szCs w:val="18"/>
              </w:rPr>
              <w:t xml:space="preserve"> — program administrator / director of operations / payer-contracting lead at an existing LA program, 18–36 months</w:t>
            </w:r>
          </w:p>
        </w:tc>
        <w:tc>
          <w:tcPr>
            <w:tcW w:type="dxa" w:w="2184"/>
            <w:tcMar>
              <w:top w:type="dxa" w:w="60"/>
              <w:left w:type="dxa" w:w="100"/>
              <w:bottom w:type="dxa" w:w="60"/>
              <w:right w:type="dxa" w:w="100"/>
            </w:tcMar>
          </w:tcPr>
          <w:p>
            <w:pPr>
              <w:spacing w:after="20" w:before="20"/>
            </w:pPr>
            <w:r>
              <w:rPr>
                <w:b/>
                <w:bCs/>
                <w:sz w:val="18"/>
                <w:szCs w:val="18"/>
              </w:rPr>
              <w:t xml:space="preserve">Negative</w:t>
            </w:r>
            <w:r>
              <w:rPr>
                <w:sz w:val="18"/>
                <w:szCs w:val="18"/>
              </w:rPr>
              <w:t xml:space="preserve"> (you are paid)</w:t>
            </w:r>
          </w:p>
        </w:tc>
        <w:tc>
          <w:tcPr>
            <w:tcW w:type="dxa" w:w="2184"/>
            <w:tcMar>
              <w:top w:type="dxa" w:w="60"/>
              <w:left w:type="dxa" w:w="100"/>
              <w:bottom w:type="dxa" w:w="60"/>
              <w:right w:type="dxa" w:w="100"/>
            </w:tcMar>
          </w:tcPr>
          <w:p>
            <w:pPr>
              <w:spacing w:after="20" w:before="20"/>
            </w:pPr>
            <w:r>
              <w:rPr>
                <w:sz w:val="18"/>
                <w:szCs w:val="18"/>
              </w:rPr>
              <w:t xml:space="preserve">All three deficits §4 names: clinical credibility, payer-contracting experience, survey track record. Plus the local referral web and Clinical Director relationships.</w:t>
            </w:r>
          </w:p>
        </w:tc>
        <w:tc>
          <w:tcPr>
            <w:tcW w:type="dxa" w:w="2184"/>
            <w:tcMar>
              <w:top w:type="dxa" w:w="60"/>
              <w:left w:type="dxa" w:w="100"/>
              <w:bottom w:type="dxa" w:w="60"/>
              <w:right w:type="dxa" w:w="100"/>
            </w:tcMar>
          </w:tcPr>
          <w:p>
            <w:pPr>
              <w:spacing w:after="20" w:before="20"/>
            </w:pPr>
            <w:r>
              <w:rPr>
                <w:b/>
                <w:bCs/>
                <w:sz w:val="18"/>
                <w:szCs w:val="18"/>
              </w:rPr>
              <w:t xml:space="preserve">Strongest risk-adjusted path to ownership.</w:t>
            </w:r>
            <w:r>
              <w:rPr>
                <w:sz w:val="18"/>
                <w:szCs w:val="18"/>
              </w:rPr>
              <w:t xml:space="preserve"> Delays it; materially de-risks it. Also an insurance-underwriting input (§4.3).</w:t>
            </w:r>
          </w:p>
        </w:tc>
      </w:tr>
      <w:tr>
        <w:tc>
          <w:tcPr>
            <w:tcW w:type="dxa" w:w="2808"/>
            <w:tcMar>
              <w:top w:type="dxa" w:w="60"/>
              <w:left w:type="dxa" w:w="100"/>
              <w:bottom w:type="dxa" w:w="60"/>
              <w:right w:type="dxa" w:w="100"/>
            </w:tcMar>
          </w:tcPr>
          <w:p>
            <w:pPr>
              <w:spacing w:after="20" w:before="20"/>
            </w:pPr>
            <w:r>
              <w:rPr>
                <w:b/>
                <w:bCs/>
                <w:sz w:val="18"/>
                <w:szCs w:val="18"/>
              </w:rPr>
              <w:t xml:space="preserve">C. De novo IOP</w:t>
            </w:r>
          </w:p>
        </w:tc>
        <w:tc>
          <w:tcPr>
            <w:tcW w:type="dxa" w:w="2184"/>
            <w:tcMar>
              <w:top w:type="dxa" w:w="60"/>
              <w:left w:type="dxa" w:w="100"/>
              <w:bottom w:type="dxa" w:w="60"/>
              <w:right w:type="dxa" w:w="100"/>
            </w:tcMar>
          </w:tcPr>
          <w:p>
            <w:pPr>
              <w:spacing w:after="20" w:before="20"/>
            </w:pPr>
            <w:r>
              <w:rPr>
                <w:sz w:val="18"/>
                <w:szCs w:val="18"/>
              </w:rPr>
              <w:t xml:space="preserve">$400–700K</w:t>
            </w:r>
          </w:p>
        </w:tc>
        <w:tc>
          <w:tcPr>
            <w:tcW w:type="dxa" w:w="2184"/>
            <w:tcMar>
              <w:top w:type="dxa" w:w="60"/>
              <w:left w:type="dxa" w:w="100"/>
              <w:bottom w:type="dxa" w:w="60"/>
              <w:right w:type="dxa" w:w="100"/>
            </w:tcMar>
          </w:tcPr>
          <w:p>
            <w:pPr>
              <w:spacing w:after="20" w:before="20"/>
            </w:pPr>
            <w:r>
              <w:rPr>
                <w:sz w:val="18"/>
                <w:szCs w:val="18"/>
              </w:rPr>
              <w:t xml:space="preserve">A licensed clinical business</w:t>
            </w:r>
          </w:p>
        </w:tc>
        <w:tc>
          <w:tcPr>
            <w:tcW w:type="dxa" w:w="2184"/>
            <w:tcMar>
              <w:top w:type="dxa" w:w="60"/>
              <w:left w:type="dxa" w:w="100"/>
              <w:bottom w:type="dxa" w:w="60"/>
              <w:right w:type="dxa" w:w="100"/>
            </w:tcMar>
          </w:tcPr>
          <w:p>
            <w:pPr>
              <w:spacing w:after="20" w:before="20"/>
            </w:pPr>
            <w:r>
              <w:rPr>
                <w:sz w:val="18"/>
                <w:szCs w:val="18"/>
              </w:rPr>
              <w:t xml:space="preserve">Correct first </w:t>
            </w:r>
            <w:r>
              <w:rPr>
                <w:i/>
                <w:iCs/>
                <w:sz w:val="18"/>
                <w:szCs w:val="18"/>
              </w:rPr>
              <w:t xml:space="preserve">owned</w:t>
            </w:r>
            <w:r>
              <w:rPr>
                <w:sz w:val="18"/>
                <w:szCs w:val="18"/>
              </w:rPr>
              <w:t xml:space="preserve"> step. Best after B.</w:t>
            </w:r>
          </w:p>
        </w:tc>
      </w:tr>
      <w:tr>
        <w:tc>
          <w:tcPr>
            <w:tcW w:type="dxa" w:w="2808"/>
            <w:tcMar>
              <w:top w:type="dxa" w:w="60"/>
              <w:left w:type="dxa" w:w="100"/>
              <w:bottom w:type="dxa" w:w="60"/>
              <w:right w:type="dxa" w:w="100"/>
            </w:tcMar>
          </w:tcPr>
          <w:p>
            <w:pPr>
              <w:spacing w:after="20" w:before="20"/>
            </w:pPr>
            <w:r>
              <w:rPr>
                <w:b/>
                <w:bCs/>
                <w:sz w:val="18"/>
                <w:szCs w:val="18"/>
              </w:rPr>
              <w:t xml:space="preserve">D. Acquire licensed outpatient</w:t>
            </w:r>
          </w:p>
        </w:tc>
        <w:tc>
          <w:tcPr>
            <w:tcW w:type="dxa" w:w="2184"/>
            <w:tcMar>
              <w:top w:type="dxa" w:w="60"/>
              <w:left w:type="dxa" w:w="100"/>
              <w:bottom w:type="dxa" w:w="60"/>
              <w:right w:type="dxa" w:w="100"/>
            </w:tcMar>
          </w:tcPr>
          <w:p>
            <w:pPr>
              <w:spacing w:after="20" w:before="20"/>
            </w:pPr>
            <w:r>
              <w:rPr>
                <w:sz w:val="18"/>
                <w:szCs w:val="18"/>
              </w:rPr>
              <w:t xml:space="preserve">Purchase + $150–300K</w:t>
            </w:r>
          </w:p>
        </w:tc>
        <w:tc>
          <w:tcPr>
            <w:tcW w:type="dxa" w:w="2184"/>
            <w:tcMar>
              <w:top w:type="dxa" w:w="60"/>
              <w:left w:type="dxa" w:w="100"/>
              <w:bottom w:type="dxa" w:w="60"/>
              <w:right w:type="dxa" w:w="100"/>
            </w:tcMar>
          </w:tcPr>
          <w:p>
            <w:pPr>
              <w:spacing w:after="20" w:before="20"/>
            </w:pPr>
            <w:r>
              <w:rPr>
                <w:sz w:val="18"/>
                <w:szCs w:val="18"/>
              </w:rPr>
              <w:t xml:space="preserve">Plant, staff, census, accreditation, history — </w:t>
            </w:r>
            <w:r>
              <w:rPr>
                <w:b/>
                <w:bCs/>
                <w:sz w:val="18"/>
                <w:szCs w:val="18"/>
              </w:rPr>
              <w:t xml:space="preserve">not</w:t>
            </w:r>
            <w:r>
              <w:rPr>
                <w:sz w:val="18"/>
                <w:szCs w:val="18"/>
              </w:rPr>
              <w:t xml:space="preserve"> the license</w:t>
            </w:r>
          </w:p>
        </w:tc>
        <w:tc>
          <w:tcPr>
            <w:tcW w:type="dxa" w:w="2184"/>
            <w:tcMar>
              <w:top w:type="dxa" w:w="60"/>
              <w:left w:type="dxa" w:w="100"/>
              <w:bottom w:type="dxa" w:w="60"/>
              <w:right w:type="dxa" w:w="100"/>
            </w:tcMar>
          </w:tcPr>
          <w:p>
            <w:pPr>
              <w:spacing w:after="20" w:before="20"/>
            </w:pPr>
            <w:r>
              <w:rPr>
                <w:sz w:val="18"/>
                <w:szCs w:val="18"/>
              </w:rPr>
              <w:t xml:space="preserve">Viable; rationale corrected; distressed targets largely barred from CHOW</w:t>
            </w:r>
          </w:p>
        </w:tc>
      </w:tr>
      <w:tr>
        <w:tc>
          <w:tcPr>
            <w:tcW w:type="dxa" w:w="2808"/>
            <w:tcMar>
              <w:top w:type="dxa" w:w="60"/>
              <w:left w:type="dxa" w:w="100"/>
              <w:bottom w:type="dxa" w:w="60"/>
              <w:right w:type="dxa" w:w="100"/>
            </w:tcMar>
          </w:tcPr>
          <w:p>
            <w:pPr>
              <w:spacing w:after="20" w:before="20"/>
            </w:pPr>
            <w:r>
              <w:rPr>
                <w:b/>
                <w:bCs/>
                <w:sz w:val="18"/>
                <w:szCs w:val="18"/>
              </w:rPr>
              <w:t xml:space="preserve">E. Recovery residences</w:t>
            </w:r>
          </w:p>
        </w:tc>
        <w:tc>
          <w:tcPr>
            <w:tcW w:type="dxa" w:w="2184"/>
            <w:tcMar>
              <w:top w:type="dxa" w:w="60"/>
              <w:left w:type="dxa" w:w="100"/>
              <w:bottom w:type="dxa" w:w="60"/>
              <w:right w:type="dxa" w:w="100"/>
            </w:tcMar>
          </w:tcPr>
          <w:p>
            <w:pPr>
              <w:spacing w:after="20" w:before="20"/>
            </w:pPr>
            <w:r>
              <w:rPr>
                <w:sz w:val="18"/>
                <w:szCs w:val="18"/>
              </w:rPr>
              <w:t xml:space="preserve">$50–85K/house</w:t>
            </w:r>
          </w:p>
        </w:tc>
        <w:tc>
          <w:tcPr>
            <w:tcW w:type="dxa" w:w="2184"/>
            <w:tcMar>
              <w:top w:type="dxa" w:w="60"/>
              <w:left w:type="dxa" w:w="100"/>
              <w:bottom w:type="dxa" w:w="60"/>
              <w:right w:type="dxa" w:w="100"/>
            </w:tcMar>
          </w:tcPr>
          <w:p>
            <w:pPr>
              <w:spacing w:after="20" w:before="20"/>
            </w:pPr>
            <w:r>
              <w:rPr>
                <w:sz w:val="18"/>
                <w:szCs w:val="18"/>
              </w:rPr>
              <w:t xml:space="preserve">Cash flow, referral web, Regroup in production</w:t>
            </w:r>
          </w:p>
        </w:tc>
        <w:tc>
          <w:tcPr>
            <w:tcW w:type="dxa" w:w="2184"/>
            <w:tcMar>
              <w:top w:type="dxa" w:w="60"/>
              <w:left w:type="dxa" w:w="100"/>
              <w:bottom w:type="dxa" w:w="60"/>
              <w:right w:type="dxa" w:w="100"/>
            </w:tcMar>
          </w:tcPr>
          <w:p>
            <w:pPr>
              <w:spacing w:after="20" w:before="20"/>
            </w:pPr>
            <w:r>
              <w:rPr>
                <w:sz w:val="18"/>
                <w:szCs w:val="18"/>
              </w:rPr>
              <w:t xml:space="preserve">Fine as a </w:t>
            </w:r>
            <w:r>
              <w:rPr>
                <w:b/>
                <w:bCs/>
                <w:sz w:val="18"/>
                <w:szCs w:val="18"/>
              </w:rPr>
              <w:t xml:space="preserve">side activity under separate ownership</w:t>
            </w:r>
            <w:r>
              <w:rPr>
                <w:sz w:val="18"/>
                <w:szCs w:val="18"/>
              </w:rPr>
              <w:t xml:space="preserve">, papered for EKRA. Not a stage.</w:t>
            </w:r>
          </w:p>
        </w:tc>
      </w:tr>
      <w:tr>
        <w:tc>
          <w:tcPr>
            <w:tcW w:type="dxa" w:w="2808"/>
            <w:tcMar>
              <w:top w:type="dxa" w:w="60"/>
              <w:left w:type="dxa" w:w="100"/>
              <w:bottom w:type="dxa" w:w="60"/>
              <w:right w:type="dxa" w:w="100"/>
            </w:tcMar>
          </w:tcPr>
          <w:p>
            <w:pPr>
              <w:spacing w:after="20" w:before="20"/>
            </w:pPr>
            <w:r>
              <w:rPr>
                <w:b/>
                <w:bCs/>
                <w:sz w:val="18"/>
                <w:szCs w:val="18"/>
              </w:rPr>
              <w:t xml:space="preserve">F. Residential first</w:t>
            </w:r>
          </w:p>
        </w:tc>
        <w:tc>
          <w:tcPr>
            <w:tcW w:type="dxa" w:w="2184"/>
            <w:tcMar>
              <w:top w:type="dxa" w:w="60"/>
              <w:left w:type="dxa" w:w="100"/>
              <w:bottom w:type="dxa" w:w="60"/>
              <w:right w:type="dxa" w:w="100"/>
            </w:tcMar>
          </w:tcPr>
          <w:p>
            <w:pPr>
              <w:spacing w:after="20" w:before="20"/>
            </w:pPr>
            <w:r>
              <w:rPr>
                <w:sz w:val="18"/>
                <w:szCs w:val="18"/>
              </w:rPr>
              <w:t xml:space="preserve">$900K–2.0M</w:t>
            </w:r>
          </w:p>
        </w:tc>
        <w:tc>
          <w:tcPr>
            <w:tcW w:type="dxa" w:w="2184"/>
            <w:tcMar>
              <w:top w:type="dxa" w:w="60"/>
              <w:left w:type="dxa" w:w="100"/>
              <w:bottom w:type="dxa" w:w="60"/>
              <w:right w:type="dxa" w:w="100"/>
            </w:tcMar>
          </w:tcPr>
          <w:p>
            <w:pPr>
              <w:spacing w:after="20" w:before="20"/>
            </w:pPr>
            <w:r>
              <w:rPr>
                <w:sz w:val="18"/>
                <w:szCs w:val="18"/>
              </w:rPr>
              <w:t xml:space="preserve">—</w:t>
            </w:r>
          </w:p>
        </w:tc>
        <w:tc>
          <w:tcPr>
            <w:tcW w:type="dxa" w:w="2184"/>
            <w:tcMar>
              <w:top w:type="dxa" w:w="60"/>
              <w:left w:type="dxa" w:w="100"/>
              <w:bottom w:type="dxa" w:w="60"/>
              <w:right w:type="dxa" w:w="100"/>
            </w:tcMar>
          </w:tcPr>
          <w:p>
            <w:pPr>
              <w:spacing w:after="20" w:before="20"/>
            </w:pPr>
            <w:r>
              <w:rPr>
                <w:b/>
                <w:bCs/>
                <w:sz w:val="18"/>
                <w:szCs w:val="18"/>
              </w:rPr>
              <w:t xml:space="preserve">Do not.</w:t>
            </w:r>
          </w:p>
        </w:tc>
      </w:tr>
    </w:tbl>
    <w:p>
      <w:pPr>
        <w:spacing w:after="160"/>
      </w:pPr>
      <w:r>
        <w:t xml:space="preserve"/>
      </w:r>
    </w:p>
    <w:p>
      <w:pPr>
        <w:spacing w:after="140" w:line="276"/>
        <w:jc w:val="left"/>
      </w:pPr>
      <w:r>
        <w:rPr>
          <w:b/>
          <w:bCs/>
          <w:sz w:val="21"/>
          <w:szCs w:val="21"/>
        </w:rPr>
        <w:t xml:space="preserve">Recommended sequence: B → C → residential</w:t>
      </w:r>
      <w:r>
        <w:rPr>
          <w:sz w:val="21"/>
          <w:szCs w:val="21"/>
        </w:rPr>
        <w:t xml:space="preserve">, with E optional alongside under genuinely separate ownership and EKRA structuring in place before the second entity exists.</w:t>
      </w:r>
    </w:p>
    <w:p>
      <w:pPr>
        <w:spacing w:after="140" w:line="276"/>
        <w:jc w:val="left"/>
      </w:pPr>
      <w:r>
        <w:rPr>
          <w:b/>
          <w:bCs/>
          <w:sz w:val="21"/>
          <w:szCs w:val="21"/>
        </w:rPr>
        <w:t xml:space="preserve">The benchmark this must clear.</w:t>
      </w:r>
      <w:r>
        <w:rPr>
          <w:sz w:val="21"/>
          <w:szCs w:val="21"/>
        </w:rPr>
        <w:t xml:space="preserve"> Your prior corporate-engineer compensation is recorded at </w:t>
      </w:r>
      <w:r>
        <w:rPr>
          <w:b/>
          <w:bCs/>
          <w:sz w:val="21"/>
          <w:szCs w:val="21"/>
        </w:rPr>
        <w:t xml:space="preserve">~$145K</w:t>
      </w:r>
      <w:r>
        <w:rPr>
          <w:sz w:val="21"/>
          <w:szCs w:val="21"/>
        </w:rPr>
        <w:t xml:space="preserve"> in the sibling analysis. Against that: Stage E is $18–210K/yr across 3–5 houses; a stabilized IOP is ~$95–155K EBITDA. </w:t>
      </w:r>
      <w:r>
        <w:rPr>
          <w:b/>
          <w:bCs/>
          <w:sz w:val="21"/>
          <w:szCs w:val="21"/>
        </w:rPr>
        <w:t xml:space="preserve">The owned path spends 12–36 months and six figures of capital to arrive at roughly the income you already have, with capital at risk and criminal-regulatory exposure added.</w:t>
      </w:r>
      <w:r>
        <w:rPr>
          <w:sz w:val="21"/>
          <w:szCs w:val="21"/>
        </w:rPr>
        <w:t xml:space="preserve"> The ceiling above that is real — a stabilized 3.5 residential program at ~$2.1M revenue and 20–30% margin is $400–640K EBITDA — but it is Stage 3, not Stage 1.</w:t>
      </w:r>
    </w:p>
    <w:p>
      <w:pPr>
        <w:pBdr>
          <w:bottom w:val="single" w:color="BFBFBF" w:sz="6" w:space="6"/>
        </w:pBdr>
        <w:spacing w:after="200" w:before="120"/>
      </w:pPr>
      <w:r>
        <w:t xml:space="preserve"/>
      </w:r>
    </w:p>
    <w:p>
      <w:pPr>
        <w:pStyle w:val="Heading2"/>
        <w:pBdr>
          <w:bottom w:val="single" w:color="1F3864" w:sz="4" w:space="4"/>
        </w:pBdr>
        <w:spacing w:after="140" w:before="320"/>
      </w:pPr>
      <w:r>
        <w:rPr>
          <w:b/>
          <w:bCs/>
          <w:color w:val="1F3864"/>
          <w:sz w:val="26"/>
          <w:szCs w:val="26"/>
        </w:rPr>
        <w:t xml:space="preserve">4. Non-negotiable architecture</w:t>
      </w:r>
    </w:p>
    <w:p>
      <w:pPr>
        <w:pStyle w:val="Heading3"/>
        <w:spacing w:after="100" w:before="240"/>
      </w:pPr>
      <w:r>
        <w:rPr>
          <w:b/>
          <w:bCs/>
          <w:color w:val="2E5496"/>
          <w:sz w:val="22"/>
          <w:szCs w:val="22"/>
        </w:rPr>
        <w:t xml:space="preserve">4.1 You are not a clinician</w:t>
      </w:r>
    </w:p>
    <w:p>
      <w:pPr>
        <w:spacing w:after="140" w:line="276"/>
        <w:jc w:val="left"/>
      </w:pPr>
      <w:r>
        <w:rPr>
          <w:sz w:val="21"/>
          <w:szCs w:val="21"/>
        </w:rPr>
        <w:t xml:space="preserve">A Louisiana BHSP license is </w:t>
      </w:r>
      <w:r>
        <w:rPr>
          <w:b/>
          <w:bCs/>
          <w:sz w:val="21"/>
          <w:szCs w:val="21"/>
        </w:rPr>
        <w:t xml:space="preserve">institutional</w:t>
      </w:r>
      <w:r>
        <w:rPr>
          <w:sz w:val="21"/>
          <w:szCs w:val="21"/>
        </w:rPr>
        <w:t xml:space="preserve"> (held by the entity), so non-clinician ownership is legal and common — unlike a dental or medical practice, where the license is personal. You must install a </w:t>
      </w:r>
      <w:r>
        <w:rPr>
          <w:b/>
          <w:bCs/>
          <w:sz w:val="21"/>
          <w:szCs w:val="21"/>
        </w:rPr>
        <w:t xml:space="preserve">Medical Director</w:t>
      </w:r>
      <w:r>
        <w:rPr>
          <w:sz w:val="21"/>
          <w:szCs w:val="21"/>
        </w:rPr>
        <w:t xml:space="preserve"> (physician, typically part-time stipend) and a </w:t>
      </w:r>
      <w:r>
        <w:rPr>
          <w:b/>
          <w:bCs/>
          <w:sz w:val="21"/>
          <w:szCs w:val="21"/>
        </w:rPr>
        <w:t xml:space="preserve">Clinical Director</w:t>
      </w:r>
      <w:r>
        <w:rPr>
          <w:sz w:val="21"/>
          <w:szCs w:val="21"/>
        </w:rPr>
        <w:t xml:space="preserve"> (independently-licensed LMHP). For SUD, Louisiana requires an identified </w:t>
      </w:r>
      <w:r>
        <w:rPr>
          <w:b/>
          <w:bCs/>
          <w:sz w:val="21"/>
          <w:szCs w:val="21"/>
        </w:rPr>
        <w:t xml:space="preserve">Addictionologist</w:t>
      </w:r>
      <w:r>
        <w:rPr>
          <w:sz w:val="21"/>
          <w:szCs w:val="21"/>
        </w:rPr>
        <w:t xml:space="preserve"> (§5693) and sufficient independently-licensed LMHPs </w:t>
      </w:r>
      <w:r>
        <w:rPr>
          <w:rFonts w:ascii="Consolas" w:cs="Consolas" w:eastAsia="Consolas" w:hAnsi="Consolas"/>
          <w:sz w:val="19"/>
          <w:szCs w:val="19"/>
        </w:rPr>
        <w:t xml:space="preserve">[LAC]</w:t>
      </w:r>
      <w:r>
        <w:rPr>
          <w:sz w:val="21"/>
          <w:szCs w:val="21"/>
        </w:rPr>
        <w:t xml:space="preserve">. </w:t>
      </w:r>
      <w:r>
        <w:rPr>
          <w:b/>
          <w:bCs/>
          <w:sz w:val="21"/>
          <w:szCs w:val="21"/>
        </w:rPr>
        <w:t xml:space="preserve">The Clinical Director is your single most important hire.</w:t>
      </w:r>
    </w:p>
    <w:p>
      <w:pPr>
        <w:pStyle w:val="Heading3"/>
        <w:spacing w:after="100" w:before="240"/>
      </w:pPr>
      <w:r>
        <w:rPr>
          <w:b/>
          <w:bCs/>
          <w:color w:val="2E5496"/>
          <w:sz w:val="22"/>
          <w:szCs w:val="22"/>
        </w:rPr>
        <w:t xml:space="preserve">4.2 EKRA</w:t>
      </w:r>
    </w:p>
    <w:p>
      <w:pPr>
        <w:spacing w:after="140" w:line="276"/>
        <w:jc w:val="left"/>
      </w:pPr>
      <w:r>
        <w:rPr>
          <w:rFonts w:ascii="Consolas" w:cs="Consolas" w:eastAsia="Consolas" w:hAnsi="Consolas"/>
          <w:sz w:val="19"/>
          <w:szCs w:val="19"/>
        </w:rPr>
        <w:t xml:space="preserve">[18 U.S.C. § 220]</w:t>
      </w:r>
      <w:r>
        <w:rPr>
          <w:sz w:val="21"/>
          <w:szCs w:val="21"/>
        </w:rPr>
        <w:t xml:space="preserve"> — "shall be fined not more than </w:t>
      </w:r>
      <w:r>
        <w:rPr>
          <w:b/>
          <w:bCs/>
          <w:sz w:val="21"/>
          <w:szCs w:val="21"/>
        </w:rPr>
        <w:t xml:space="preserve">$200,000</w:t>
      </w:r>
      <w:r>
        <w:rPr>
          <w:sz w:val="21"/>
          <w:szCs w:val="21"/>
        </w:rPr>
        <w:t xml:space="preserve">, imprisoned not more than </w:t>
      </w:r>
      <w:r>
        <w:rPr>
          <w:b/>
          <w:bCs/>
          <w:sz w:val="21"/>
          <w:szCs w:val="21"/>
        </w:rPr>
        <w:t xml:space="preserve">10 years</w:t>
      </w:r>
      <w:r>
        <w:rPr>
          <w:sz w:val="21"/>
          <w:szCs w:val="21"/>
        </w:rPr>
        <w:t xml:space="preserve">, or both, </w:t>
      </w:r>
      <w:r>
        <w:rPr>
          <w:b/>
          <w:bCs/>
          <w:sz w:val="21"/>
          <w:szCs w:val="21"/>
        </w:rPr>
        <w:t xml:space="preserve">for each occurrence</w:t>
      </w:r>
      <w:r>
        <w:rPr>
          <w:sz w:val="21"/>
          <w:szCs w:val="21"/>
        </w:rPr>
        <w:t xml:space="preserve">." Covers recovery homes, clinical treatment facilities, and laboratories, and is not limited to federal programs.</w:t>
      </w:r>
    </w:p>
    <w:p>
      <w:pPr>
        <w:spacing w:after="140" w:line="276"/>
        <w:jc w:val="left"/>
      </w:pPr>
      <w:r>
        <w:rPr>
          <w:i/>
          <w:iCs/>
          <w:sz w:val="21"/>
          <w:szCs w:val="21"/>
        </w:rPr>
        <w:t xml:space="preserve">United States v. Schena</w:t>
      </w:r>
      <w:r>
        <w:rPr>
          <w:sz w:val="21"/>
          <w:szCs w:val="21"/>
        </w:rPr>
        <w:t xml:space="preserve"> (9th Cir. 2025): </w:t>
      </w:r>
      <w:r>
        <w:rPr>
          <w:b/>
          <w:bCs/>
          <w:sz w:val="21"/>
          <w:szCs w:val="21"/>
        </w:rPr>
        <w:t xml:space="preserve">the court affirmed the EKRA conviction.</w:t>
      </w:r>
      <w:r>
        <w:rPr>
          <w:sz w:val="21"/>
          <w:szCs w:val="21"/>
        </w:rPr>
        <w:t xml:space="preserve"> Its narrow holding is that percentage-based compensation is not </w:t>
      </w:r>
      <w:r>
        <w:rPr>
          <w:i/>
          <w:iCs/>
          <w:sz w:val="21"/>
          <w:szCs w:val="21"/>
        </w:rPr>
        <w:t xml:space="preserve">per se</w:t>
      </w:r>
      <w:r>
        <w:rPr>
          <w:sz w:val="21"/>
          <w:szCs w:val="21"/>
        </w:rPr>
        <w:t xml:space="preserve"> unlawful absent undue influence over the flow of referrals. Read it as a conviction affirmed with a narrow carve-out — not as reassuring. It binds only the Ninth Circuit.</w:t>
      </w:r>
    </w:p>
    <w:p>
      <w:pPr>
        <w:spacing w:after="140" w:line="276"/>
        <w:jc w:val="left"/>
      </w:pPr>
      <w:r>
        <w:rPr>
          <w:b/>
          <w:bCs/>
          <w:sz w:val="21"/>
          <w:szCs w:val="21"/>
        </w:rPr>
        <w:t xml:space="preserve">Build in from day one:</w:t>
      </w:r>
      <w:r>
        <w:rPr>
          <w:sz w:val="21"/>
          <w:szCs w:val="21"/>
        </w:rPr>
        <w:t xml:space="preserve"> no admissions, marketing, or outreach compensation varying with headcount, census, or revenue — </w:t>
      </w:r>
      <w:r>
        <w:rPr>
          <w:b/>
          <w:bCs/>
          <w:sz w:val="21"/>
          <w:szCs w:val="21"/>
        </w:rPr>
        <w:t xml:space="preserve">salary only</w:t>
      </w:r>
      <w:r>
        <w:rPr>
          <w:sz w:val="21"/>
          <w:szCs w:val="21"/>
        </w:rPr>
        <w:t xml:space="preserve">, with contemporaneous documentation. </w:t>
      </w:r>
      <w:r>
        <w:rPr>
          <w:b/>
          <w:bCs/>
          <w:sz w:val="21"/>
          <w:szCs w:val="21"/>
        </w:rPr>
        <w:t xml:space="preserve">42 CFR Part 2</w:t>
      </w:r>
      <w:r>
        <w:rPr>
          <w:sz w:val="21"/>
          <w:szCs w:val="21"/>
        </w:rPr>
        <w:t xml:space="preserve"> governs SUD records more strictly than HIPAA and reaches your software.</w:t>
      </w:r>
    </w:p>
    <w:p>
      <w:pPr>
        <w:pStyle w:val="Heading3"/>
        <w:spacing w:after="100" w:before="240"/>
      </w:pPr>
      <w:r>
        <w:rPr>
          <w:b/>
          <w:bCs/>
          <w:color w:val="2E5496"/>
          <w:sz w:val="22"/>
          <w:szCs w:val="22"/>
        </w:rPr>
        <w:t xml:space="preserve">4.3 Insurance — availability is the gate, not price</w:t>
      </w:r>
    </w:p>
    <w:p>
      <w:pPr>
        <w:spacing w:after="140" w:line="276"/>
        <w:jc w:val="left"/>
      </w:pPr>
      <w:r>
        <w:rPr>
          <w:sz w:val="21"/>
          <w:szCs w:val="21"/>
        </w:rPr>
        <w:t xml:space="preserve">Break out and quote early: </w:t>
      </w:r>
      <w:r>
        <w:rPr>
          <w:b/>
          <w:bCs/>
          <w:sz w:val="21"/>
          <w:szCs w:val="21"/>
        </w:rPr>
        <w:t xml:space="preserve">professional liability</w:t>
      </w:r>
      <w:r>
        <w:rPr>
          <w:sz w:val="21"/>
          <w:szCs w:val="21"/>
        </w:rPr>
        <w:t xml:space="preserve">, general liability, </w:t>
      </w:r>
      <w:r>
        <w:rPr>
          <w:b/>
          <w:bCs/>
          <w:sz w:val="21"/>
          <w:szCs w:val="21"/>
        </w:rPr>
        <w:t xml:space="preserve">abuse/molestation</w:t>
      </w:r>
      <w:r>
        <w:rPr>
          <w:sz w:val="21"/>
          <w:szCs w:val="21"/>
        </w:rPr>
        <w:t xml:space="preserve"> (frequently sublimited or excluded in behavioral health), D&amp;O, and </w:t>
      </w:r>
      <w:r>
        <w:rPr>
          <w:b/>
          <w:bCs/>
          <w:sz w:val="21"/>
          <w:szCs w:val="21"/>
        </w:rPr>
        <w:t xml:space="preserve">cyber / Part 2 breach</w:t>
      </w:r>
      <w:r>
        <w:rPr>
          <w:sz w:val="21"/>
          <w:szCs w:val="21"/>
        </w:rPr>
        <w:t xml:space="preserve">. Carriers underwrite on operator experience, level of care, and claims history; residential and withdrawal management are materially harder and dearer than outpatient. </w:t>
      </w:r>
      <w:r>
        <w:rPr>
          <w:b/>
          <w:bCs/>
          <w:sz w:val="21"/>
          <w:szCs w:val="21"/>
        </w:rPr>
        <w:t xml:space="preserve">A declination is a stop signal</w:t>
      </w:r>
      <w:r>
        <w:rPr>
          <w:sz w:val="21"/>
          <w:szCs w:val="21"/>
        </w:rPr>
        <w:t xml:space="preserve">, and operating history is an underwriting input — another argument for Option B.</w:t>
      </w:r>
    </w:p>
    <w:p>
      <w:pPr>
        <w:pStyle w:val="Heading3"/>
        <w:spacing w:after="100" w:before="240"/>
      </w:pPr>
      <w:r>
        <w:rPr>
          <w:b/>
          <w:bCs/>
          <w:color w:val="2E5496"/>
          <w:sz w:val="22"/>
          <w:szCs w:val="22"/>
        </w:rPr>
        <w:t xml:space="preserve">4.4 Wind-down and continuity of care</w:t>
      </w:r>
    </w:p>
    <w:p>
      <w:pPr>
        <w:spacing w:after="140" w:line="276"/>
        <w:jc w:val="left"/>
      </w:pPr>
      <w:r>
        <w:rPr>
          <w:sz w:val="21"/>
          <w:szCs w:val="21"/>
        </w:rPr>
        <w:t xml:space="preserve">Absent from revision 2 entirely, in a sector with accelerating closures. </w:t>
      </w:r>
      <w:r>
        <w:rPr>
          <w:rFonts w:ascii="Consolas" w:cs="Consolas" w:eastAsia="Consolas" w:hAnsi="Consolas"/>
          <w:sz w:val="19"/>
          <w:szCs w:val="19"/>
        </w:rPr>
        <w:t xml:space="preserve">[LAC Ch.56]</w:t>
      </w:r>
      <w:r>
        <w:rPr>
          <w:sz w:val="21"/>
          <w:szCs w:val="21"/>
        </w:rPr>
        <w:t xml:space="preserve">: a license "shall be immediately null and void if a BHS provider ceases to operate," and "during the period of inactivation, the department prohibits CHOW" — </w:t>
      </w:r>
      <w:r>
        <w:rPr>
          <w:b/>
          <w:bCs/>
          <w:sz w:val="21"/>
          <w:szCs w:val="21"/>
        </w:rPr>
        <w:t xml:space="preserve">an operator in trouble cannot simply sell out of it.</w:t>
      </w:r>
      <w:r>
        <w:rPr>
          <w:sz w:val="21"/>
          <w:szCs w:val="21"/>
        </w:rPr>
        <w:t xml:space="preserve"> Clinical staff carry individual licensure duties that survive the LLC's cash.</w:t>
      </w:r>
    </w:p>
    <w:p>
      <w:pPr>
        <w:spacing w:after="140" w:line="276"/>
        <w:jc w:val="left"/>
      </w:pPr>
      <w:r>
        <w:rPr>
          <w:sz w:val="21"/>
          <w:szCs w:val="21"/>
        </w:rPr>
        <w:t xml:space="preserve">Gate each stage on: transfer agreements with at least two competitor programs; a ring-fenced closure reserve covering 30–60 days of care continuity; a named clinical lead accountable for orderly transfer.</w:t>
      </w:r>
    </w:p>
    <w:p>
      <w:pPr>
        <w:pBdr>
          <w:bottom w:val="single" w:color="BFBFBF" w:sz="6" w:space="6"/>
        </w:pBdr>
        <w:spacing w:after="200" w:before="120"/>
      </w:pPr>
      <w:r>
        <w:t xml:space="preserve"/>
      </w:r>
    </w:p>
    <w:p>
      <w:pPr>
        <w:pStyle w:val="Heading2"/>
        <w:pBdr>
          <w:bottom w:val="single" w:color="1F3864" w:sz="4" w:space="4"/>
        </w:pBdr>
        <w:spacing w:after="140" w:before="320"/>
      </w:pPr>
      <w:r>
        <w:rPr>
          <w:b/>
          <w:bCs/>
          <w:color w:val="1F3864"/>
          <w:sz w:val="26"/>
          <w:szCs w:val="26"/>
        </w:rPr>
        <w:t xml:space="preserve">5.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872"/>
        <w:gridCol w:w="4306"/>
      </w:tblGrid>
      <w:tr>
        <w:trPr>
          <w:tblHeader/>
        </w:trPr>
        <w:tc>
          <w:tcPr>
            <w:tcW w:type="dxa" w:w="3182"/>
            <w:shd w:fill="E7E6E6" w:color="auto" w:val="clear"/>
            <w:tcMar>
              <w:top w:type="dxa" w:w="60"/>
              <w:left w:type="dxa" w:w="100"/>
              <w:bottom w:type="dxa" w:w="60"/>
              <w:right w:type="dxa" w:w="100"/>
            </w:tcMar>
          </w:tcPr>
          <w:p>
            <w:pPr>
              <w:spacing w:after="20" w:before="20"/>
            </w:pPr>
            <w:r>
              <w:rPr>
                <w:b/>
                <w:bCs/>
                <w:sz w:val="18"/>
                <w:szCs w:val="18"/>
              </w:rPr>
              <w:t xml:space="preserve">Risk</w:t>
            </w:r>
          </w:p>
        </w:tc>
        <w:tc>
          <w:tcPr>
            <w:tcW w:type="dxa" w:w="1872"/>
            <w:shd w:fill="E7E6E6" w:color="auto" w:val="clear"/>
            <w:tcMar>
              <w:top w:type="dxa" w:w="60"/>
              <w:left w:type="dxa" w:w="100"/>
              <w:bottom w:type="dxa" w:w="60"/>
              <w:right w:type="dxa" w:w="100"/>
            </w:tcMar>
          </w:tcPr>
          <w:p>
            <w:pPr>
              <w:spacing w:after="20" w:before="20"/>
            </w:pPr>
            <w:r>
              <w:rPr>
                <w:b/>
                <w:bCs/>
                <w:sz w:val="18"/>
                <w:szCs w:val="18"/>
              </w:rPr>
              <w:t xml:space="preserve">Severity</w:t>
            </w:r>
          </w:p>
        </w:tc>
        <w:tc>
          <w:tcPr>
            <w:tcW w:type="dxa" w:w="4306"/>
            <w:shd w:fill="E7E6E6" w:color="auto" w:val="clear"/>
            <w:tcMar>
              <w:top w:type="dxa" w:w="60"/>
              <w:left w:type="dxa" w:w="100"/>
              <w:bottom w:type="dxa" w:w="60"/>
              <w:right w:type="dxa" w:w="100"/>
            </w:tcMar>
          </w:tcPr>
          <w:p>
            <w:pPr>
              <w:spacing w:after="20" w:before="20"/>
            </w:pPr>
            <w:r>
              <w:rPr>
                <w:b/>
                <w:bCs/>
                <w:sz w:val="18"/>
                <w:szCs w:val="18"/>
              </w:rPr>
              <w:t xml:space="preserve">Note</w:t>
            </w:r>
          </w:p>
        </w:tc>
      </w:tr>
      <w:tr>
        <w:tc>
          <w:tcPr>
            <w:tcW w:type="dxa" w:w="3182"/>
            <w:tcMar>
              <w:top w:type="dxa" w:w="60"/>
              <w:left w:type="dxa" w:w="100"/>
              <w:bottom w:type="dxa" w:w="60"/>
              <w:right w:type="dxa" w:w="100"/>
            </w:tcMar>
          </w:tcPr>
          <w:p>
            <w:pPr>
              <w:spacing w:after="20" w:before="20"/>
            </w:pPr>
            <w:r>
              <w:rPr>
                <w:sz w:val="18"/>
                <w:szCs w:val="18"/>
              </w:rPr>
              <w:t xml:space="preserve">Underfunding the pre-revenue window</w:t>
            </w:r>
          </w:p>
        </w:tc>
        <w:tc>
          <w:tcPr>
            <w:tcW w:type="dxa" w:w="1872"/>
            <w:tcMar>
              <w:top w:type="dxa" w:w="60"/>
              <w:left w:type="dxa" w:w="100"/>
              <w:bottom w:type="dxa" w:w="60"/>
              <w:right w:type="dxa" w:w="100"/>
            </w:tcMar>
          </w:tcPr>
          <w:p>
            <w:pPr>
              <w:spacing w:after="20" w:before="20"/>
            </w:pPr>
            <w:r>
              <w:rPr>
                <w:b/>
                <w:bCs/>
                <w:sz w:val="18"/>
                <w:szCs w:val="18"/>
              </w:rPr>
              <w:t xml:space="preserve">Critical</w:t>
            </w:r>
          </w:p>
        </w:tc>
        <w:tc>
          <w:tcPr>
            <w:tcW w:type="dxa" w:w="4306"/>
            <w:tcMar>
              <w:top w:type="dxa" w:w="60"/>
              <w:left w:type="dxa" w:w="100"/>
              <w:bottom w:type="dxa" w:w="60"/>
              <w:right w:type="dxa" w:w="100"/>
            </w:tcMar>
          </w:tcPr>
          <w:p>
            <w:pPr>
              <w:spacing w:after="20" w:before="20"/>
            </w:pPr>
            <w:r>
              <w:rPr>
                <w:sz w:val="18"/>
                <w:szCs w:val="18"/>
              </w:rPr>
              <w:t xml:space="preserve">$250–400K of the IOP model alone</w:t>
            </w:r>
          </w:p>
        </w:tc>
      </w:tr>
      <w:tr>
        <w:tc>
          <w:tcPr>
            <w:tcW w:type="dxa" w:w="3182"/>
            <w:tcMar>
              <w:top w:type="dxa" w:w="60"/>
              <w:left w:type="dxa" w:w="100"/>
              <w:bottom w:type="dxa" w:w="60"/>
              <w:right w:type="dxa" w:w="100"/>
            </w:tcMar>
          </w:tcPr>
          <w:p>
            <w:pPr>
              <w:spacing w:after="20" w:before="20"/>
            </w:pPr>
            <w:r>
              <w:rPr>
                <w:sz w:val="18"/>
                <w:szCs w:val="18"/>
              </w:rPr>
              <w:t xml:space="preserve">EKRA exposure from an owned sober-living→treatment continuum</w:t>
            </w:r>
          </w:p>
        </w:tc>
        <w:tc>
          <w:tcPr>
            <w:tcW w:type="dxa" w:w="1872"/>
            <w:tcMar>
              <w:top w:type="dxa" w:w="60"/>
              <w:left w:type="dxa" w:w="100"/>
              <w:bottom w:type="dxa" w:w="60"/>
              <w:right w:type="dxa" w:w="100"/>
            </w:tcMar>
          </w:tcPr>
          <w:p>
            <w:pPr>
              <w:spacing w:after="20" w:before="20"/>
            </w:pPr>
            <w:r>
              <w:rPr>
                <w:b/>
                <w:bCs/>
                <w:sz w:val="18"/>
                <w:szCs w:val="18"/>
              </w:rPr>
              <w:t xml:space="preserve">Critical</w:t>
            </w:r>
          </w:p>
        </w:tc>
        <w:tc>
          <w:tcPr>
            <w:tcW w:type="dxa" w:w="4306"/>
            <w:tcMar>
              <w:top w:type="dxa" w:w="60"/>
              <w:left w:type="dxa" w:w="100"/>
              <w:bottom w:type="dxa" w:w="60"/>
              <w:right w:type="dxa" w:w="100"/>
            </w:tcMar>
          </w:tcPr>
          <w:p>
            <w:pPr>
              <w:spacing w:after="20" w:before="20"/>
            </w:pPr>
            <w:r>
              <w:rPr>
                <w:sz w:val="18"/>
                <w:szCs w:val="18"/>
              </w:rPr>
              <w:t xml:space="preserve">$200K/10yr per occurrence; avoid by sequencing, not just papering</w:t>
            </w:r>
          </w:p>
        </w:tc>
      </w:tr>
      <w:tr>
        <w:tc>
          <w:tcPr>
            <w:tcW w:type="dxa" w:w="3182"/>
            <w:tcMar>
              <w:top w:type="dxa" w:w="60"/>
              <w:left w:type="dxa" w:w="100"/>
              <w:bottom w:type="dxa" w:w="60"/>
              <w:right w:type="dxa" w:w="100"/>
            </w:tcMar>
          </w:tcPr>
          <w:p>
            <w:pPr>
              <w:spacing w:after="20" w:before="20"/>
            </w:pPr>
            <w:r>
              <w:rPr>
                <w:sz w:val="18"/>
                <w:szCs w:val="18"/>
              </w:rPr>
              <w:t xml:space="preserve">CHOW: license does not transfer; distressed sellers barred from CHOW</w:t>
            </w:r>
          </w:p>
        </w:tc>
        <w:tc>
          <w:tcPr>
            <w:tcW w:type="dxa" w:w="1872"/>
            <w:tcMar>
              <w:top w:type="dxa" w:w="60"/>
              <w:left w:type="dxa" w:w="100"/>
              <w:bottom w:type="dxa" w:w="60"/>
              <w:right w:type="dxa" w:w="100"/>
            </w:tcMar>
          </w:tcPr>
          <w:p>
            <w:pPr>
              <w:spacing w:after="20" w:before="20"/>
            </w:pPr>
            <w:r>
              <w:rPr>
                <w:b/>
                <w:bCs/>
                <w:sz w:val="18"/>
                <w:szCs w:val="18"/>
              </w:rPr>
              <w:t xml:space="preserve">Critical</w:t>
            </w:r>
          </w:p>
        </w:tc>
        <w:tc>
          <w:tcPr>
            <w:tcW w:type="dxa" w:w="4306"/>
            <w:tcMar>
              <w:top w:type="dxa" w:w="60"/>
              <w:left w:type="dxa" w:w="100"/>
              <w:bottom w:type="dxa" w:w="60"/>
              <w:right w:type="dxa" w:w="100"/>
            </w:tcMar>
          </w:tcPr>
          <w:p>
            <w:pPr>
              <w:spacing w:after="20" w:before="20"/>
            </w:pPr>
            <w:r>
              <w:rPr>
                <w:sz w:val="18"/>
                <w:szCs w:val="18"/>
              </w:rPr>
              <w:t xml:space="preserve">Was "High" in rev 2 — it erases the rationale for 3 of 5 capital tiers</w:t>
            </w:r>
          </w:p>
        </w:tc>
      </w:tr>
      <w:tr>
        <w:tc>
          <w:tcPr>
            <w:tcW w:type="dxa" w:w="3182"/>
            <w:tcMar>
              <w:top w:type="dxa" w:w="60"/>
              <w:left w:type="dxa" w:w="100"/>
              <w:bottom w:type="dxa" w:w="60"/>
              <w:right w:type="dxa" w:w="100"/>
            </w:tcMar>
          </w:tcPr>
          <w:p>
            <w:pPr>
              <w:spacing w:after="20" w:before="20"/>
            </w:pPr>
            <w:r>
              <w:rPr>
                <w:sz w:val="18"/>
                <w:szCs w:val="18"/>
              </w:rPr>
              <w:t xml:space="preserve">Personal guarantee survives entity failure</w:t>
            </w:r>
          </w:p>
        </w:tc>
        <w:tc>
          <w:tcPr>
            <w:tcW w:type="dxa" w:w="1872"/>
            <w:tcMar>
              <w:top w:type="dxa" w:w="60"/>
              <w:left w:type="dxa" w:w="100"/>
              <w:bottom w:type="dxa" w:w="60"/>
              <w:right w:type="dxa" w:w="100"/>
            </w:tcMar>
          </w:tcPr>
          <w:p>
            <w:pPr>
              <w:spacing w:after="20" w:before="20"/>
            </w:pPr>
            <w:r>
              <w:rPr>
                <w:b/>
                <w:bCs/>
                <w:sz w:val="18"/>
                <w:szCs w:val="18"/>
              </w:rPr>
              <w:t xml:space="preserve">Critical</w:t>
            </w:r>
          </w:p>
        </w:tc>
        <w:tc>
          <w:tcPr>
            <w:tcW w:type="dxa" w:w="4306"/>
            <w:tcMar>
              <w:top w:type="dxa" w:w="60"/>
              <w:left w:type="dxa" w:w="100"/>
              <w:bottom w:type="dxa" w:w="60"/>
              <w:right w:type="dxa" w:w="100"/>
            </w:tcMar>
          </w:tcPr>
          <w:p>
            <w:pPr>
              <w:spacing w:after="20" w:before="20"/>
            </w:pPr>
            <w:r>
              <w:rPr>
                <w:sz w:val="18"/>
                <w:szCs w:val="18"/>
              </w:rPr>
              <w:t xml:space="preserve">$1–3M, commonly secured on home equity</w:t>
            </w:r>
          </w:p>
        </w:tc>
      </w:tr>
      <w:tr>
        <w:tc>
          <w:tcPr>
            <w:tcW w:type="dxa" w:w="3182"/>
            <w:tcMar>
              <w:top w:type="dxa" w:w="60"/>
              <w:left w:type="dxa" w:w="100"/>
              <w:bottom w:type="dxa" w:w="60"/>
              <w:right w:type="dxa" w:w="100"/>
            </w:tcMar>
          </w:tcPr>
          <w:p>
            <w:pPr>
              <w:spacing w:after="20" w:before="20"/>
            </w:pPr>
            <w:r>
              <w:rPr>
                <w:sz w:val="18"/>
                <w:szCs w:val="18"/>
              </w:rPr>
              <w:t xml:space="preserve">Residential R&amp;B is MCO-discretionary</w:t>
            </w:r>
          </w:p>
        </w:tc>
        <w:tc>
          <w:tcPr>
            <w:tcW w:type="dxa" w:w="1872"/>
            <w:tcMar>
              <w:top w:type="dxa" w:w="60"/>
              <w:left w:type="dxa" w:w="100"/>
              <w:bottom w:type="dxa" w:w="60"/>
              <w:right w:type="dxa" w:w="100"/>
            </w:tcMar>
          </w:tcPr>
          <w:p>
            <w:pPr>
              <w:spacing w:after="20" w:before="20"/>
            </w:pPr>
            <w:r>
              <w:rPr>
                <w:b/>
                <w:bCs/>
                <w:sz w:val="18"/>
                <w:szCs w:val="18"/>
              </w:rPr>
              <w:t xml:space="preserve">High</w:t>
            </w:r>
          </w:p>
        </w:tc>
        <w:tc>
          <w:tcPr>
            <w:tcW w:type="dxa" w:w="4306"/>
            <w:tcMar>
              <w:top w:type="dxa" w:w="60"/>
              <w:left w:type="dxa" w:w="100"/>
              <w:bottom w:type="dxa" w:w="60"/>
              <w:right w:type="dxa" w:w="100"/>
            </w:tcMar>
          </w:tcPr>
          <w:p>
            <w:pPr>
              <w:spacing w:after="20" w:before="20"/>
            </w:pPr>
            <w:r>
              <w:rPr>
                <w:sz w:val="18"/>
                <w:szCs w:val="18"/>
              </w:rPr>
              <w:t xml:space="preserve">Plan service-only; confirm per MCO</w:t>
            </w:r>
          </w:p>
        </w:tc>
      </w:tr>
      <w:tr>
        <w:tc>
          <w:tcPr>
            <w:tcW w:type="dxa" w:w="3182"/>
            <w:tcMar>
              <w:top w:type="dxa" w:w="60"/>
              <w:left w:type="dxa" w:w="100"/>
              <w:bottom w:type="dxa" w:w="60"/>
              <w:right w:type="dxa" w:w="100"/>
            </w:tcMar>
          </w:tcPr>
          <w:p>
            <w:pPr>
              <w:spacing w:after="20" w:before="20"/>
            </w:pPr>
            <w:r>
              <w:rPr>
                <w:sz w:val="18"/>
                <w:szCs w:val="18"/>
              </w:rPr>
              <w:t xml:space="preserve">Payer-authorized length of stay governs IOP revenue</w:t>
            </w:r>
          </w:p>
        </w:tc>
        <w:tc>
          <w:tcPr>
            <w:tcW w:type="dxa" w:w="1872"/>
            <w:tcMar>
              <w:top w:type="dxa" w:w="60"/>
              <w:left w:type="dxa" w:w="100"/>
              <w:bottom w:type="dxa" w:w="60"/>
              <w:right w:type="dxa" w:w="100"/>
            </w:tcMar>
          </w:tcPr>
          <w:p>
            <w:pPr>
              <w:spacing w:after="20" w:before="20"/>
            </w:pPr>
            <w:r>
              <w:rPr>
                <w:b/>
                <w:bCs/>
                <w:sz w:val="18"/>
                <w:szCs w:val="18"/>
              </w:rPr>
              <w:t xml:space="preserve">High</w:t>
            </w:r>
          </w:p>
        </w:tc>
        <w:tc>
          <w:tcPr>
            <w:tcW w:type="dxa" w:w="4306"/>
            <w:tcMar>
              <w:top w:type="dxa" w:w="60"/>
              <w:left w:type="dxa" w:w="100"/>
              <w:bottom w:type="dxa" w:w="60"/>
              <w:right w:type="dxa" w:w="100"/>
            </w:tcMar>
          </w:tcPr>
          <w:p>
            <w:pPr>
              <w:spacing w:after="20" w:before="20"/>
            </w:pPr>
            <w:r>
              <w:rPr>
                <w:sz w:val="18"/>
                <w:szCs w:val="18"/>
              </w:rPr>
              <w:t xml:space="preserve">Not under your control</w:t>
            </w:r>
          </w:p>
        </w:tc>
      </w:tr>
      <w:tr>
        <w:tc>
          <w:tcPr>
            <w:tcW w:type="dxa" w:w="3182"/>
            <w:tcMar>
              <w:top w:type="dxa" w:w="60"/>
              <w:left w:type="dxa" w:w="100"/>
              <w:bottom w:type="dxa" w:w="60"/>
              <w:right w:type="dxa" w:w="100"/>
            </w:tcMar>
          </w:tcPr>
          <w:p>
            <w:pPr>
              <w:spacing w:after="20" w:before="20"/>
            </w:pPr>
            <w:r>
              <w:rPr>
                <w:sz w:val="18"/>
                <w:szCs w:val="18"/>
              </w:rPr>
              <w:t xml:space="preserve">Clinical Director hire fails</w:t>
            </w:r>
          </w:p>
        </w:tc>
        <w:tc>
          <w:tcPr>
            <w:tcW w:type="dxa" w:w="1872"/>
            <w:tcMar>
              <w:top w:type="dxa" w:w="60"/>
              <w:left w:type="dxa" w:w="100"/>
              <w:bottom w:type="dxa" w:w="60"/>
              <w:right w:type="dxa" w:w="100"/>
            </w:tcMar>
          </w:tcPr>
          <w:p>
            <w:pPr>
              <w:spacing w:after="20" w:before="20"/>
            </w:pPr>
            <w:r>
              <w:rPr>
                <w:b/>
                <w:bCs/>
                <w:sz w:val="18"/>
                <w:szCs w:val="18"/>
              </w:rPr>
              <w:t xml:space="preserve">High</w:t>
            </w:r>
          </w:p>
        </w:tc>
        <w:tc>
          <w:tcPr>
            <w:tcW w:type="dxa" w:w="4306"/>
            <w:tcMar>
              <w:top w:type="dxa" w:w="60"/>
              <w:left w:type="dxa" w:w="100"/>
              <w:bottom w:type="dxa" w:w="60"/>
              <w:right w:type="dxa" w:w="100"/>
            </w:tcMar>
          </w:tcPr>
          <w:p>
            <w:pPr>
              <w:spacing w:after="20" w:before="20"/>
            </w:pPr>
            <w:r>
              <w:rPr>
                <w:sz w:val="18"/>
                <w:szCs w:val="18"/>
              </w:rPr>
              <w:t xml:space="preserve">The #1 hire</w:t>
            </w:r>
          </w:p>
        </w:tc>
      </w:tr>
      <w:tr>
        <w:tc>
          <w:tcPr>
            <w:tcW w:type="dxa" w:w="3182"/>
            <w:tcMar>
              <w:top w:type="dxa" w:w="60"/>
              <w:left w:type="dxa" w:w="100"/>
              <w:bottom w:type="dxa" w:w="60"/>
              <w:right w:type="dxa" w:w="100"/>
            </w:tcMar>
          </w:tcPr>
          <w:p>
            <w:pPr>
              <w:spacing w:after="20" w:before="20"/>
            </w:pPr>
            <w:r>
              <w:rPr>
                <w:sz w:val="18"/>
                <w:szCs w:val="18"/>
              </w:rPr>
              <w:t xml:space="preserve">Professional liability declination / abuse-molestation exclusion</w:t>
            </w:r>
          </w:p>
        </w:tc>
        <w:tc>
          <w:tcPr>
            <w:tcW w:type="dxa" w:w="1872"/>
            <w:tcMar>
              <w:top w:type="dxa" w:w="60"/>
              <w:left w:type="dxa" w:w="100"/>
              <w:bottom w:type="dxa" w:w="60"/>
              <w:right w:type="dxa" w:w="100"/>
            </w:tcMar>
          </w:tcPr>
          <w:p>
            <w:pPr>
              <w:spacing w:after="20" w:before="20"/>
            </w:pPr>
            <w:r>
              <w:rPr>
                <w:b/>
                <w:bCs/>
                <w:sz w:val="18"/>
                <w:szCs w:val="18"/>
              </w:rPr>
              <w:t xml:space="preserve">High</w:t>
            </w:r>
          </w:p>
        </w:tc>
        <w:tc>
          <w:tcPr>
            <w:tcW w:type="dxa" w:w="4306"/>
            <w:tcMar>
              <w:top w:type="dxa" w:w="60"/>
              <w:left w:type="dxa" w:w="100"/>
              <w:bottom w:type="dxa" w:w="60"/>
              <w:right w:type="dxa" w:w="100"/>
            </w:tcMar>
          </w:tcPr>
          <w:p>
            <w:pPr>
              <w:spacing w:after="20" w:before="20"/>
            </w:pPr>
            <w:r>
              <w:rPr>
                <w:sz w:val="18"/>
                <w:szCs w:val="18"/>
              </w:rPr>
              <w:t xml:space="preserve">Availability, not price</w:t>
            </w:r>
          </w:p>
        </w:tc>
      </w:tr>
      <w:tr>
        <w:tc>
          <w:tcPr>
            <w:tcW w:type="dxa" w:w="3182"/>
            <w:tcMar>
              <w:top w:type="dxa" w:w="60"/>
              <w:left w:type="dxa" w:w="100"/>
              <w:bottom w:type="dxa" w:w="60"/>
              <w:right w:type="dxa" w:w="100"/>
            </w:tcMar>
          </w:tcPr>
          <w:p>
            <w:pPr>
              <w:spacing w:after="20" w:before="20"/>
            </w:pPr>
            <w:r>
              <w:rPr>
                <w:sz w:val="18"/>
                <w:szCs w:val="18"/>
              </w:rPr>
              <w:t xml:space="preserve">Patient/resident abandonment on failure</w:t>
            </w:r>
          </w:p>
        </w:tc>
        <w:tc>
          <w:tcPr>
            <w:tcW w:type="dxa" w:w="1872"/>
            <w:tcMar>
              <w:top w:type="dxa" w:w="60"/>
              <w:left w:type="dxa" w:w="100"/>
              <w:bottom w:type="dxa" w:w="60"/>
              <w:right w:type="dxa" w:w="100"/>
            </w:tcMar>
          </w:tcPr>
          <w:p>
            <w:pPr>
              <w:spacing w:after="20" w:before="20"/>
            </w:pPr>
            <w:r>
              <w:rPr>
                <w:b/>
                <w:bCs/>
                <w:sz w:val="18"/>
                <w:szCs w:val="18"/>
              </w:rPr>
              <w:t xml:space="preserve">High</w:t>
            </w:r>
          </w:p>
        </w:tc>
        <w:tc>
          <w:tcPr>
            <w:tcW w:type="dxa" w:w="4306"/>
            <w:tcMar>
              <w:top w:type="dxa" w:w="60"/>
              <w:left w:type="dxa" w:w="100"/>
              <w:bottom w:type="dxa" w:w="60"/>
              <w:right w:type="dxa" w:w="100"/>
            </w:tcMar>
          </w:tcPr>
          <w:p>
            <w:pPr>
              <w:spacing w:after="20" w:before="20"/>
            </w:pPr>
            <w:r>
              <w:rPr>
                <w:sz w:val="18"/>
                <w:szCs w:val="18"/>
              </w:rPr>
              <w:t xml:space="preserve">License void on ceasing operation; CHOW barred during inactivation</w:t>
            </w:r>
          </w:p>
        </w:tc>
      </w:tr>
      <w:tr>
        <w:tc>
          <w:tcPr>
            <w:tcW w:type="dxa" w:w="3182"/>
            <w:tcMar>
              <w:top w:type="dxa" w:w="60"/>
              <w:left w:type="dxa" w:w="100"/>
              <w:bottom w:type="dxa" w:w="60"/>
              <w:right w:type="dxa" w:w="100"/>
            </w:tcMar>
          </w:tcPr>
          <w:p>
            <w:pPr>
              <w:spacing w:after="20" w:before="20"/>
            </w:pPr>
            <w:r>
              <w:rPr>
                <w:sz w:val="18"/>
                <w:szCs w:val="18"/>
              </w:rPr>
              <w:t xml:space="preserve">Staff credential mix erodes revenue</w:t>
            </w:r>
          </w:p>
        </w:tc>
        <w:tc>
          <w:tcPr>
            <w:tcW w:type="dxa" w:w="1872"/>
            <w:tcMar>
              <w:top w:type="dxa" w:w="60"/>
              <w:left w:type="dxa" w:w="100"/>
              <w:bottom w:type="dxa" w:w="60"/>
              <w:right w:type="dxa" w:w="100"/>
            </w:tcMar>
          </w:tcPr>
          <w:p>
            <w:pPr>
              <w:spacing w:after="20" w:before="20"/>
            </w:pPr>
            <w:r>
              <w:rPr>
                <w:b/>
                <w:bCs/>
                <w:sz w:val="18"/>
                <w:szCs w:val="18"/>
              </w:rPr>
              <w:t xml:space="preserve">High</w:t>
            </w:r>
          </w:p>
        </w:tc>
        <w:tc>
          <w:tcPr>
            <w:tcW w:type="dxa" w:w="4306"/>
            <w:tcMar>
              <w:top w:type="dxa" w:w="60"/>
              <w:left w:type="dxa" w:w="100"/>
              <w:bottom w:type="dxa" w:w="60"/>
              <w:right w:type="dxa" w:w="100"/>
            </w:tcMar>
          </w:tcPr>
          <w:p>
            <w:pPr>
              <w:spacing w:after="20" w:before="20"/>
            </w:pPr>
            <w:r>
              <w:rPr>
                <w:sz w:val="18"/>
                <w:szCs w:val="18"/>
              </w:rPr>
              <w:t xml:space="preserve">$180 vs $120/day, identical service</w:t>
            </w:r>
          </w:p>
        </w:tc>
      </w:tr>
      <w:tr>
        <w:tc>
          <w:tcPr>
            <w:tcW w:type="dxa" w:w="3182"/>
            <w:tcMar>
              <w:top w:type="dxa" w:w="60"/>
              <w:left w:type="dxa" w:w="100"/>
              <w:bottom w:type="dxa" w:w="60"/>
              <w:right w:type="dxa" w:w="100"/>
            </w:tcMar>
          </w:tcPr>
          <w:p>
            <w:pPr>
              <w:spacing w:after="20" w:before="20"/>
            </w:pPr>
            <w:r>
              <w:rPr>
                <w:sz w:val="18"/>
                <w:szCs w:val="18"/>
              </w:rPr>
              <w:t xml:space="preserve">FNR gating if CPST/PSR/OTP enter scope</w:t>
            </w:r>
          </w:p>
        </w:tc>
        <w:tc>
          <w:tcPr>
            <w:tcW w:type="dxa" w:w="1872"/>
            <w:tcMar>
              <w:top w:type="dxa" w:w="60"/>
              <w:left w:type="dxa" w:w="100"/>
              <w:bottom w:type="dxa" w:w="60"/>
              <w:right w:type="dxa" w:w="100"/>
            </w:tcMar>
          </w:tcPr>
          <w:p>
            <w:pPr>
              <w:spacing w:after="20" w:before="20"/>
            </w:pPr>
            <w:r>
              <w:rPr>
                <w:b/>
                <w:bCs/>
                <w:sz w:val="18"/>
                <w:szCs w:val="18"/>
              </w:rPr>
              <w:t xml:space="preserve">High</w:t>
            </w:r>
          </w:p>
        </w:tc>
        <w:tc>
          <w:tcPr>
            <w:tcW w:type="dxa" w:w="4306"/>
            <w:tcMar>
              <w:top w:type="dxa" w:w="60"/>
              <w:left w:type="dxa" w:w="100"/>
              <w:bottom w:type="dxa" w:w="60"/>
              <w:right w:type="dxa" w:w="100"/>
            </w:tcMar>
          </w:tcPr>
          <w:p>
            <w:pPr>
              <w:spacing w:after="20" w:before="20"/>
            </w:pPr>
            <w:r>
              <w:rPr>
                <w:sz w:val="18"/>
                <w:szCs w:val="18"/>
              </w:rPr>
              <w:t xml:space="preserve">Precondition to </w:t>
            </w:r>
            <w:r>
              <w:rPr>
                <w:i/>
                <w:iCs/>
                <w:sz w:val="18"/>
                <w:szCs w:val="18"/>
              </w:rPr>
              <w:t xml:space="preserve">applying</w:t>
            </w:r>
            <w:r>
              <w:rPr>
                <w:sz w:val="18"/>
                <w:szCs w:val="18"/>
              </w:rPr>
              <w:t xml:space="preserve"> for licensure</w:t>
            </w:r>
          </w:p>
        </w:tc>
      </w:tr>
      <w:tr>
        <w:tc>
          <w:tcPr>
            <w:tcW w:type="dxa" w:w="3182"/>
            <w:tcMar>
              <w:top w:type="dxa" w:w="60"/>
              <w:left w:type="dxa" w:w="100"/>
              <w:bottom w:type="dxa" w:w="60"/>
              <w:right w:type="dxa" w:w="100"/>
            </w:tcMar>
          </w:tcPr>
          <w:p>
            <w:pPr>
              <w:spacing w:after="20" w:before="20"/>
            </w:pPr>
            <w:r>
              <w:rPr>
                <w:sz w:val="18"/>
                <w:szCs w:val="18"/>
              </w:rPr>
              <w:t xml:space="preserve">Medicaid-only payer mix at thin margins</w:t>
            </w:r>
          </w:p>
        </w:tc>
        <w:tc>
          <w:tcPr>
            <w:tcW w:type="dxa" w:w="1872"/>
            <w:tcMar>
              <w:top w:type="dxa" w:w="60"/>
              <w:left w:type="dxa" w:w="100"/>
              <w:bottom w:type="dxa" w:w="60"/>
              <w:right w:type="dxa" w:w="100"/>
            </w:tcMar>
          </w:tcPr>
          <w:p>
            <w:pPr>
              <w:spacing w:after="20" w:before="20"/>
            </w:pPr>
            <w:r>
              <w:rPr>
                <w:b/>
                <w:bCs/>
                <w:sz w:val="18"/>
                <w:szCs w:val="18"/>
              </w:rPr>
              <w:t xml:space="preserve">High</w:t>
            </w:r>
          </w:p>
        </w:tc>
        <w:tc>
          <w:tcPr>
            <w:tcW w:type="dxa" w:w="4306"/>
            <w:tcMar>
              <w:top w:type="dxa" w:w="60"/>
              <w:left w:type="dxa" w:w="100"/>
              <w:bottom w:type="dxa" w:w="60"/>
              <w:right w:type="dxa" w:w="100"/>
            </w:tcMar>
          </w:tcPr>
          <w:p>
            <w:pPr>
              <w:spacing w:after="20" w:before="20"/>
            </w:pPr>
            <w:r>
              <w:rPr>
                <w:sz w:val="18"/>
                <w:szCs w:val="18"/>
              </w:rPr>
              <w:t xml:space="preserve">LA incumbents warning publicly</w:t>
            </w:r>
          </w:p>
        </w:tc>
      </w:tr>
      <w:tr>
        <w:tc>
          <w:tcPr>
            <w:tcW w:type="dxa" w:w="3182"/>
            <w:tcMar>
              <w:top w:type="dxa" w:w="60"/>
              <w:left w:type="dxa" w:w="100"/>
              <w:bottom w:type="dxa" w:w="60"/>
              <w:right w:type="dxa" w:w="100"/>
            </w:tcMar>
          </w:tcPr>
          <w:p>
            <w:pPr>
              <w:spacing w:after="20" w:before="20"/>
            </w:pPr>
            <w:r>
              <w:rPr>
                <w:sz w:val="18"/>
                <w:szCs w:val="18"/>
              </w:rPr>
              <w:t xml:space="preserve">Zoning denial / neighborhood opposition</w:t>
            </w:r>
          </w:p>
        </w:tc>
        <w:tc>
          <w:tcPr>
            <w:tcW w:type="dxa" w:w="1872"/>
            <w:tcMar>
              <w:top w:type="dxa" w:w="60"/>
              <w:left w:type="dxa" w:w="100"/>
              <w:bottom w:type="dxa" w:w="60"/>
              <w:right w:type="dxa" w:w="100"/>
            </w:tcMar>
          </w:tcPr>
          <w:p>
            <w:pPr>
              <w:spacing w:after="20" w:before="20"/>
            </w:pPr>
            <w:r>
              <w:rPr>
                <w:sz w:val="18"/>
                <w:szCs w:val="18"/>
              </w:rPr>
              <w:t xml:space="preserve">Medium</w:t>
            </w:r>
          </w:p>
        </w:tc>
        <w:tc>
          <w:tcPr>
            <w:tcW w:type="dxa" w:w="4306"/>
            <w:tcMar>
              <w:top w:type="dxa" w:w="60"/>
              <w:left w:type="dxa" w:w="100"/>
              <w:bottom w:type="dxa" w:w="60"/>
              <w:right w:type="dxa" w:w="100"/>
            </w:tcMar>
          </w:tcPr>
          <w:p>
            <w:pPr>
              <w:spacing w:after="20" w:before="20"/>
            </w:pPr>
            <w:r>
              <w:rPr>
                <w:sz w:val="18"/>
                <w:szCs w:val="18"/>
              </w:rPr>
              <w:t xml:space="preserve">Written confirmation before non-refundable money</w:t>
            </w:r>
          </w:p>
        </w:tc>
      </w:tr>
      <w:tr>
        <w:tc>
          <w:tcPr>
            <w:tcW w:type="dxa" w:w="3182"/>
            <w:tcMar>
              <w:top w:type="dxa" w:w="60"/>
              <w:left w:type="dxa" w:w="100"/>
              <w:bottom w:type="dxa" w:w="60"/>
              <w:right w:type="dxa" w:w="100"/>
            </w:tcMar>
          </w:tcPr>
          <w:p>
            <w:pPr>
              <w:spacing w:after="20" w:before="20"/>
            </w:pPr>
            <w:r>
              <w:rPr>
                <w:sz w:val="18"/>
                <w:szCs w:val="18"/>
              </w:rPr>
              <w:t xml:space="preserve">Workforce turnover</w:t>
            </w:r>
          </w:p>
        </w:tc>
        <w:tc>
          <w:tcPr>
            <w:tcW w:type="dxa" w:w="1872"/>
            <w:tcMar>
              <w:top w:type="dxa" w:w="60"/>
              <w:left w:type="dxa" w:w="100"/>
              <w:bottom w:type="dxa" w:w="60"/>
              <w:right w:type="dxa" w:w="100"/>
            </w:tcMar>
          </w:tcPr>
          <w:p>
            <w:pPr>
              <w:spacing w:after="20" w:before="20"/>
            </w:pPr>
            <w:r>
              <w:rPr>
                <w:sz w:val="18"/>
                <w:szCs w:val="18"/>
              </w:rPr>
              <w:t xml:space="preserve">Medium</w:t>
            </w:r>
          </w:p>
        </w:tc>
        <w:tc>
          <w:tcPr>
            <w:tcW w:type="dxa" w:w="4306"/>
            <w:tcMar>
              <w:top w:type="dxa" w:w="60"/>
              <w:left w:type="dxa" w:w="100"/>
              <w:bottom w:type="dxa" w:w="60"/>
              <w:right w:type="dxa" w:w="100"/>
            </w:tcMar>
          </w:tcPr>
          <w:p>
            <w:pPr>
              <w:spacing w:after="20" w:before="20"/>
            </w:pPr>
            <w:r>
              <w:rPr>
                <w:b/>
                <w:bCs/>
                <w:sz w:val="18"/>
                <w:szCs w:val="18"/>
              </w:rPr>
              <w:t xml:space="preserve">~33.2% measured</w:t>
            </w:r>
            <w:r>
              <w:rPr>
                <w:sz w:val="18"/>
                <w:szCs w:val="18"/>
              </w:rPr>
              <w:t xml:space="preserve"> annual counselor turnover; field estimates 19–50% </w:t>
            </w:r>
            <w:r>
              <w:rPr>
                <w:rFonts w:ascii="Consolas" w:cs="Consolas" w:eastAsia="Consolas" w:hAnsi="Consolas"/>
                <w:sz w:val="16"/>
                <w:szCs w:val="16"/>
              </w:rPr>
              <w:t xml:space="preserve">[lit: Eby &amp; Rothrauff-Laschober 2010]</w:t>
            </w:r>
            <w:r>
              <w:rPr>
                <w:sz w:val="18"/>
                <w:szCs w:val="18"/>
              </w:rPr>
              <w:t xml:space="preserve"> — not the "30–50%" I cited</w:t>
            </w:r>
          </w:p>
        </w:tc>
      </w:tr>
      <w:tr>
        <w:tc>
          <w:tcPr>
            <w:tcW w:type="dxa" w:w="3182"/>
            <w:tcMar>
              <w:top w:type="dxa" w:w="60"/>
              <w:left w:type="dxa" w:w="100"/>
              <w:bottom w:type="dxa" w:w="60"/>
              <w:right w:type="dxa" w:w="100"/>
            </w:tcMar>
          </w:tcPr>
          <w:p>
            <w:pPr>
              <w:spacing w:after="20" w:before="20"/>
            </w:pPr>
            <w:r>
              <w:rPr>
                <w:sz w:val="18"/>
                <w:szCs w:val="18"/>
              </w:rPr>
              <w:t xml:space="preserve">Opportunity cost of forgone salary</w:t>
            </w:r>
          </w:p>
        </w:tc>
        <w:tc>
          <w:tcPr>
            <w:tcW w:type="dxa" w:w="1872"/>
            <w:tcMar>
              <w:top w:type="dxa" w:w="60"/>
              <w:left w:type="dxa" w:w="100"/>
              <w:bottom w:type="dxa" w:w="60"/>
              <w:right w:type="dxa" w:w="100"/>
            </w:tcMar>
          </w:tcPr>
          <w:p>
            <w:pPr>
              <w:spacing w:after="20" w:before="20"/>
            </w:pPr>
            <w:r>
              <w:rPr>
                <w:sz w:val="18"/>
                <w:szCs w:val="18"/>
              </w:rPr>
              <w:t xml:space="preserve">Medium</w:t>
            </w:r>
          </w:p>
        </w:tc>
        <w:tc>
          <w:tcPr>
            <w:tcW w:type="dxa" w:w="4306"/>
            <w:tcMar>
              <w:top w:type="dxa" w:w="60"/>
              <w:left w:type="dxa" w:w="100"/>
              <w:bottom w:type="dxa" w:w="60"/>
              <w:right w:type="dxa" w:w="100"/>
            </w:tcMar>
          </w:tcPr>
          <w:p>
            <w:pPr>
              <w:spacing w:after="20" w:before="20"/>
            </w:pPr>
            <w:r>
              <w:rPr>
                <w:sz w:val="18"/>
                <w:szCs w:val="18"/>
              </w:rPr>
              <w:t xml:space="preserve">~$145K/yr baseline</w:t>
            </w:r>
          </w:p>
        </w:tc>
      </w:tr>
      <w:tr>
        <w:tc>
          <w:tcPr>
            <w:tcW w:type="dxa" w:w="3182"/>
            <w:tcMar>
              <w:top w:type="dxa" w:w="60"/>
              <w:left w:type="dxa" w:w="100"/>
              <w:bottom w:type="dxa" w:w="60"/>
              <w:right w:type="dxa" w:w="100"/>
            </w:tcMar>
          </w:tcPr>
          <w:p>
            <w:pPr>
              <w:spacing w:after="20" w:before="20"/>
            </w:pPr>
            <w:r>
              <w:rPr>
                <w:sz w:val="18"/>
                <w:szCs w:val="18"/>
              </w:rPr>
              <w:t xml:space="preserve">Recovery-residence closure base rate</w:t>
            </w:r>
          </w:p>
        </w:tc>
        <w:tc>
          <w:tcPr>
            <w:tcW w:type="dxa" w:w="1872"/>
            <w:tcMar>
              <w:top w:type="dxa" w:w="60"/>
              <w:left w:type="dxa" w:w="100"/>
              <w:bottom w:type="dxa" w:w="60"/>
              <w:right w:type="dxa" w:w="100"/>
            </w:tcMar>
          </w:tcPr>
          <w:p>
            <w:pPr>
              <w:spacing w:after="20" w:before="20"/>
            </w:pPr>
            <w:r>
              <w:rPr>
                <w:sz w:val="18"/>
                <w:szCs w:val="18"/>
              </w:rPr>
              <w:t xml:space="preserve">Medium</w:t>
            </w:r>
          </w:p>
        </w:tc>
        <w:tc>
          <w:tcPr>
            <w:tcW w:type="dxa" w:w="4306"/>
            <w:tcMar>
              <w:top w:type="dxa" w:w="60"/>
              <w:left w:type="dxa" w:w="100"/>
              <w:bottom w:type="dxa" w:w="60"/>
              <w:right w:type="dxa" w:w="100"/>
            </w:tcMar>
          </w:tcPr>
          <w:p>
            <w:pPr>
              <w:spacing w:after="20" w:before="20"/>
            </w:pPr>
            <w:r>
              <w:rPr>
                <w:sz w:val="18"/>
                <w:szCs w:val="18"/>
              </w:rPr>
              <w:t xml:space="preserve">My sibling memo treated this as disqualifying for the software business; it applies equally to becoming one</w:t>
            </w:r>
          </w:p>
        </w:tc>
      </w:tr>
    </w:tbl>
    <w:p>
      <w:pPr>
        <w:spacing w:after="160"/>
      </w:pPr>
      <w:r>
        <w:t xml:space="preserve"/>
      </w:r>
    </w:p>
    <w:p>
      <w:pPr>
        <w:pBdr>
          <w:bottom w:val="single" w:color="BFBFBF" w:sz="6" w:space="6"/>
        </w:pBdr>
        <w:spacing w:after="200" w:before="120"/>
      </w:pPr>
      <w:r>
        <w:t xml:space="preserve"/>
      </w:r>
    </w:p>
    <w:p>
      <w:pPr>
        <w:pStyle w:val="Heading2"/>
        <w:pBdr>
          <w:bottom w:val="single" w:color="1F3864" w:sz="4" w:space="4"/>
        </w:pBdr>
        <w:spacing w:after="140" w:before="320"/>
      </w:pPr>
      <w:r>
        <w:rPr>
          <w:b/>
          <w:bCs/>
          <w:color w:val="1F3864"/>
          <w:sz w:val="26"/>
          <w:szCs w:val="26"/>
        </w:rPr>
        <w:t xml:space="preserve">6. Next steps — free, high-information, no capital</w:t>
      </w:r>
    </w:p>
    <w:p>
      <w:pPr>
        <w:pStyle w:val="ListParagraph"/>
        <w:numPr>
          <w:ilvl w:val="0"/>
          <w:numId w:val="2"/>
        </w:numPr>
        <w:spacing w:after="70"/>
      </w:pPr>
      <w:r>
        <w:rPr>
          <w:b/>
          <w:bCs/>
          <w:sz w:val="21"/>
          <w:szCs w:val="21"/>
        </w:rPr>
        <w:t xml:space="preserve">Louisiana healthcare-regulatory attorney</w:t>
      </w:r>
      <w:r>
        <w:rPr>
          <w:sz w:val="21"/>
          <w:szCs w:val="21"/>
        </w:rPr>
        <w:t xml:space="preserve">, scoped consult: entity structure, EKRA-safe compensation, and whether to run a continuum at all given §3's analysis.</w:t>
      </w:r>
    </w:p>
    <w:p>
      <w:pPr>
        <w:pStyle w:val="ListParagraph"/>
        <w:numPr>
          <w:ilvl w:val="0"/>
          <w:numId w:val="2"/>
        </w:numPr>
        <w:spacing w:after="70"/>
      </w:pPr>
      <w:r>
        <w:rPr>
          <w:b/>
          <w:bCs/>
          <w:sz w:val="21"/>
          <w:szCs w:val="21"/>
        </w:rPr>
        <w:t xml:space="preserve">Confirm with CARF</w:t>
      </w:r>
      <w:r>
        <w:rPr>
          <w:sz w:val="21"/>
          <w:szCs w:val="21"/>
        </w:rPr>
        <w:t xml:space="preserve"> the Preliminary Accreditation pathway and timeline for a new program, and with </w:t>
      </w:r>
      <w:r>
        <w:rPr>
          <w:b/>
          <w:bCs/>
          <w:sz w:val="21"/>
          <w:szCs w:val="21"/>
        </w:rPr>
        <w:t xml:space="preserve">LDH</w:t>
      </w:r>
      <w:r>
        <w:rPr>
          <w:sz w:val="21"/>
          <w:szCs w:val="21"/>
        </w:rPr>
        <w:t xml:space="preserve"> whether licensure for your intended service types requires accreditation at all (per §0.1 it should not).</w:t>
      </w:r>
    </w:p>
    <w:p>
      <w:pPr>
        <w:pStyle w:val="ListParagraph"/>
        <w:numPr>
          <w:ilvl w:val="0"/>
          <w:numId w:val="2"/>
        </w:numPr>
        <w:spacing w:after="70"/>
      </w:pPr>
      <w:r>
        <w:rPr>
          <w:b/>
          <w:bCs/>
          <w:sz w:val="21"/>
          <w:szCs w:val="21"/>
        </w:rPr>
        <w:t xml:space="preserve">Pull the authoritative Specialized Behavioral Health Services Fee Schedule.</w:t>
      </w:r>
      <w:r>
        <w:rPr>
          <w:sz w:val="21"/>
          <w:szCs w:val="21"/>
        </w:rPr>
        <w:t xml:space="preserve"> </w:t>
      </w:r>
      <w:r>
        <w:rPr>
          <w:rFonts w:ascii="Consolas" w:cs="Consolas" w:eastAsia="Consolas" w:hAnsi="Consolas"/>
          <w:sz w:val="19"/>
          <w:szCs w:val="19"/>
        </w:rPr>
        <w:t xml:space="preserve">[IB]</w:t>
      </w:r>
      <w:r>
        <w:rPr>
          <w:sz w:val="21"/>
          <w:szCs w:val="21"/>
        </w:rPr>
        <w:t xml:space="preserve"> excerpts are labeled informational only. (LDH blocks automated download — request it directly.)</w:t>
      </w:r>
    </w:p>
    <w:p>
      <w:pPr>
        <w:pStyle w:val="ListParagraph"/>
        <w:numPr>
          <w:ilvl w:val="0"/>
          <w:numId w:val="2"/>
        </w:numPr>
        <w:spacing w:after="70"/>
      </w:pPr>
      <w:r>
        <w:rPr>
          <w:b/>
          <w:bCs/>
          <w:sz w:val="21"/>
          <w:szCs w:val="21"/>
        </w:rPr>
        <w:t xml:space="preserve">Ask two or three LA MCOs</w:t>
      </w:r>
      <w:r>
        <w:rPr>
          <w:sz w:val="21"/>
          <w:szCs w:val="21"/>
        </w:rPr>
        <w:t xml:space="preserve"> how they handle residential room and board, and typical authorized length of stay for 2.1 IOP. The second answer drives the §2.2 revenue model.</w:t>
      </w:r>
    </w:p>
    <w:p>
      <w:pPr>
        <w:pStyle w:val="ListParagraph"/>
        <w:numPr>
          <w:ilvl w:val="0"/>
          <w:numId w:val="2"/>
        </w:numPr>
        <w:spacing w:after="70"/>
      </w:pPr>
      <w:r>
        <w:rPr>
          <w:b/>
          <w:bCs/>
          <w:sz w:val="21"/>
          <w:szCs w:val="21"/>
        </w:rPr>
        <w:t xml:space="preserve">Explore Option B seriously</w:t>
      </w:r>
      <w:r>
        <w:rPr>
          <w:sz w:val="21"/>
          <w:szCs w:val="21"/>
        </w:rPr>
        <w:t xml:space="preserve"> — talk to two or three LA operators about an operations or business-development role. This is the cheapest acquisition of the assets you lack, and it pays.</w:t>
      </w:r>
    </w:p>
    <w:p>
      <w:pPr>
        <w:pStyle w:val="ListParagraph"/>
        <w:numPr>
          <w:ilvl w:val="0"/>
          <w:numId w:val="2"/>
        </w:numPr>
        <w:spacing w:after="70"/>
      </w:pPr>
      <w:r>
        <w:rPr>
          <w:b/>
          <w:bCs/>
          <w:sz w:val="21"/>
          <w:szCs w:val="21"/>
        </w:rPr>
        <w:t xml:space="preserve">Get indicative insurance quotes</w:t>
      </w:r>
      <w:r>
        <w:rPr>
          <w:sz w:val="21"/>
          <w:szCs w:val="21"/>
        </w:rPr>
        <w:t xml:space="preserve"> for your intended level of care. A declination now saves six figures later.</w:t>
      </w:r>
    </w:p>
    <w:p>
      <w:pPr>
        <w:pStyle w:val="ListParagraph"/>
        <w:numPr>
          <w:ilvl w:val="0"/>
          <w:numId w:val="2"/>
        </w:numPr>
        <w:spacing w:after="70"/>
      </w:pPr>
      <w:r>
        <w:rPr>
          <w:b/>
          <w:bCs/>
          <w:sz w:val="21"/>
          <w:szCs w:val="21"/>
        </w:rPr>
        <w:t xml:space="preserve">Begin the Clinical Director search informally</w:t>
      </w:r>
      <w:r>
        <w:rPr>
          <w:sz w:val="21"/>
          <w:szCs w:val="21"/>
        </w:rPr>
        <w:t xml:space="preserve"> — to learn market rate and whether you can attract someone good. If you cannot, that is decisive early.</w:t>
      </w:r>
    </w:p>
    <w:p>
      <w:pPr>
        <w:pBdr>
          <w:bottom w:val="single" w:color="BFBFBF" w:sz="6" w:space="6"/>
        </w:pBdr>
        <w:spacing w:after="200" w:before="120"/>
      </w:pPr>
      <w:r>
        <w:t xml:space="preserve"/>
      </w:r>
    </w:p>
    <w:p>
      <w:pPr>
        <w:pStyle w:val="Heading2"/>
        <w:pBdr>
          <w:bottom w:val="single" w:color="1F3864" w:sz="4" w:space="4"/>
        </w:pBdr>
        <w:spacing w:after="140" w:before="320"/>
      </w:pPr>
      <w:r>
        <w:rPr>
          <w:b/>
          <w:bCs/>
          <w:color w:val="1F3864"/>
          <w:sz w:val="26"/>
          <w:szCs w:val="26"/>
        </w:rPr>
        <w:t xml:space="preserve">7. Verify before relying</w:t>
      </w:r>
    </w:p>
    <w:p>
      <w:pPr>
        <w:spacing w:after="140" w:line="276"/>
        <w:jc w:val="left"/>
      </w:pPr>
      <w:r>
        <w:rPr>
          <w:b/>
          <w:bCs/>
          <w:sz w:val="21"/>
          <w:szCs w:val="21"/>
        </w:rPr>
        <w:t xml:space="preserve">Not independently verified — treat as unverified anchors:</w:t>
      </w:r>
      <w:r>
        <w:rPr>
          <w:sz w:val="21"/>
          <w:szCs w:val="21"/>
        </w:rPr>
        <w:t xml:space="preserve"> startup cost ranges by level of care; the $800–1,500 commercial per diem; 3–5× / 5–8× multiples and the 0.5–1.0× accreditation premium; $25–75K accreditation prep; credentialing 90–180 days; the 114,000-counselor shortage projection; the $50–200K zoning-loss figure. All are </w:t>
      </w:r>
      <w:r>
        <w:rPr>
          <w:rFonts w:ascii="Consolas" w:cs="Consolas" w:eastAsia="Consolas" w:hAnsi="Consolas"/>
          <w:sz w:val="19"/>
          <w:szCs w:val="19"/>
        </w:rPr>
        <w:t xml:space="preserve">[vendor]</w:t>
      </w:r>
      <w:r>
        <w:rPr>
          <w:sz w:val="21"/>
          <w:szCs w:val="21"/>
        </w:rPr>
        <w:t xml:space="preserve">-class.</w:t>
      </w:r>
    </w:p>
    <w:p>
      <w:pPr>
        <w:spacing w:after="140" w:line="276"/>
        <w:jc w:val="left"/>
      </w:pPr>
      <w:r>
        <w:rPr>
          <w:b/>
          <w:bCs/>
          <w:sz w:val="21"/>
          <w:szCs w:val="21"/>
        </w:rPr>
        <w:t xml:space="preserve">Also open:</w:t>
      </w:r>
      <w:r>
        <w:rPr>
          <w:sz w:val="21"/>
          <w:szCs w:val="21"/>
        </w:rPr>
        <w:t xml:space="preserve"> the authoritative fee schedule (§6.3); per-MCO R&amp;B treatment; whether LA MCO contracts are assignable on CHOW; the </w:t>
      </w:r>
      <w:r>
        <w:rPr>
          <w:i/>
          <w:iCs/>
          <w:sz w:val="21"/>
          <w:szCs w:val="21"/>
        </w:rPr>
        <w:t xml:space="preserve">Schena</w:t>
      </w:r>
      <w:r>
        <w:rPr>
          <w:sz w:val="21"/>
          <w:szCs w:val="21"/>
        </w:rPr>
        <w:t xml:space="preserve"> certiorari petition status; </w:t>
      </w:r>
      <w:r>
        <w:rPr>
          <w:b/>
          <w:bCs/>
          <w:sz w:val="21"/>
          <w:szCs w:val="21"/>
        </w:rPr>
        <w:t xml:space="preserve">Texas entirely</w:t>
      </w:r>
      <w:r>
        <w:rPr>
          <w:sz w:val="21"/>
          <w:szCs w:val="21"/>
        </w:rPr>
        <w:t xml:space="preserve"> — if Texas is live, none of the licensing, CPOM, FNR, or rate analysis here transfers, and no Texas case has been made.</w:t>
      </w:r>
    </w:p>
    <w:p>
      <w:pPr>
        <w:spacing w:after="140" w:line="276"/>
        <w:jc w:val="left"/>
      </w:pPr>
      <w:r>
        <w:rPr>
          <w:b/>
          <w:bCs/>
          <w:sz w:val="21"/>
          <w:szCs w:val="21"/>
        </w:rPr>
        <w:t xml:space="preserve">Corrected since revision 2:</w:t>
      </w:r>
      <w:r>
        <w:rPr>
          <w:sz w:val="21"/>
          <w:szCs w:val="21"/>
        </w:rPr>
        <w:t xml:space="preserve"> the CON claim (§0.1); accreditation as licensure condition (§0.1); the accreditation "catch-22" (§0.1); the ASAM 3.5 rate (§1.2); the Medicaid spread (§1.2); turnover (§5); SBA experience requirement (§2.5); the sober-living-first recommendation (§3).</w:t>
      </w:r>
    </w:p>
    <w:p>
      <w:pPr>
        <w:pBdr>
          <w:bottom w:val="single" w:color="BFBFBF" w:sz="6" w:space="6"/>
        </w:pBdr>
        <w:spacing w:after="200" w:before="120"/>
      </w:pPr>
      <w:r>
        <w:t xml:space="preserve"/>
      </w:r>
    </w:p>
    <w:p>
      <w:pPr>
        <w:pStyle w:val="Heading2"/>
        <w:pBdr>
          <w:bottom w:val="single" w:color="1F3864" w:sz="4" w:space="4"/>
        </w:pBdr>
        <w:spacing w:after="140" w:before="320"/>
      </w:pPr>
      <w:r>
        <w:rPr>
          <w:b/>
          <w:bCs/>
          <w:color w:val="1F3864"/>
          <w:sz w:val="26"/>
          <w:szCs w:val="26"/>
        </w:rPr>
        <w:t xml:space="preserve">7a. Updates from the capital-raising research</w:t>
      </w:r>
    </w:p>
    <w:p>
      <w:pPr>
        <w:spacing w:after="140" w:line="276"/>
        <w:jc w:val="left"/>
      </w:pPr>
      <w:r>
        <w:rPr>
          <w:sz w:val="21"/>
          <w:szCs w:val="21"/>
        </w:rPr>
        <w:t xml:space="preserve">Three items were refined by the companion </w:t>
      </w:r>
      <w:r>
        <w:rPr>
          <w:rFonts w:ascii="Consolas" w:cs="Consolas" w:eastAsia="Consolas" w:hAnsi="Consolas"/>
          <w:sz w:val="19"/>
          <w:szCs w:val="19"/>
        </w:rPr>
        <w:t xml:space="preserve">CAPITAL-RAISING-PLAN-2026-10-06</w:t>
      </w:r>
      <w:r>
        <w:rPr>
          <w:sz w:val="21"/>
          <w:szCs w:val="21"/>
        </w:rPr>
        <w:t xml:space="preserve">:</w:t>
      </w:r>
    </w:p>
    <w:p>
      <w:pPr>
        <w:pStyle w:val="ListParagraph"/>
        <w:numPr>
          <w:ilvl w:val="0"/>
          <w:numId w:val="2"/>
        </w:numPr>
        <w:spacing w:after="70"/>
      </w:pPr>
      <w:r>
        <w:rPr>
          <w:b/>
          <w:bCs/>
          <w:sz w:val="21"/>
          <w:szCs w:val="21"/>
        </w:rPr>
        <w:t xml:space="preserve">SAMHSA was not dissolved.</w:t>
      </w:r>
      <w:r>
        <w:rPr>
          <w:sz w:val="21"/>
          <w:szCs w:val="21"/>
        </w:rPr>
        <w:t xml:space="preserve"> Congress rejected the FY26 proposal (Appropriations vote 26-3 against, with funding added) and approved a $7.1B topline; the Administration for a Healthy America was never authorized or funded. HHS has nonetheless proceeded administratively via staffing cuts and transferred duties, and the FY27 request renews the proposal.</w:t>
      </w:r>
    </w:p>
    <w:p>
      <w:pPr>
        <w:pStyle w:val="ListParagraph"/>
        <w:numPr>
          <w:ilvl w:val="0"/>
          <w:numId w:val="2"/>
        </w:numPr>
        <w:spacing w:after="70"/>
      </w:pPr>
      <w:r>
        <w:rPr>
          <w:b/>
          <w:bCs/>
          <w:sz w:val="21"/>
          <w:szCs w:val="21"/>
        </w:rPr>
        <w:t xml:space="preserve">Louisiana's corporate-practice posture is softer than Section 4.1 implies.</w:t>
      </w:r>
      <w:r>
        <w:rPr>
          <w:sz w:val="21"/>
          <w:szCs w:val="21"/>
        </w:rPr>
        <w:t xml:space="preserve"> The LSBME's December 2024 Statement of Position holds that physician employment by a non-professional corporation is </w:t>
      </w:r>
      <w:r>
        <w:rPr>
          <w:b/>
          <w:bCs/>
          <w:sz w:val="21"/>
          <w:szCs w:val="21"/>
        </w:rPr>
        <w:t xml:space="preserve">not per se unlawful</w:t>
      </w:r>
      <w:r>
        <w:rPr>
          <w:sz w:val="21"/>
          <w:szCs w:val="21"/>
        </w:rPr>
        <w:t xml:space="preserve">; the operative test is whether the arrangement impairs independent medical judgment. This materially simplifies structuring for a non-clinician owner relative to strict-CPOM states such as California and New York.</w:t>
      </w:r>
    </w:p>
    <w:p>
      <w:pPr>
        <w:pStyle w:val="ListParagraph"/>
        <w:numPr>
          <w:ilvl w:val="0"/>
          <w:numId w:val="2"/>
        </w:numPr>
        <w:spacing w:after="70"/>
      </w:pPr>
      <w:r>
        <w:rPr>
          <w:b/>
          <w:bCs/>
          <w:sz w:val="21"/>
          <w:szCs w:val="21"/>
        </w:rPr>
        <w:t xml:space="preserve">Financing independently reinforces the Option B sequencing recommendation.</w:t>
      </w:r>
      <w:r>
        <w:rPr>
          <w:sz w:val="21"/>
          <w:szCs w:val="21"/>
        </w:rPr>
        <w:t xml:space="preserve"> SBA removed "experience and depth of management" as a regulatory criterion in 2023 (13 CFR 120.150, 88 FR 21085), but lenders retained it as credit policy and in licensed healthcare commonly require relevant management experience plus evidence licensure will be reissued. A paid industry role therefore improves financeability on its own terms, independent of the operating-skill rationale.</w:t>
      </w:r>
    </w:p>
    <w:p>
      <w:pPr>
        <w:spacing w:after="140" w:line="276"/>
        <w:jc w:val="left"/>
      </w:pPr>
      <w:r>
        <w:rPr>
          <w:sz w:val="21"/>
          <w:szCs w:val="21"/>
        </w:rPr>
        <w:t xml:space="preserve">Also newly identified there: an SBA-financed Louisiana acquisition has a </w:t>
      </w:r>
      <w:r>
        <w:rPr>
          <w:b/>
          <w:bCs/>
          <w:sz w:val="21"/>
          <w:szCs w:val="21"/>
        </w:rPr>
        <w:t xml:space="preserve">closing collision</w:t>
      </w:r>
      <w:r>
        <w:rPr>
          <w:sz w:val="21"/>
          <w:szCs w:val="21"/>
        </w:rPr>
        <w:t xml:space="preserve"> - lenders fund at close and cite licensing transfers as a top delay source, while a Louisiana BHSP license does not transfer and must be reissued by LDH to the new owner. Condition closing on CHOW approval or escrow against it.</w:t>
      </w:r>
    </w:p>
    <w:p>
      <w:pPr>
        <w:pBdr>
          <w:bottom w:val="single" w:color="BFBFBF" w:sz="6" w:space="6"/>
        </w:pBdr>
        <w:spacing w:after="200" w:before="120"/>
      </w:pPr>
      <w:r>
        <w:t xml:space="preserve"/>
      </w:r>
    </w:p>
    <w:p>
      <w:pPr>
        <w:pStyle w:val="Heading2"/>
        <w:pBdr>
          <w:bottom w:val="single" w:color="1F3864" w:sz="4" w:space="4"/>
        </w:pBdr>
        <w:spacing w:after="140" w:before="320"/>
      </w:pPr>
      <w:r>
        <w:rPr>
          <w:b/>
          <w:bCs/>
          <w:color w:val="1F3864"/>
          <w:sz w:val="26"/>
          <w:szCs w:val="26"/>
        </w:rPr>
        <w:t xml:space="preserve">8. Bottom line</w:t>
      </w:r>
    </w:p>
    <w:p>
      <w:pPr>
        <w:spacing w:after="140" w:line="276"/>
        <w:jc w:val="left"/>
      </w:pPr>
      <w:r>
        <w:rPr>
          <w:b/>
          <w:bCs/>
          <w:sz w:val="21"/>
          <w:szCs w:val="21"/>
        </w:rPr>
        <w:t xml:space="preserve">Capital:</w:t>
      </w:r>
      <w:r>
        <w:rPr>
          <w:sz w:val="21"/>
          <w:szCs w:val="21"/>
        </w:rPr>
        <w:t xml:space="preserve"> $150–255K to begin with residences; </w:t>
      </w:r>
      <w:r>
        <w:rPr>
          <w:b/>
          <w:bCs/>
          <w:sz w:val="21"/>
          <w:szCs w:val="21"/>
        </w:rPr>
        <w:t xml:space="preserve">$400–700K for a licensed IOP</w:t>
      </w:r>
      <w:r>
        <w:rPr>
          <w:sz w:val="21"/>
          <w:szCs w:val="21"/>
        </w:rPr>
        <w:t xml:space="preserve">; $900K–2.0M for full residential. Roughly 60% of the IOP figure is pre-revenue payroll.</w:t>
      </w:r>
    </w:p>
    <w:p>
      <w:pPr>
        <w:spacing w:after="140" w:line="276"/>
        <w:jc w:val="left"/>
      </w:pPr>
      <w:r>
        <w:rPr>
          <w:b/>
          <w:bCs/>
          <w:sz w:val="21"/>
          <w:szCs w:val="21"/>
        </w:rPr>
        <w:t xml:space="preserve">Three things that should change your plan:</w:t>
      </w:r>
    </w:p>
    <w:p>
      <w:pPr>
        <w:pStyle w:val="ListParagraph"/>
        <w:numPr>
          <w:ilvl w:val="0"/>
          <w:numId w:val="2"/>
        </w:numPr>
        <w:spacing w:after="70"/>
      </w:pPr>
      <w:r>
        <w:rPr>
          <w:b/>
          <w:bCs/>
          <w:sz w:val="21"/>
          <w:szCs w:val="21"/>
        </w:rPr>
        <w:t xml:space="preserve">Do not start at residential</w:t>
      </w:r>
      <w:r>
        <w:rPr>
          <w:sz w:val="21"/>
          <w:szCs w:val="21"/>
        </w:rPr>
        <w:t xml:space="preserve"> — that conclusion survived every correction.</w:t>
      </w:r>
    </w:p>
    <w:p>
      <w:pPr>
        <w:pStyle w:val="ListParagraph"/>
        <w:numPr>
          <w:ilvl w:val="0"/>
          <w:numId w:val="2"/>
        </w:numPr>
        <w:spacing w:after="70"/>
      </w:pPr>
      <w:r>
        <w:rPr>
          <w:b/>
          <w:bCs/>
          <w:sz w:val="21"/>
          <w:szCs w:val="21"/>
        </w:rPr>
        <w:t xml:space="preserve">Do not start at sober living either.</w:t>
      </w:r>
      <w:r>
        <w:rPr>
          <w:sz w:val="21"/>
          <w:szCs w:val="21"/>
        </w:rPr>
        <w:t xml:space="preserve"> It does not build clinical track record, it manufactures your largest criminal exposure, and its economics are thin. </w:t>
      </w:r>
      <w:r>
        <w:rPr>
          <w:b/>
          <w:bCs/>
          <w:sz w:val="21"/>
          <w:szCs w:val="21"/>
        </w:rPr>
        <w:t xml:space="preserve">Paid employment inside an existing Louisiana program is the cheapest way to acquire the three things you actually lack</w:t>
      </w:r>
      <w:r>
        <w:rPr>
          <w:sz w:val="21"/>
          <w:szCs w:val="21"/>
        </w:rPr>
        <w:t xml:space="preserve">, and it pays you rather than costing you.</w:t>
      </w:r>
    </w:p>
    <w:p>
      <w:pPr>
        <w:pStyle w:val="ListParagraph"/>
        <w:numPr>
          <w:ilvl w:val="0"/>
          <w:numId w:val="2"/>
        </w:numPr>
        <w:spacing w:after="70"/>
      </w:pPr>
      <w:r>
        <w:rPr>
          <w:b/>
          <w:bCs/>
          <w:sz w:val="21"/>
          <w:szCs w:val="21"/>
        </w:rPr>
        <w:t xml:space="preserve">Louisiana is better than I said.</w:t>
      </w:r>
      <w:r>
        <w:rPr>
          <w:sz w:val="21"/>
          <w:szCs w:val="21"/>
        </w:rPr>
        <w:t xml:space="preserve"> At the real ASAM 3.5 rate of $303.67/day service-only, a 24-bed program at 80% occupancy is ~$2.13M/yr. The commercial-vs-Medicaid spread is ~2.4–4.5×, not 4–5×. The case for leaving the state is weaker than revision 2 claimed — and no case for Texas has been made at all.</w:t>
      </w:r>
    </w:p>
    <w:p>
      <w:pPr>
        <w:spacing w:after="140" w:line="276"/>
        <w:jc w:val="left"/>
      </w:pPr>
      <w:r>
        <w:rPr>
          <w:b/>
          <w:bCs/>
          <w:sz w:val="21"/>
          <w:szCs w:val="21"/>
        </w:rPr>
        <w:t xml:space="preserve">The honest frame:</w:t>
      </w:r>
      <w:r>
        <w:rPr>
          <w:sz w:val="21"/>
          <w:szCs w:val="21"/>
        </w:rPr>
        <w:t xml:space="preserve"> against a ~$145K baseline, the owned path spends 12–36 months and six figures to reach roughly your current income, with capital at risk, a personal guarantee, and criminal- regulatory exposure added. The ceiling above that is genuinely large — $400–640K EBITDA at a stabilized 3.5 program — but it sits two stages past the first dollar. Both facts are true at once, and the sequencing in §3 is the cheapest way to find out whether the ceiling is reachable before the capital is irrecoverable.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400" w:hanging="300"/>
      </w:pPr>
    </w:lvl>
    <w:lvl w:ilvl="1" w:tentative="1">
      <w:start w:val="1"/>
      <w:numFmt w:val="lowerLetter"/>
      <w:lvlText w:val="%2."/>
      <w:lvlJc w:val="left"/>
      <w:pPr>
        <w:ind w:left="760" w:hanging="300"/>
      </w:pPr>
    </w:lvl>
    <w:lvl w:ilvl="2" w:tentative="1">
      <w:start w:val="1"/>
      <w:numFmt w:val="lowerRoman"/>
      <w:lvlText w:val="%3."/>
      <w:lvlJc w:val="left"/>
      <w:pPr>
        <w:ind w:left="11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Louisiana Treatment Centers — Capital Requirements &amp; Staged Entry</dc:title>
  <dc:creator>Marcus Klein</dc:creator>
  <dc:description>Capital requirements and staged entry analysis</dc:description>
  <cp:lastModifiedBy>Un-named</cp:lastModifiedBy>
  <cp:revision>1</cp:revision>
  <dcterms:created xsi:type="dcterms:W3CDTF">2026-10-06T07:48:39.907Z</dcterms:created>
  <dcterms:modified xsi:type="dcterms:W3CDTF">2026-10-06T07:48:39.907Z</dcterms:modified>
</cp:coreProperties>
</file>

<file path=docProps/custom.xml><?xml version="1.0" encoding="utf-8"?>
<Properties xmlns="http://schemas.openxmlformats.org/officeDocument/2006/custom-properties" xmlns:vt="http://schemas.openxmlformats.org/officeDocument/2006/docPropsVTypes"/>
</file>