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Glow Upi — Texto da apresentação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ABERTURA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Obrigado pelo tempo.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Trouxe o documento formal de sociedade da Glow Upi. Vou apresentar em cerca de 15 minutos e depois fico à disposição pra qualquer pergunta.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01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CAPA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Glow Upi é uma plataforma SaaS já em produção, dedicada ao mercado de salões e estúdios de estética em Teresina e Timon.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 que vou apresentar é o convite formal pra aquisição de cinquenta por cento de equity por dezenove mil e setecentos reais.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02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A DOR TRADUZIDA EM REAIS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 salão médio de Teresina deixa entre mil e oitocentos e três mil reais na mesa todo mês — em faltas, horários vagos e clientes que somem sem ser reativados.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A mensalidade da Glow Upi é cento e sessenta e quatro reais e cinquenta. Ele paga uma vez e recupera onze a dezoito vezes esse valor todo mês.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A conta fecha sozinha pro cliente. Não é um software que ele precisa querer — é um software que ele precisa não recusar.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03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O SISTEMA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É um SaaS multi-inquilino. Cada salão opera em ambiente isolado, com base de clientes própria, identidade visual própria e dados protegidos.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Tem agenda inteligente, ficha digital, app instalável no celular, e-mail marketing nativo, pagamentos integrados via Stripe e painel financeiro.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 ponto técnico importante: novos clientes não exigem novo desenvolvimento. A escala é estrutural.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E está em produção hoje. Não é protótipo. Não é mockup. É código rodando.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04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MERCADO, MARGEM E VOCABULÁRIO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 mercado endereçável é Teresina e Timon — uma conurbação de mais de um milhão de habitantes separada apenas pelo Rio Parnaíba.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Cinco mil e duzentos estabelecimentos formais. Receita média por cliente de cento e sessenta e quatro reais e cinquenta. Custo fixo de duzentos e oito reais por mês.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Margem de software desde o primeiro cliente pagante.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05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TAM, SAM E SOM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Mercado total: cinco mil e duzentos estabelecimentos.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Mercado qualificado: dois mil e cem — aqueles com três a cinco profissionais e capacidade real de pagar mensalidade SaaS.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Mercado alcançável em cinco anos: entre quinhentos e vinte e cinco e seiscentos e trinta clientes — descontando concorrência mapeada.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Fonte primária: IBGE Cidades, Receita Federal, IBGE Concla e Sebrae Nacional. Não é estimativa de pitch. É número auditável.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06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O QUE JÁ ESTÁ VALIDADO E O QUE O APORTE VAI DESCOBRIR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Tem coisa que já está validada e tem coisa que só o aporte vai descobrir.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Já validado: produto em produção, infraestrutura quitada em duzentos e oito reais por mês, mercado dimensionado com fonte primária e concorrência mapeada.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Ainda em descoberta: custo de aquisição real, conversão do funil em escala, retenção e churn observados.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 aporte de dezenove mil e setecentos reais é capital de descoberta — existe pra transformar essas premissas em métrica auditável nos próximos seis meses.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07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CAPITAL PRÓPRIO JÁ APLICADO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Antes de pedir, eu já apliquei trinta mil quatrocentos e vinte e oito reais entre capital e trabalho ao longo de dois meses.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Quatro mil oitocentos e vinte e oito em ferramentas, infraestrutura e marketing. Vinte e cinco mil e seiscentos em desenvolvimento fullstack em tempo integral, sem pro-labore — custo absorvido pelo fundador.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 aporte que peço equivale a sessenta e cinco por cento do que eu já investi. Pra cada um real dela, um real e cinquenta e cinco já está aplicado.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08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DESTINAÇÃO DO APORTE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Os dezenove mil e setecentos não são custeio. São veículo de tração.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Dois mil duzentos e sessenta e um encerram o capital próprio aplicado na construção do produto.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Nove mil cento e trinta e nove vão pra Meta Ads — campanha segmentada pra medir o custo de aquisição real na praça.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Oito mil e trezentos financiam tráfego orgânico: vídeo vertical profissional, conteúdo recorrente e prova social com clientes reais.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Custo fixo da operação permanece em duzentos e oito reais por mês.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09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PROJEÇÃO REALISTA — SOMENTE TERESINA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Três patamares, sem expansão pra outras cidades.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Marco um: duzentos clientes ativos, MRR de trinta e dois mil e novecentos, ARR de trezentos e noventa e quatro mil e oitocentos. Atingível em dezoito meses.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Marco dois — o marco-chave: quinhentos clientes ativos, MRR de oitenta e dois mil duzentos e cinquenta, ARR de novecentos e oitenta e sete mil. Atingível em trinta e seis meses.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Horizonte cinco anos: seiscentos clientes em Teresina, ARR de um milhão cento e oitenta mil.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ARR de um milhão cento e oitenta mil multiplicado por um múltiplo conservador de cinco — abaixo da média de SaaS vertical brasileiro segundo Distrito e Atlas Latam — resulta em cinco milhões e novecentos mil reais de valuation.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Cinquenta por cento desse equity equivale a dois milhões e novecentos e cinquenta mil reais.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Retorno aproximado de cento e cinquenta vezes sobre o aporte de dezenove mil e setecentos. Sem nenhuma cidade nova. Risco real, retorno mensurável.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8C7A4B"/>
          <w:spacing w:val="30"/>
          <w:sz w:val="22"/>
          <w:szCs w:val="22"/>
        </w:rPr>
        <w:t xml:space="preserve">SLIDE 10  ·  </w:t>
      </w: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A PROPOSTA FORMAL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Cinquenta por cento da Glow Upi por dezenove mil e setecentos reais.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Item um: equity formal, contrato social registrado em junta comercial, com governança e regras de saída claras.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Item dois: produto em produção — painel web responsivo instalável como aplicativo, com agenda, ficha digital, e-mail marketing nativo e cobrança recorrente.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Item três: operação técnica integralmente coberta. O fundador responde pela engenharia, infraestrutura e produto. A sócia conduz estratégia comercial e marketing.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Item quatro: tração mensurável em noventa dias. Dezessete mil quatrocentos e trinta e nove reais em tráfego pago e orgânico geram receita recorrente antes do encerramento de dois mil e vinte e seis.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Cronograma dos primeiros cento e vinte dias: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 mais quinze: primeira métrica real de custo de aquisição com cinco a dez conversões piloto.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 mais sessenta: vinte e cinco clientes ativos pagantes, com validação de CAC e churn iniciais.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 mais cento e vinte: oitenta clientes ativos e MRR de quatorze mil reais — cenário base.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Composição do aporte: onze mil e quatrocentos em capital, oito mil e trezentos em tráfego orgânico. Total dezenove mil e setecentos.</w:t>
      </w:r>
    </w:p>
    <w:p>
      <w:pPr>
        <w:pBdr>
          <w:bottom w:val="single" w:color="8C7A4B" w:sz="8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1F3A2E"/>
          <w:spacing w:val="30"/>
          <w:sz w:val="22"/>
          <w:szCs w:val="22"/>
        </w:rPr>
        <w:t xml:space="preserve">ENCERRAMENTO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É isso.</w:t>
      </w:r>
    </w:p>
    <w:p>
      <w:pPr>
        <w:spacing w:after="100" w:before="60"/>
      </w:pPr>
      <w:r>
        <w:rPr>
          <w:rFonts w:ascii="Calibri" w:cs="Calibri" w:eastAsia="Calibri" w:hAnsi="Calibri"/>
          <w:i/>
          <w:iCs/>
          <w:color w:val="5C5C5C"/>
          <w:sz w:val="20"/>
          <w:szCs w:val="20"/>
        </w:rPr>
        <w:t xml:space="preserve">(pausa)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Te deixo o documento. Pode levar o tempo que precisar pra analisar.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Qualquer dúvida técnica ou de número, eu respondo por escrito pra ficar registrado.</w:t>
      </w:r>
    </w:p>
    <w:p>
      <w:pPr>
        <w:spacing w:after="100" w:before="10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Obrigado pelo tempo.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Glow Upi — Texto da apresentação</dc:title>
  <dc:creator>Glow Upi</dc:creator>
  <cp:lastModifiedBy>Un-named</cp:lastModifiedBy>
  <cp:revision>1</cp:revision>
  <dcterms:created xsi:type="dcterms:W3CDTF">2026-04-27T15:53:08.470Z</dcterms:created>
  <dcterms:modified xsi:type="dcterms:W3CDTF">2026-04-27T15:53:08.471Z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