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sz w:val="40"/>
          <w:lang w:val="en-GB"/>
        </w:rPr>
      </w:pPr>
      <w:r>
        <w:rPr>
          <w:sz w:val="40"/>
          <w:lang w:val="en-US"/>
        </w:rPr>
        <w:t xml:space="preserve">Master's project for the MSc in </w:t>
      </w:r>
      <w:r>
        <w:rPr>
          <w:sz w:val="40"/>
          <w:lang w:val="en-GB"/>
        </w:rPr>
        <w:t>Statistical Machine Learning and signal processing</w:t>
      </w:r>
    </w:p>
    <w:p>
      <w:pPr>
        <w:pStyle w:val="Heading2"/>
        <w:rPr>
          <w:color w:val="auto"/>
          <w:lang w:val="en-US"/>
        </w:rPr>
      </w:pPr>
      <w:r>
        <w:rPr>
          <w:color w:val="auto"/>
          <w:lang w:val="en-US"/>
        </w:rPr>
        <w:t>Specializations in Smart Sensor Systems</w:t>
      </w:r>
    </w:p>
    <w:p>
      <w:pPr>
        <w:pStyle w:val="Normal"/>
        <w:spacing w:lineRule="auto" w:line="240"/>
        <w:rPr>
          <w:lang w:val="en-GB"/>
        </w:rPr>
      </w:pPr>
      <w:r>
        <w:rPr>
          <w:b/>
          <w:lang w:val="en-US"/>
        </w:rPr>
        <w:br/>
        <w:t>Title of project</w:t>
      </w:r>
      <w:r>
        <w:rPr>
          <w:lang w:val="en-US"/>
        </w:rPr>
        <w:t>: Digital Worker – Automatic detection of occupational physical activity</w:t>
      </w:r>
    </w:p>
    <w:p>
      <w:pPr>
        <w:pStyle w:val="Normal"/>
        <w:spacing w:lineRule="auto" w:line="240"/>
        <w:rPr>
          <w:rStyle w:val="Normaltextrun1"/>
          <w:rFonts w:ascii="Calibri" w:hAnsi="Calibri" w:cs="Calibri"/>
          <w:lang w:val="en-GB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3686175</wp:posOffset>
            </wp:positionH>
            <wp:positionV relativeFrom="paragraph">
              <wp:posOffset>52070</wp:posOffset>
            </wp:positionV>
            <wp:extent cx="1733550" cy="1866900"/>
            <wp:effectExtent l="0" t="0" r="0" b="0"/>
            <wp:wrapSquare wrapText="bothSides"/>
            <wp:docPr id="1" name="Picture 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lang w:val="en-US"/>
        </w:rPr>
        <w:t>B</w:t>
      </w:r>
      <w:r>
        <w:rPr>
          <w:b/>
          <w:lang w:val="en-US"/>
        </w:rPr>
        <w:t>ackground and research question</w:t>
      </w:r>
      <w:r>
        <w:rPr>
          <w:lang w:val="en-US"/>
        </w:rPr>
        <w:t xml:space="preserve">: </w:t>
      </w:r>
      <w:r>
        <w:rPr>
          <w:lang w:val="en-GB"/>
        </w:rPr>
        <w:t>It is found that strenuous occupational physical activity can lead to workers being granted a disability pension</w:t>
      </w:r>
      <w:r>
        <w:fldChar w:fldCharType="begin"/>
      </w:r>
      <w:r>
        <w:rPr>
          <w:lang w:val="en-GB"/>
        </w:rPr>
        <w:instrText>ADDIN EN.CITE &lt;EndNote&gt;&lt;Cite&gt;&lt;Author&gt;Stapelfeldt&lt;/Author&gt;&lt;Year&gt;2014&lt;/Year&gt;&lt;RecNum&gt;26&lt;/RecNum&gt;&lt;DisplayText&gt;[7]&lt;/DisplayText&gt;&lt;record&gt;&lt;rec-number&gt;26&lt;/rec-number&gt;&lt;foreign-keys&gt;&lt;key app="EN" db-id="rxsz0e25u0esd9exapdv95fpdexpfdfss0zv" timestamp="1571242626"&gt;26&lt;/key&gt;&lt;/foreign-keys&gt;&lt;ref-type name="Artwork"&gt;2&lt;/ref-type&gt;&lt;contributors&gt;&lt;authors&gt;&lt;author&gt;Stapelfeldt, Christina Malmose&lt;/author&gt;&lt;author&gt;Nielsen, Claus Vinther&lt;/author&gt;&lt;author&gt;Andersen, Niels Trolle&lt;/author&gt;&lt;author&gt;Krane, Line&lt;/author&gt;&lt;author&gt;Borg, Vilhelm&lt;/author&gt;&lt;author&gt;Fleten, Nils&lt;/author&gt;&lt;author&gt;Jensen, Chris&lt;/author&gt;&lt;/authors&gt;&lt;/contributors&gt;&lt;titles&gt;&lt;title&gt;Sick leave patterns as predictors of disability pension or long-term sick leave: a 6.75-year follow-up study in municipal eldercare workers&lt;/title&gt;&lt;/titles&gt;&lt;keywords&gt;&lt;keyword&gt;Open Access&lt;/keyword&gt;&lt;keyword&gt;Epidemiology&lt;/keyword&gt;&lt;keyword&gt;Occupational and Environmental Medicine&lt;/keyword&gt;&lt;keyword&gt;Public Health&lt;/keyword&gt;&lt;keyword&gt;Rehabilitation Medicine&lt;/keyword&gt;&lt;keyword&gt;Research Methods&lt;/keyword&gt;&lt;/keywords&gt;&lt;dates&gt;&lt;year&gt;2014&lt;/year&gt;&lt;/dates&gt;&lt;publisher&gt;British Medical Journal Publishing Group&lt;/publisher&gt;&lt;isbn&gt;2044-6055,20446055&lt;/isbn&gt;&lt;urls&gt;&lt;related-urls&gt;&lt;url&gt;https://bmjopen.bmj.com/content/bmjopen/4/2/e003941.full.pdf&lt;/url&gt;&lt;/related-urls&gt;&lt;/urls&gt;&lt;electronic-resource-num&gt;10.1136/bmjopen-2013-003941&lt;/electronic-resource-num&gt;&lt;/record&gt;&lt;/Cite&gt;&lt;/EndNote&gt;</w:instrText>
      </w:r>
      <w:r>
        <w:rPr>
          <w:lang w:val="en-GB"/>
        </w:rPr>
      </w:r>
      <w:r>
        <w:rPr>
          <w:lang w:val="en-GB"/>
        </w:rPr>
        <w:fldChar w:fldCharType="separate"/>
      </w:r>
      <w:r>
        <w:rPr>
          <w:lang w:val="en-GB"/>
        </w:rPr>
        <w:t>[1]</w:t>
      </w:r>
      <w:r>
        <w:rPr>
          <w:lang w:val="en-GB"/>
        </w:rPr>
      </w:r>
      <w:r>
        <w:rPr>
          <w:lang w:val="en-GB"/>
        </w:rPr>
        <w:fldChar w:fldCharType="end"/>
      </w:r>
      <w:r>
        <w:rPr>
          <w:lang w:val="en-GB"/>
        </w:rPr>
        <w:t xml:space="preserve"> as well as finding their work physically demanding, stressful</w:t>
      </w:r>
      <w:r>
        <w:fldChar w:fldCharType="begin"/>
      </w:r>
      <w:r>
        <w:rPr>
          <w:lang w:val="en-GB"/>
        </w:rPr>
        <w:instrText>ADDIN EN.CITE</w:instrText>
      </w:r>
      <w:r>
        <w:rPr>
          <w:lang w:val="en-GB"/>
        </w:rPr>
      </w:r>
      <w:r>
        <w:fldChar w:fldCharType="begin"/>
      </w:r>
      <w:r>
        <w:rPr>
          <w:lang w:val="en-GB"/>
        </w:rPr>
        <w:instrText>ADDIN EN.CITE.DATA</w:instrText>
      </w:r>
      <w:r>
        <w:rPr>
          <w:lang w:val="en-GB"/>
        </w:rPr>
      </w:r>
      <w:r>
        <w:rPr>
          <w:lang w:val="en-GB"/>
        </w:rPr>
        <w:fldChar w:fldCharType="separate"/>
      </w:r>
      <w:r>
        <w:rPr>
          <w:lang w:val="en-GB"/>
        </w:rPr>
      </w:r>
      <w:r>
        <w:rPr>
          <w:lang w:val="en-GB"/>
        </w:rPr>
      </w:r>
      <w:r>
        <w:rPr>
          <w:lang w:val="en-GB"/>
        </w:rPr>
        <w:fldChar w:fldCharType="end"/>
      </w:r>
      <w:r>
        <w:rPr>
          <w:lang w:val="en-GB"/>
        </w:rPr>
        <w:fldChar w:fldCharType="separate"/>
      </w:r>
      <w:r>
        <w:rPr>
          <w:lang w:val="en-GB"/>
        </w:rPr>
        <w:t>[2, 3]</w:t>
      </w:r>
      <w:r>
        <w:rPr>
          <w:lang w:val="en-GB"/>
        </w:rPr>
      </w:r>
      <w:r>
        <w:rPr>
          <w:lang w:val="en-GB"/>
        </w:rPr>
        <w:fldChar w:fldCharType="end"/>
      </w:r>
      <w:r>
        <w:rPr>
          <w:lang w:val="en-GB"/>
        </w:rPr>
        <w:t xml:space="preserve"> and exhausting</w:t>
      </w:r>
      <w:r>
        <w:fldChar w:fldCharType="begin"/>
      </w:r>
      <w:r>
        <w:rPr>
          <w:lang w:val="en-GB"/>
        </w:rPr>
        <w:instrText>ADDIN EN.CITE &lt;EndNote&gt;&lt;Cite&gt;&lt;Author&gt;Rønning&lt;/Author&gt;&lt;Year&gt;2010&lt;/Year&gt;&lt;RecNum&gt;20&lt;/RecNum&gt;&lt;DisplayText&gt;[10]&lt;/DisplayText&gt;&lt;record&gt;&lt;rec-number&gt;20&lt;/rec-number&gt;&lt;foreign-keys&gt;&lt;key app="EN" db-id="rxsz0e25u0esd9exapdv95fpdexpfdfss0zv" timestamp="1571138814"&gt;20&lt;/key&gt;&lt;/foreign-keys&gt;&lt;ref-type name="Journal Article"&gt;17&lt;/ref-type&gt;&lt;contributors&gt;&lt;authors&gt;&lt;author&gt;Rønning, Elisabeth&lt;/author&gt;&lt;/authors&gt;&lt;/contributors&gt;&lt;titles&gt;&lt;title&gt;&amp;quot;Helsearbeidere&amp;quot; - tøffe kvinner i deltidsjobber ; kvinner i helse- og sosialyrker&lt;/title&gt;&lt;secondary-title&gt;Samfunnsspeilet&lt;/secondary-title&gt;&lt;/titles&gt;&lt;periodical&gt;&lt;full-title&gt;Samfunnsspeilet&lt;/full-title&gt;&lt;/periodical&gt;&lt;pages&gt;35-42&lt;/pages&gt;&lt;volume&gt;24&lt;/volume&gt;&lt;number&gt;1&lt;/number&gt;&lt;keywords&gt;&lt;keyword&gt;Helsepersonell&lt;/keyword&gt;&lt;keyword&gt;Kvinner&lt;/keyword&gt;&lt;keyword&gt;Deltidsarbeid&lt;/keyword&gt;&lt;keyword&gt;Arbeidstid&lt;/keyword&gt;&lt;/keywords&gt;&lt;dates&gt;&lt;year&gt;2010&lt;/year&gt;&lt;/dates&gt;&lt;isbn&gt;0801-7603&lt;/isbn&gt;&lt;urls&gt;&lt;/urls&gt;&lt;/record&gt;&lt;/Cite&gt;&lt;/EndNote&gt;</w:instrText>
      </w:r>
      <w:r>
        <w:rPr>
          <w:lang w:val="en-GB"/>
        </w:rPr>
      </w:r>
      <w:r>
        <w:rPr>
          <w:lang w:val="en-GB"/>
        </w:rPr>
        <w:fldChar w:fldCharType="separate"/>
      </w:r>
      <w:r>
        <w:rPr>
          <w:lang w:val="en-GB"/>
        </w:rPr>
        <w:t>[4]</w:t>
      </w:r>
      <w:r>
        <w:rPr>
          <w:lang w:val="en-GB"/>
        </w:rPr>
      </w:r>
      <w:r>
        <w:rPr>
          <w:lang w:val="en-GB"/>
        </w:rPr>
        <w:fldChar w:fldCharType="end"/>
      </w:r>
      <w:r>
        <w:rPr>
          <w:lang w:val="en-GB"/>
        </w:rPr>
        <w:t xml:space="preserve">. </w:t>
      </w:r>
      <w:bookmarkStart w:id="0" w:name="_Hlk23837080"/>
      <w:r>
        <w:rPr>
          <w:lang w:val="en-GB"/>
        </w:rPr>
        <w:t xml:space="preserve">Musculoskeletal pain </w:t>
      </w:r>
      <w:bookmarkEnd w:id="0"/>
      <w:r>
        <w:rPr>
          <w:lang w:val="en-GB"/>
        </w:rPr>
        <w:t xml:space="preserve">is a major health problem in a range of workers </w:t>
      </w:r>
      <w:r>
        <w:fldChar w:fldCharType="begin"/>
      </w:r>
      <w:r>
        <w:rPr>
          <w:lang w:val="en-GB"/>
        </w:rPr>
        <w:instrText>ADDIN EN.CITE &lt;EndNote&gt;&lt;Cite&gt;&lt;Author&gt;Lundberg&lt;/Author&gt;&lt;Year&gt;2017&lt;/Year&gt;&lt;RecNum&gt;18&lt;/RecNum&gt;&lt;DisplayText&gt;[11, 12]&lt;/DisplayText&gt;&lt;record&gt;&lt;rec-number&gt;18&lt;/rec-number&gt;&lt;foreign-keys&gt;&lt;key app="EN" db-id="rxsz0e25u0esd9exapdv95fpdexpfdfss0zv" timestamp="1571134326"&gt;18&lt;/key&gt;&lt;/foreign-keys&gt;&lt;ref-type name="Journal Article"&gt;17&lt;/ref-type&gt;&lt;contributors&gt;&lt;authors&gt;&lt;author&gt;Lundberg, G.&lt;/author&gt;&lt;author&gt;Gerdle, B.&lt;/author&gt;&lt;/authors&gt;&lt;/contributors&gt;&lt;titles&gt;&lt;title&gt;Musculoskeletal signs in female homecare personnel: A longitudinal epidemiological study&lt;/title&gt;&lt;secondary-title&gt;Work&lt;/secondary-title&gt;&lt;/titles&gt;&lt;periodical&gt;&lt;full-title&gt;Work&lt;/full-title&gt;&lt;/periodical&gt;&lt;pages&gt;135-147&lt;/pages&gt;&lt;volume&gt;58&lt;/volume&gt;&lt;number&gt;2&lt;/number&gt;&lt;keywords&gt;&lt;keyword&gt;Joint Mobility&lt;/keyword&gt;&lt;keyword&gt;Posture&lt;/keyword&gt;&lt;keyword&gt;Risk&lt;/keyword&gt;&lt;keyword&gt;Segmental Mobility&lt;/keyword&gt;&lt;keyword&gt;Segmental Pain&lt;/keyword&gt;&lt;/keywords&gt;&lt;dates&gt;&lt;year&gt;2017&lt;/year&gt;&lt;/dates&gt;&lt;isbn&gt;10519815&lt;/isbn&gt;&lt;urls&gt;&lt;/urls&gt;&lt;electronic-resource-num&gt;10.3233/WOR-172609&lt;/electronic-resource-num&gt;&lt;/record&gt;&lt;/Cite&gt;&lt;Cite&gt;&lt;Author&gt;Statistics Norway&lt;/Author&gt;&lt;Year&gt;2016&lt;/Year&gt;&lt;RecNum&gt;21&lt;/RecNum&gt;&lt;record&gt;&lt;rec-number&gt;21&lt;/rec-number&gt;&lt;foreign-keys&gt;&lt;key app="EN" db-id="rxsz0e25u0esd9exapdv95fpdexpfdfss0zv" timestamp="1571140529"&gt;21&lt;/key&gt;&lt;/foreign-keys&gt;&lt;ref-type name="Web Page"&gt;12&lt;/ref-type&gt;&lt;contributors&gt;&lt;authors&gt;&lt;author&gt;Statistics Norway,&lt;/author&gt;&lt;/authors&gt;&lt;/contributors&gt;&lt;titles&gt;&lt;title&gt;Arbeidsmiljø, levekårsundersøkelsen [Norwegian]&lt;/title&gt;&lt;/titles&gt;&lt;dates&gt;&lt;year&gt;2016&lt;/year&gt;&lt;/dates&gt;&lt;urls&gt;&lt;related-urls&gt;&lt;url&gt;https://www.ssb.no/statbank/table/10479/tableViewLayout1/&lt;/url&gt;&lt;/related-urls&gt;&lt;/urls&gt;&lt;electronic-resource-num&gt;https://www.ssb.no/statbank/table/10479/tableViewLayout1/&lt;/electronic-resource-num&gt;&lt;/record&gt;&lt;/Cite&gt;&lt;/EndNote&gt;</w:instrText>
      </w:r>
      <w:r>
        <w:rPr>
          <w:lang w:val="en-GB"/>
        </w:rPr>
      </w:r>
      <w:r>
        <w:rPr>
          <w:lang w:val="en-GB"/>
        </w:rPr>
        <w:fldChar w:fldCharType="separate"/>
      </w:r>
      <w:r>
        <w:rPr>
          <w:lang w:val="en-GB"/>
        </w:rPr>
        <w:t>[5, 6]</w:t>
      </w:r>
      <w:r>
        <w:rPr>
          <w:lang w:val="en-GB"/>
        </w:rPr>
      </w:r>
      <w:r>
        <w:rPr>
          <w:lang w:val="en-GB"/>
        </w:rPr>
        <w:fldChar w:fldCharType="end"/>
      </w:r>
      <w:r>
        <w:rPr>
          <w:lang w:val="en-GB"/>
        </w:rPr>
        <w:t xml:space="preserve"> and musculoskeletal pain </w:t>
      </w:r>
      <w:r>
        <w:rPr>
          <w:lang w:val="en-US"/>
        </w:rPr>
        <w:t>is well-known to be of great consequence for life quality, work participation and productivity.</w:t>
      </w:r>
      <w:r>
        <w:rPr>
          <w:rStyle w:val="Normaltextrun1"/>
          <w:lang w:val="en-US"/>
        </w:rPr>
        <w:t xml:space="preserve"> </w:t>
      </w:r>
      <w:r>
        <w:rPr>
          <w:rStyle w:val="Normaltextrun1"/>
          <w:lang w:val="en-GB"/>
        </w:rPr>
        <w:t>The current digitalization trends in wearable technologies are expected to enable enormous possibilities for novel, flexible, cost-effective and interactive occupational physical activity monitoring and</w:t>
      </w:r>
      <w:r>
        <w:rPr>
          <w:rStyle w:val="Normaltextrun1"/>
          <w:rFonts w:cs="Calibri"/>
          <w:lang w:val="en-GB"/>
        </w:rPr>
        <w:t xml:space="preserve"> interventions </w:t>
      </w:r>
      <w:r>
        <w:rPr>
          <w:rStyle w:val="Normaltextrun1"/>
          <w:lang w:val="en-GB"/>
        </w:rPr>
        <w:t>while maintaining and improving work efficiency and health</w:t>
      </w:r>
      <w:r>
        <w:rPr>
          <w:rStyle w:val="Normaltextrun1"/>
          <w:rFonts w:cs="Calibri"/>
          <w:lang w:val="en-GB"/>
        </w:rPr>
        <w:t>.</w:t>
      </w:r>
    </w:p>
    <w:p>
      <w:pPr>
        <w:pStyle w:val="Normal"/>
        <w:spacing w:lineRule="auto" w:line="240"/>
        <w:rPr>
          <w:rStyle w:val="Normaltextrun1"/>
          <w:lang w:val="en-US"/>
        </w:rPr>
      </w:pPr>
      <w:r>
        <w:rPr>
          <w:rStyle w:val="Normaltextrun1"/>
          <w:rFonts w:cs="Calibri"/>
          <w:b/>
          <w:bCs/>
          <w:lang w:val="en-GB"/>
        </w:rPr>
        <w:t>The availability of wearable sensor devices is rapidly increasing and can be used to quantify aspects of human activities [7-10]</w:t>
      </w:r>
      <w:r>
        <w:rPr>
          <w:rStyle w:val="Normaltextrun1"/>
          <w:rFonts w:cs="Calibri"/>
          <w:lang w:val="en-GB"/>
        </w:rPr>
        <w:t>. However, these sensors are targeted towards exercise and sport applications and not for occupational settings.</w:t>
      </w:r>
    </w:p>
    <w:p>
      <w:pPr>
        <w:pStyle w:val="Normal"/>
        <w:spacing w:lineRule="auto" w:line="240"/>
        <w:rPr>
          <w:rStyle w:val="Eop"/>
          <w:rFonts w:ascii="Calibri" w:hAnsi="Calibri" w:cs="Calibri"/>
          <w:lang w:val="en-GB"/>
        </w:rPr>
      </w:pPr>
      <w:r>
        <w:rPr>
          <w:rStyle w:val="Normaltextrun1"/>
          <w:rFonts w:cs="Calibri"/>
          <w:lang w:val="en-US"/>
        </w:rPr>
        <w:t>There</w:t>
      </w:r>
      <w:r>
        <w:rPr>
          <w:rStyle w:val="Normaltextrun1"/>
          <w:rFonts w:cs="Calibri"/>
          <w:lang w:val="en-GB"/>
        </w:rPr>
        <w:t xml:space="preserve"> is therefore a need for the development of accurate and precise methods for monitoring physical and physiological strain by </w:t>
      </w:r>
      <w:r>
        <w:rPr>
          <w:rStyle w:val="Normaltextrun1"/>
          <w:rFonts w:cs="Calibri"/>
          <w:b/>
          <w:bCs/>
          <w:lang w:val="en-GB"/>
        </w:rPr>
        <w:t>automatically</w:t>
      </w:r>
      <w:r>
        <w:rPr>
          <w:rStyle w:val="Normaltextrun1"/>
          <w:rFonts w:cs="Calibri"/>
          <w:lang w:val="en-GB"/>
        </w:rPr>
        <w:t xml:space="preserve"> </w:t>
      </w:r>
      <w:r>
        <w:rPr>
          <w:rStyle w:val="Normaltextrun1"/>
          <w:rFonts w:cs="Calibri"/>
          <w:b/>
          <w:bCs/>
          <w:lang w:val="en-GB"/>
        </w:rPr>
        <w:t>detecting occupational activities from signals</w:t>
      </w:r>
      <w:r>
        <w:rPr>
          <w:rStyle w:val="Normaltextrun1"/>
          <w:rFonts w:cs="Calibri"/>
          <w:lang w:val="en-GB"/>
        </w:rPr>
        <w:t xml:space="preserve"> provided by wearable, non-invasive sensors [7-10]. New knowledge on </w:t>
      </w:r>
      <w:r>
        <w:rPr>
          <w:rStyle w:val="Normaltextrun1"/>
          <w:rFonts w:cs="Calibri"/>
          <w:b/>
          <w:bCs/>
          <w:lang w:val="en-GB"/>
        </w:rPr>
        <w:t>activity identification from wearable sensors</w:t>
      </w:r>
      <w:r>
        <w:rPr>
          <w:rStyle w:val="Normaltextrun1"/>
          <w:rFonts w:cs="Calibri"/>
          <w:lang w:val="en-GB"/>
        </w:rPr>
        <w:t xml:space="preserve"> can be used as a preventive measure and decision support on both an individual level and group level. </w:t>
      </w:r>
    </w:p>
    <w:p>
      <w:pPr>
        <w:pStyle w:val="Paragraph"/>
        <w:textAlignment w:val="baseline"/>
        <w:rPr>
          <w:rStyle w:val="Eop"/>
          <w:rFonts w:ascii="Calibri" w:hAnsi="Calibri" w:cs="Calibri" w:asciiTheme="minorHAnsi" w:cstheme="minorHAnsi" w:hAnsiTheme="minorHAnsi"/>
          <w:sz w:val="22"/>
          <w:szCs w:val="22"/>
          <w:lang w:val="en-GB"/>
        </w:rPr>
      </w:pPr>
      <w:r>
        <w:rPr>
          <w:rStyle w:val="Eop"/>
          <w:rFonts w:cs="Calibri" w:ascii="Calibri" w:hAnsi="Calibri" w:asciiTheme="minorHAnsi" w:cstheme="minorHAnsi" w:hAnsiTheme="minorHAnsi"/>
          <w:b/>
          <w:bCs/>
          <w:sz w:val="22"/>
          <w:szCs w:val="22"/>
          <w:lang w:val="en-GB"/>
        </w:rPr>
        <w:t xml:space="preserve">The aim of the project </w:t>
      </w:r>
      <w:r>
        <w:rPr>
          <w:rStyle w:val="Eop"/>
          <w:rFonts w:cs="Calibri" w:ascii="Calibri" w:hAnsi="Calibri" w:asciiTheme="minorHAnsi" w:cstheme="minorHAnsi" w:hAnsiTheme="minorHAnsi"/>
          <w:sz w:val="22"/>
          <w:szCs w:val="22"/>
          <w:lang w:val="en-GB"/>
        </w:rPr>
        <w:t>is to gain knowledge on 1) Inertial measurement units (IMU) time series quality control and pre-processing 2) developing and implementing activity detection algorithms from movement and physiological signals to analyse and manage occupational health and safety within different working environments. This is a joint project of SINTEF and NTNU.</w:t>
      </w:r>
    </w:p>
    <w:p>
      <w:pPr>
        <w:pStyle w:val="Paragraph"/>
        <w:textAlignment w:val="baseline"/>
        <w:rPr>
          <w:rStyle w:val="Eop"/>
          <w:rFonts w:ascii="Calibri" w:hAnsi="Calibri" w:cs="Calibri" w:asciiTheme="minorHAnsi" w:cstheme="minorHAnsi" w:hAnsiTheme="minorHAnsi"/>
          <w:sz w:val="22"/>
          <w:szCs w:val="22"/>
          <w:lang w:val="en-GB"/>
        </w:rPr>
      </w:pPr>
      <w:r>
        <w:rPr>
          <w:rFonts w:cs="Calibri" w:cstheme="minorHAnsi" w:ascii="Calibri" w:hAnsi="Calibri"/>
          <w:sz w:val="22"/>
          <w:szCs w:val="22"/>
          <w:lang w:val="en-GB"/>
        </w:rPr>
      </w:r>
    </w:p>
    <w:p>
      <w:pPr>
        <w:pStyle w:val="Paragraph"/>
        <w:textAlignment w:val="baseline"/>
        <w:rPr>
          <w:rStyle w:val="Eop"/>
          <w:rFonts w:ascii="Calibri" w:hAnsi="Calibri" w:cs="Calibri" w:asciiTheme="minorHAnsi" w:cstheme="minorHAnsi" w:hAnsiTheme="minorHAnsi"/>
          <w:sz w:val="22"/>
          <w:szCs w:val="22"/>
          <w:lang w:val="en-GB"/>
        </w:rPr>
      </w:pPr>
      <w:r>
        <w:rPr>
          <w:rStyle w:val="Eop"/>
          <w:rFonts w:cs="Calibri" w:ascii="Calibri" w:hAnsi="Calibri" w:asciiTheme="minorHAnsi" w:cstheme="minorHAnsi" w:hAnsiTheme="minorHAnsi"/>
          <w:b/>
          <w:bCs/>
          <w:sz w:val="22"/>
          <w:szCs w:val="22"/>
          <w:lang w:val="en-GB"/>
        </w:rPr>
        <w:t>Assignment</w:t>
      </w:r>
      <w:r>
        <w:rPr>
          <w:rStyle w:val="Eop"/>
          <w:rFonts w:cs="Calibri" w:ascii="Calibri" w:hAnsi="Calibri" w:asciiTheme="minorHAnsi" w:cstheme="minorHAnsi" w:hAnsiTheme="minorHAnsi"/>
          <w:sz w:val="22"/>
          <w:szCs w:val="22"/>
          <w:lang w:val="en-GB"/>
        </w:rPr>
        <w:t xml:space="preserve">: to develop and test a Python tool for the automatic detection of relevant work-related activities from wearable accelerometer data. The tool can be model-based similarly to existing validated tools such as Acti4, or machine learning-based using data collected for DigitalWorker. </w:t>
      </w:r>
    </w:p>
    <w:p>
      <w:pPr>
        <w:pStyle w:val="Paragraph"/>
        <w:textAlignment w:val="baseline"/>
        <w:rPr>
          <w:rFonts w:ascii="Calibri" w:hAnsi="Calibri" w:cs="Calibri" w:asciiTheme="minorHAnsi" w:cstheme="minorHAnsi" w:hAnsiTheme="minorHAnsi"/>
          <w:sz w:val="22"/>
          <w:szCs w:val="22"/>
          <w:lang w:val="en-GB"/>
        </w:rPr>
      </w:pPr>
      <w:r>
        <w:rPr>
          <w:rFonts w:cs="Calibri" w:cstheme="minorHAnsi" w:ascii="Calibri" w:hAnsi="Calibri"/>
          <w:sz w:val="22"/>
          <w:szCs w:val="22"/>
          <w:lang w:val="en-GB"/>
        </w:rPr>
      </w:r>
    </w:p>
    <w:p>
      <w:pPr>
        <w:pStyle w:val="Normal"/>
        <w:rPr>
          <w:lang w:val="en-US"/>
        </w:rPr>
      </w:pPr>
      <w:r>
        <w:rPr>
          <w:b/>
          <w:lang w:val="en-US"/>
        </w:rPr>
        <w:t>Proposed plan</w:t>
      </w:r>
      <w:r>
        <w:rPr>
          <w:lang w:val="en-US"/>
        </w:rPr>
        <w:t>: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Introduction to sensor technology and data from DigitalWorker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Familiarization with Acti4 and relevant occupational activities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Development of Python activity detection software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Implementation and testing of activity detection software on existing data</w:t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</w:r>
    </w:p>
    <w:p>
      <w:pPr>
        <w:pStyle w:val="Normal"/>
        <w:rPr>
          <w:lang w:val="en-US"/>
        </w:rPr>
      </w:pPr>
      <w:r>
        <w:rPr>
          <w:b/>
          <w:lang w:val="en-GB"/>
        </w:rPr>
        <w:t>Main supervisor</w:t>
      </w:r>
      <w:r>
        <w:rPr>
          <w:lang w:val="en-GB"/>
        </w:rPr>
        <w:t>: Victor Gonzalez (SINTEF)</w:t>
      </w:r>
      <w:r>
        <w:rPr>
          <w:lang w:val="en-US"/>
        </w:rPr>
        <w:br/>
      </w:r>
      <w:r>
        <w:rPr>
          <w:b/>
          <w:lang w:val="en-US"/>
        </w:rPr>
        <w:t>Co-supervisor</w:t>
      </w:r>
      <w:r>
        <w:rPr>
          <w:lang w:val="en-US"/>
        </w:rPr>
        <w:t>: Trine Seeberg (SINTEF)</w:t>
      </w:r>
    </w:p>
    <w:p>
      <w:pPr>
        <w:pStyle w:val="Normal"/>
        <w:rPr>
          <w:lang w:val="en-US"/>
        </w:rPr>
      </w:pPr>
      <w:r>
        <w:rPr>
          <w:b/>
          <w:lang w:val="en-US"/>
        </w:rPr>
        <w:t>Contact email</w:t>
      </w:r>
      <w:r>
        <w:rPr>
          <w:lang w:val="en-US"/>
        </w:rPr>
        <w:t>: victor.gonzalez@sintef.no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References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1. Stapelfeldt, C.M., et al., </w:t>
      </w:r>
      <w:r>
        <w:rPr>
          <w:i/>
          <w:lang w:val="en-US"/>
        </w:rPr>
        <w:t>Sick leave patterns as predictors of disability pension or long-term sick leave: a 6.75-year follow-up study in municipal eldercare workers</w:t>
      </w:r>
      <w:r>
        <w:rPr>
          <w:lang w:val="en-US"/>
        </w:rPr>
        <w:t>. 2014, British Medical Journal Publishing Group.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2. Delp, L., et al., </w:t>
      </w:r>
      <w:r>
        <w:rPr>
          <w:i/>
          <w:lang w:val="en-US"/>
        </w:rPr>
        <w:t>Job Stress and Job Satisfaction: Home Care Workers in a Consumer‐Directed Model of Care.</w:t>
      </w:r>
      <w:r>
        <w:rPr>
          <w:lang w:val="en-US"/>
        </w:rPr>
        <w:t xml:space="preserve"> Health Services Research, 2010. </w:t>
      </w:r>
      <w:r>
        <w:rPr>
          <w:b/>
          <w:lang w:val="en-US"/>
        </w:rPr>
        <w:t>45</w:t>
      </w:r>
      <w:r>
        <w:rPr>
          <w:lang w:val="en-US"/>
        </w:rPr>
        <w:t>(4): p. 922-940.</w:t>
      </w:r>
    </w:p>
    <w:p>
      <w:pPr>
        <w:pStyle w:val="Normal"/>
        <w:rPr/>
      </w:pPr>
      <w:r>
        <w:rPr>
          <w:lang w:val="en-US"/>
        </w:rPr>
        <w:t xml:space="preserve">3. Denton, M., et al., </w:t>
      </w:r>
      <w:r>
        <w:rPr>
          <w:i/>
          <w:lang w:val="en-US"/>
        </w:rPr>
        <w:t>Job Stress and Job Dissatisfaction of Home Care Workers in the Context of Health Care Restructuring.</w:t>
      </w:r>
      <w:r>
        <w:rPr>
          <w:lang w:val="en-US"/>
        </w:rPr>
        <w:t xml:space="preserve"> </w:t>
      </w:r>
      <w:r>
        <w:rPr/>
        <w:t xml:space="preserve">International Journal of Health Services, 2002. </w:t>
      </w:r>
      <w:r>
        <w:rPr>
          <w:b/>
        </w:rPr>
        <w:t>32</w:t>
      </w:r>
      <w:r>
        <w:rPr/>
        <w:t>(2): p. 327-357.</w:t>
      </w:r>
    </w:p>
    <w:p>
      <w:pPr>
        <w:pStyle w:val="Normal"/>
        <w:rPr>
          <w:lang w:val="en-US"/>
        </w:rPr>
      </w:pPr>
      <w:r>
        <w:rPr/>
        <w:t xml:space="preserve">4. Rønning, E., </w:t>
      </w:r>
      <w:r>
        <w:rPr>
          <w:i/>
        </w:rPr>
        <w:t>"Helsearbeidere" - tøffe kvinner i deltidsjobber ; kvinner i helse- og sosialyrker.</w:t>
      </w:r>
      <w:r>
        <w:rPr/>
        <w:t xml:space="preserve"> </w:t>
      </w:r>
      <w:r>
        <w:rPr>
          <w:lang w:val="en-US"/>
        </w:rPr>
        <w:t xml:space="preserve">Samfunnsspeilet, 2010. </w:t>
      </w:r>
      <w:r>
        <w:rPr>
          <w:b/>
          <w:lang w:val="en-US"/>
        </w:rPr>
        <w:t>24</w:t>
      </w:r>
      <w:r>
        <w:rPr>
          <w:lang w:val="en-US"/>
        </w:rPr>
        <w:t>(1): p. 35-42.</w:t>
      </w:r>
    </w:p>
    <w:p>
      <w:pPr>
        <w:pStyle w:val="Normal"/>
        <w:rPr/>
      </w:pPr>
      <w:r>
        <w:rPr>
          <w:lang w:val="en-US"/>
        </w:rPr>
        <w:t xml:space="preserve">5. Lundberg, G. and B. Gerdle, </w:t>
      </w:r>
      <w:r>
        <w:rPr>
          <w:i/>
          <w:lang w:val="en-US"/>
        </w:rPr>
        <w:t>Musculoskeletal signs in female homecare personnel: A longitudinal epidemiological study.</w:t>
      </w:r>
      <w:r>
        <w:rPr>
          <w:lang w:val="en-US"/>
        </w:rPr>
        <w:t xml:space="preserve"> </w:t>
      </w:r>
      <w:r>
        <w:rPr/>
        <w:t xml:space="preserve">Work, 2017. </w:t>
      </w:r>
      <w:r>
        <w:rPr>
          <w:b/>
        </w:rPr>
        <w:t>58</w:t>
      </w:r>
      <w:r>
        <w:rPr/>
        <w:t>(2): p. 135-147.</w:t>
      </w:r>
    </w:p>
    <w:p>
      <w:pPr>
        <w:pStyle w:val="Normal"/>
        <w:rPr/>
      </w:pPr>
      <w:r>
        <w:rPr/>
        <w:t xml:space="preserve">6. Statistics Norway. </w:t>
      </w:r>
      <w:r>
        <w:rPr>
          <w:i/>
        </w:rPr>
        <w:t>Arbeidsmiljø, levekårsundersøkelsen [Norwegian]</w:t>
      </w:r>
      <w:r>
        <w:rPr/>
        <w:t xml:space="preserve">. 2016; Available from: </w:t>
      </w:r>
      <w:hyperlink r:id="rId3">
        <w:r>
          <w:rPr>
            <w:rStyle w:val="InternetLink"/>
          </w:rPr>
          <w:t>https://www.ssb.no/statbank/table/10479/tableViewLayout1/</w:t>
        </w:r>
      </w:hyperlink>
      <w:r>
        <w:rPr/>
        <w:t>.</w:t>
      </w:r>
    </w:p>
    <w:p>
      <w:pPr>
        <w:pStyle w:val="Normal"/>
        <w:rPr/>
      </w:pPr>
      <w:r>
        <w:rPr/>
        <w:t xml:space="preserve">7. Palm, P., Gupta, N., Forsman, M., Skotte, J., Nordquist, T., &amp; Holtermann, A. (2018). </w:t>
      </w:r>
      <w:r>
        <w:rPr>
          <w:lang w:val="en-GB"/>
        </w:rPr>
        <w:t>Exposure to upper arm elevation during work compared to leisure among 12 different occupations measured with triaxial accelerometers. </w:t>
      </w:r>
      <w:r>
        <w:rPr>
          <w:i/>
          <w:iCs/>
        </w:rPr>
        <w:t>Annals of work exposures and health</w:t>
      </w:r>
      <w:r>
        <w:rPr/>
        <w:t>, </w:t>
      </w:r>
      <w:r>
        <w:rPr>
          <w:i/>
          <w:iCs/>
        </w:rPr>
        <w:t>62</w:t>
      </w:r>
      <w:r>
        <w:rPr/>
        <w:t>(6), 689-698.</w:t>
      </w:r>
    </w:p>
    <w:p>
      <w:pPr>
        <w:pStyle w:val="Normal"/>
        <w:rPr/>
      </w:pPr>
      <w:r>
        <w:rPr/>
        <w:t xml:space="preserve">8. Hendriksen, P. F., Korshøj, M., Skotte, J., &amp; Holtermann, A. (2020). </w:t>
      </w:r>
      <w:r>
        <w:rPr>
          <w:lang w:val="en-GB"/>
        </w:rPr>
        <w:t>Detection of kneeling and squatting during work using wireless triaxial accelerometers. </w:t>
      </w:r>
      <w:r>
        <w:rPr>
          <w:i/>
          <w:iCs/>
        </w:rPr>
        <w:t>Ergonomics</w:t>
      </w:r>
      <w:r>
        <w:rPr/>
        <w:t>, </w:t>
      </w:r>
      <w:r>
        <w:rPr>
          <w:i/>
          <w:iCs/>
        </w:rPr>
        <w:t>63</w:t>
      </w:r>
      <w:r>
        <w:rPr/>
        <w:t>(5), 607-617.</w:t>
      </w:r>
    </w:p>
    <w:p>
      <w:pPr>
        <w:pStyle w:val="Normal"/>
        <w:rPr/>
      </w:pPr>
      <w:r>
        <w:rPr>
          <w:lang w:val="en-GB"/>
        </w:rPr>
        <w:t>9. Clays, E., Hallman, D., Oakman, J., &amp; Holtermann, A. (2020). Objectively measured occupational physical activity in blue-collar workers: what is the role of job type, gender and psychosocial resources?. </w:t>
      </w:r>
      <w:r>
        <w:rPr>
          <w:i/>
          <w:iCs/>
        </w:rPr>
        <w:t>Applied ergonomics</w:t>
      </w:r>
      <w:r>
        <w:rPr/>
        <w:t>, </w:t>
      </w:r>
      <w:r>
        <w:rPr>
          <w:i/>
          <w:iCs/>
        </w:rPr>
        <w:t>82</w:t>
      </w:r>
      <w:r>
        <w:rPr/>
        <w:t>, 102948.</w:t>
      </w:r>
    </w:p>
    <w:p>
      <w:pPr>
        <w:pStyle w:val="Normal"/>
        <w:spacing w:before="0" w:after="160"/>
        <w:rPr>
          <w:lang w:val="en-US"/>
        </w:rPr>
      </w:pPr>
      <w:r>
        <w:rPr>
          <w:lang w:val="en-GB"/>
        </w:rPr>
        <w:t>10. Hou, C. (2020, May). A study on IMU-based human activity recognition using deep learning and traditional machine learning. In </w:t>
      </w:r>
      <w:r>
        <w:rPr>
          <w:i/>
          <w:iCs/>
          <w:lang w:val="en-GB"/>
        </w:rPr>
        <w:t>2020 5th International Conference on Computer and Communication Systems (ICCCS)</w:t>
      </w:r>
      <w:r>
        <w:rPr>
          <w:lang w:val="en-GB"/>
        </w:rPr>
        <w:t xml:space="preserve"> (pp. 225-234). </w:t>
      </w:r>
      <w:r>
        <w:rPr/>
        <w:t>IEEE.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nb-N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b-N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nb-NO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2251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0af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c225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c510af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TitleChar" w:customStyle="1">
    <w:name w:val="Title Char"/>
    <w:basedOn w:val="DefaultParagraphFont"/>
    <w:link w:val="Title"/>
    <w:uiPriority w:val="10"/>
    <w:qFormat/>
    <w:rsid w:val="00c510a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c677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c677b"/>
    <w:rPr/>
  </w:style>
  <w:style w:type="character" w:styleId="Normaltextrun1" w:customStyle="1">
    <w:name w:val="normaltextrun1"/>
    <w:basedOn w:val="DefaultParagraphFont"/>
    <w:qFormat/>
    <w:rsid w:val="00e761b9"/>
    <w:rPr/>
  </w:style>
  <w:style w:type="character" w:styleId="Textrun" w:customStyle="1">
    <w:name w:val="textrun"/>
    <w:basedOn w:val="DefaultParagraphFont"/>
    <w:qFormat/>
    <w:rsid w:val="00e761b9"/>
    <w:rPr/>
  </w:style>
  <w:style w:type="character" w:styleId="Eop" w:customStyle="1">
    <w:name w:val="eop"/>
    <w:basedOn w:val="DefaultParagraphFont"/>
    <w:qFormat/>
    <w:rsid w:val="00e761b9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214d3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9214d3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9214d3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214d3"/>
    <w:rPr>
      <w:rFonts w:ascii="Segoe UI" w:hAnsi="Segoe UI" w:cs="Segoe UI"/>
      <w:sz w:val="18"/>
      <w:szCs w:val="18"/>
    </w:rPr>
  </w:style>
  <w:style w:type="character" w:styleId="InternetLink">
    <w:name w:val="Hyperlink"/>
    <w:basedOn w:val="DefaultParagraphFont"/>
    <w:uiPriority w:val="99"/>
    <w:unhideWhenUsed/>
    <w:rsid w:val="00204f3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325b7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c510af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c677b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c677b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Paragraph" w:customStyle="1">
    <w:name w:val="paragraph"/>
    <w:basedOn w:val="Normal"/>
    <w:qFormat/>
    <w:rsid w:val="00e761b9"/>
    <w:pPr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eastAsia="nb-NO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9214d3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9214d3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214d3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5591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ssb.no/statbank/table/10479/tableViewLayout1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C8942CF228004DA4FEDAEAB6312228" ma:contentTypeVersion="11" ma:contentTypeDescription="Create a new document." ma:contentTypeScope="" ma:versionID="a59891477c7ab0c4f72aefa4f1425f44">
  <xsd:schema xmlns:xsd="http://www.w3.org/2001/XMLSchema" xmlns:xs="http://www.w3.org/2001/XMLSchema" xmlns:p="http://schemas.microsoft.com/office/2006/metadata/properties" xmlns:ns3="15b75151-31f4-4268-ba3a-bc04867608c0" xmlns:ns4="86f47712-24c7-4863-bf72-d66ad014d777" targetNamespace="http://schemas.microsoft.com/office/2006/metadata/properties" ma:root="true" ma:fieldsID="a26bcc1e1d245f1b93bf9b7252cd329d" ns3:_="" ns4:_="">
    <xsd:import namespace="15b75151-31f4-4268-ba3a-bc04867608c0"/>
    <xsd:import namespace="86f47712-24c7-4863-bf72-d66ad014d7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b75151-31f4-4268-ba3a-bc04867608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f47712-24c7-4863-bf72-d66ad014d77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AFAAF8-9444-4DB7-B003-455BA5374E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01FC502-7047-40C0-B7A6-0299F26257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FF8382-2924-4DC0-A6AA-5A37F683B9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b75151-31f4-4268-ba3a-bc04867608c0"/>
    <ds:schemaRef ds:uri="86f47712-24c7-4863-bf72-d66ad014d7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LibreOffice/6.4.7.2$Linux_X86_64 LibreOffice_project/40$Build-2</Application>
  <Pages>2</Pages>
  <Words>654</Words>
  <Characters>3962</Characters>
  <CharactersWithSpaces>4571</CharactersWithSpaces>
  <Paragraphs>26</Paragraphs>
  <Company>NTNU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2021-08-23T06:42:00Z</dcterms:created>
  <dc:creator>Marius Steiro Fimland</dc:creator>
  <dc:description/>
  <dc:language>nb-NO</dc:language>
  <cp:lastModifiedBy>Victor Gonzalez</cp:lastModifiedBy>
  <dcterms:modified xsi:type="dcterms:W3CDTF">2021-08-23T06:56:00Z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NTNU</vt:lpwstr>
  </property>
  <property fmtid="{D5CDD505-2E9C-101B-9397-08002B2CF9AE}" pid="4" name="ContentTypeId">
    <vt:lpwstr>0x01010086C8942CF228004DA4FEDAEAB6312228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_AdHocReviewCycleID">
    <vt:i4>1545299008</vt:i4>
  </property>
  <property fmtid="{D5CDD505-2E9C-101B-9397-08002B2CF9AE}" pid="11" name="_AuthorEmail">
    <vt:lpwstr>Oystein.Wiggen@sintef.no</vt:lpwstr>
  </property>
  <property fmtid="{D5CDD505-2E9C-101B-9397-08002B2CF9AE}" pid="12" name="_AuthorEmailDisplayName">
    <vt:lpwstr>Øystein Wiggen</vt:lpwstr>
  </property>
  <property fmtid="{D5CDD505-2E9C-101B-9397-08002B2CF9AE}" pid="13" name="_EmailSubject">
    <vt:lpwstr>Forslag til masteroppgaver for våren 2020 ved Institutt for elektroniske systemer (IES), NTNU</vt:lpwstr>
  </property>
  <property fmtid="{D5CDD505-2E9C-101B-9397-08002B2CF9AE}" pid="14" name="_NewReviewCycle">
    <vt:lpwstr/>
  </property>
  <property fmtid="{D5CDD505-2E9C-101B-9397-08002B2CF9AE}" pid="15" name="_ReviewingToolsShownOnce">
    <vt:lpwstr/>
  </property>
</Properties>
</file>