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0297efc9ba493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63ebea1c314af4" /><Relationship Type="http://schemas.microsoft.com/office/2007/relationships/stylesWithEffects" Target="/word/stylesWithEffects.xml" Id="R9a1224a752e248ca" /><Relationship Type="http://schemas.openxmlformats.org/officeDocument/2006/relationships/fontTable" Target="/word/fontTable.xml" Id="Recaa18bd319b4f2e" /><Relationship Type="http://schemas.openxmlformats.org/officeDocument/2006/relationships/settings" Target="/word/settings.xml" Id="Rc007e3d5df294b29" /><Relationship Type="http://schemas.openxmlformats.org/officeDocument/2006/relationships/header" Target="/word/header.xml" Id="R7ce94642b05c4071" /><Relationship Type="http://schemas.openxmlformats.org/officeDocument/2006/relationships/footer" Target="/word/footer.xml" Id="Red8e221dc1034728" /></Relationships>
</file>