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74DDF" w14:textId="5D1893E8" w:rsidR="00874FF8" w:rsidRDefault="00341389">
      <w:hyperlink r:id="rId4" w:history="1">
        <w:r w:rsidRPr="00341389">
          <w:rPr>
            <w:rStyle w:val="Hyperlink"/>
          </w:rPr>
          <w:t>Exploring the Marketing Potential of the 2023 Rugby World Cup</w:t>
        </w:r>
      </w:hyperlink>
    </w:p>
    <w:p w14:paraId="111B13A8" w14:textId="7898FD12" w:rsidR="00341389" w:rsidRDefault="00341389">
      <w:hyperlink r:id="rId5" w:history="1">
        <w:r w:rsidRPr="00341389">
          <w:rPr>
            <w:rStyle w:val="Hyperlink"/>
          </w:rPr>
          <w:t>THE ECONOMIC IMPACT OF RUGBY WORLD CUP 2019™</w:t>
        </w:r>
      </w:hyperlink>
    </w:p>
    <w:p w14:paraId="414359A7" w14:textId="7DDAE24A" w:rsidR="00341389" w:rsidRDefault="00341389">
      <w:hyperlink r:id="rId6" w:history="1">
        <w:r w:rsidRPr="00341389">
          <w:rPr>
            <w:rStyle w:val="Hyperlink"/>
          </w:rPr>
          <w:t>Scrumming Up Profits: Inside the Commercial Success of Rugby World Cup 2023 - ResearchAndMarkets.com | Business Wire</w:t>
        </w:r>
      </w:hyperlink>
    </w:p>
    <w:p w14:paraId="1F429CF4" w14:textId="33DDCDA9" w:rsidR="00341389" w:rsidRDefault="00341389">
      <w:hyperlink r:id="rId7" w:anchor=":~:text=Rugby%20World%20Cup%20fans%20are%20typically%20full%2Dtime%20working%20(64,Cup%20fans%20globally%20are%20women" w:history="1">
        <w:r w:rsidRPr="00341389">
          <w:rPr>
            <w:rStyle w:val="Hyperlink"/>
          </w:rPr>
          <w:t>How to Score a Try with the Rugby World Cup Audience - GWI</w:t>
        </w:r>
      </w:hyperlink>
    </w:p>
    <w:sectPr w:rsidR="00341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4F"/>
    <w:rsid w:val="00341389"/>
    <w:rsid w:val="00874FF8"/>
    <w:rsid w:val="00F36D4F"/>
    <w:rsid w:val="00F8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934D"/>
  <w15:chartTrackingRefBased/>
  <w15:docId w15:val="{0AE9E8C0-CE3F-4C78-AB82-454BA0B8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3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og.gwi.com/chart-of-the-week/rugby-world-cup-audienc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usinesswire.com/news/home/20230830121455/en/Scrumming-Up-Profits-Inside-the-Commercial-Success-of-Rugby-World-Cup-2023---ResearchAndMarkets.com%22%20/l%20%22:~:text=The%20tournament%20boasts%20a%20remarkable,annual%20value%20of%20%24143.75%20million." TargetMode="External"/><Relationship Id="rId5" Type="http://schemas.openxmlformats.org/officeDocument/2006/relationships/hyperlink" Target="https://assets.ey.com/content/dam/ey-sites/ey-com/ja_jp/news/2020/pdf/ey-the-economic-impact-of-rugby-world-cup-2019-en.pdf" TargetMode="External"/><Relationship Id="rId4" Type="http://schemas.openxmlformats.org/officeDocument/2006/relationships/hyperlink" Target="https://www.benamic.com/blog/how-the-2023-rugby-world-cup-offers-fresh-marketing-avenues-for-brand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Thuillier</dc:creator>
  <cp:keywords/>
  <dc:description/>
  <cp:lastModifiedBy>Marcus Thuillier</cp:lastModifiedBy>
  <cp:revision>2</cp:revision>
  <dcterms:created xsi:type="dcterms:W3CDTF">2024-11-28T12:12:00Z</dcterms:created>
  <dcterms:modified xsi:type="dcterms:W3CDTF">2024-11-28T12:13:00Z</dcterms:modified>
</cp:coreProperties>
</file>