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NanumGothic" w:hAnsi="NanumGothic" w:hint="default"/>
        </w:rPr>
      </w:pP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72"/>
          <w:szCs w:val="72"/>
          <w:rFonts w:ascii="Times New Roman" w:eastAsia="Times New Roman" w:hAnsi="Times New Roman" w:hint="default"/>
        </w:rPr>
        <w:t xml:space="preserve">Introdução ao estudo da </w:t>
      </w:r>
      <w:r>
        <w:rPr>
          <w:position w:val="0"/>
          <w:sz w:val="72"/>
          <w:szCs w:val="72"/>
          <w:rFonts w:ascii="Times New Roman" w:eastAsia="Times New Roman" w:hAnsi="Times New Roman" w:hint="default"/>
        </w:rPr>
        <w:t xml:space="preserve">Botânica e origem das plantas</w:t>
      </w:r>
      <w:r>
        <w:rPr>
          <w:position w:val="0"/>
          <w:sz w:val="72"/>
          <w:szCs w:val="7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NanumGothic" w:hAnsi="NanumGothic" w:hint="default"/>
        </w:rPr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NanumGothic" w:hAnsi="NanumGothic" w:hint="default"/>
        </w:rPr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NanumGothic" w:hAnsi="NanumGothic" w:hint="default"/>
        </w:rPr>
      </w:pP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NanumGothic" w:hAnsi="NanumGothic" w:hint="default"/>
        </w:rPr>
      </w:pP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Nomes:  Marcus Vinicius Batista de Oliveira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NanumGothic" w:hAnsi="NanumGothic" w:hint="default"/>
        </w:rPr>
      </w:pP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        Lucas Silva Carvalho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tab/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 João Pedro Santos Silva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NanumGothic" w:hAnsi="NanumGothic" w:hint="default"/>
        </w:rPr>
      </w:pP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Questão 1: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Botânica é um ramo da biologia que estuda a fisiologia e a morfologia das plantas, dos fungos e das algas.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Morfologia é o estudo da estrutura das plantas. Taxonomia é o estudo que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relaciona a diversificação e ordenação das plantas.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Questão 2: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Produção de roupas feitas por algodão. Café para beber. Frutas para o alimento. Álcool de cana de açúcar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para combustível. Cerais para o almoço e lanches.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Questão 3: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Classificação de plantas, suas estruturas diversas, padrão de desenvolvimento e evolução.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Questão 4: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Teotrasto de Ereso foi o primeiro a formular uma terminologia descritiva em plantas, utilizando-se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geralmente de palavras comum do grego. Já no século I, Plínio, o velho, construiu toda uma nova série de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terminologias, baseadas em novos dados coletados, utilizando-se de termos gregos de Teotrasto. O grego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surge como principal fonte de termos, enquanto o latim influenciou na descrição e serviu de ponte entre o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grego e as línguas posteriores. Philosophia botânica, escrita em latim na forma de organografia em 1751,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divididas em partes vegetativas e reprodutivas, ocasionalmente grupos taxonômicos onde tais estruturas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poderiam ser encontradas. O termo “morfologia” é atribuído a Johan Wolfgang von Goethe, seu interesse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maior era pelo dinamismo das transformações vegetais. Em sua obra principal, mostrou que o órgão vegetal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possui uma organização essencial. Despois de Goethe, a morfologia vegetal dicotomizou-se em torno de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dois polos:  um para descrever o maior número possível de plantas, autores sugerem o termo “fitografia”;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do outro lado, a morfologia “idealista” tentava decifrar aspectos comuns a um grande número de tipos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>organizacionais.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Questão 5: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A morfologia vegetal cruza uma nova fronteira, desfraldada pela Biologia Evolutiva do Desenvolvimento. A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ontogenia das plantas começa a ser elucidada em nível genético, como uma rede de genes que interagem na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morfogênese. Aspectos como filotaxia, crescimento modular, transformações alométricas podem ser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explicadas em termos moleculares.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Questão 6: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O começou há 3,85 bilhões de anos. Ocorreu a formação da crosta terrestre, dos escudos cristalinos e de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rochas magmáticas. Nesse período, após os 700 milhões de anos, a hipótese para a formação dos oceanos é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que as rochas da superfície se esfriaram e grande parte do vapor de água presente no planeta se condensou e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deu origem a um enorme oceano. A atmosfera já estava limpa, sendo constituída de vapor de água e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nitrogênio. O dióxido de carbono transformou-se quimicamente e ficou alojado no fundo dos oceanos na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forma de calcário. Apesar da calmaria, a parte interna da Terra, estava em constante movimento, quente e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cheia de erupções vulcânicas, que auxiliaram na formação de pequenas ilhas, com essa movimentação, essas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ilhas se aglomeravam e formavam ilhas maiores. No oceano, bactérias e algas marinhas aumentavam, se 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associando ao dióxido de carbono e liberando oxigênio.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Há 3,5 bilhões apareceram no mar as primeiras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formas de vida, micro-organismos simples, com uma célula, chamados Procariontes. Na época, o planeta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era diferente. A atmosfera era composta por gás carbônico, metano, amônia e outros gases tóxicos para os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>humanos.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Questão 7: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Eles foram os primeiros seres vivos que apareceram a partir da combinação de aminoácidos e condições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ambientais favoráveis (temperatura, unidade e pressão). Alguns cientistas acreditam que elas surgiram nas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profundezas oceânicas as chamadas fontes termais submarinas, locais de onde emanam gases quentes e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sulfurosos que saem de aberturas no assoalho marinho. Nesses locais a vida é abundante. Muitas bactérias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que ai vivem são autotróficas. Além do que elas ficariam protegidas nesses locais, pois a superfície da Terra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era atingida por meteoritos e cometas com muita frequência, e a vida primitiva não poderia se manter em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tais condições.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NanumGothic" w:hAnsi="NanumGothic" w:hint="default"/>
        </w:rPr>
        <w:t xml:space="preserve">Questão 8:</w:t>
      </w:r>
      <w:r>
        <w:rPr>
          <w:position w:val="0"/>
          <w:sz w:val="22"/>
          <w:szCs w:val="22"/>
          <w:rFonts w:ascii="Times New Roman" w:eastAsia="NanumGothic" w:hAnsi="NanumGothic" w:hint="default"/>
        </w:rPr>
        <w:br/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A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Teoria da Endossimbiose, também conhecida como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Endossimbiose Sequencial, proposta por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Lynn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Margulis em 1981, propõe que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organelos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ou organóides, que compõem as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células eucariontes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tenham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surgido como consequência de uma associação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simbiótica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estável entre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organismos. Mais especificamente,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esta teoria postula que os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cloroplastos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e as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mitocôndrias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(organelos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celulares) dos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organismos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eucariontes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(com um verdadeiro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núcleo celular) têm origem num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procarionte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heterotrófico –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provavelmente um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antepassado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das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cianobactéria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atuais - que viveu em simbiose dentro de outro organismo,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também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unicelular, mas provavelmente de maiores dimensões, obtendo assim proteção e fornecendo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ao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hospedeiro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a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energia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fornecida pela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> 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fotossíntese.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Segundo o botânico alemão Schimper em 1883, os eucariotos surgiram de endossimbioses múltiplas. No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caso da mitocôndria, um protozoário primitivo fagocitou uma bactéria aeróbica e por algum problema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enzimático a associação teria sido vantajosa para ambos, as bactérias fagocitadas foram reduzindo,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diferenciações de lamelas formam ganhando invaginações da membrana plasmática até se transformarem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nessas estruturas nas quais conhecemos hoje. Essa teoria foi formalizada por Altmann em 1890 e em seguida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Mereschkowsky em 1905 afirmou que um procedimento semelhante teria ocorrido com os cloroplastos.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Pode-se dizer que as plantas eucariotas podem ser fruto de uma polissimbiose, ou seja, formado por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organismos quadrigênomicos, um genoma nuclear do organismo fagocitante e mais três genomas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bacterianos: aeróbicos, cianobacterias e espiroquetas. As células clorofiladas teriam surgido de forma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autógena, com mudanças graduais em um processo evolutivo lento. As primeiras algas a surgirem foram as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Cianobacterias e Proclorofitas estritamente procariotas, posteriormente com a origem dos eucariotos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surgiram os outros grupos de algas que são estritamente eucariotas.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Questão 9: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A camada de ozônio formou-se há aproximadamente 400 milhões de anos e de lá até hoje mantém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praticamente a mesma espessura, com exceção da região do chamado “buraco na camada de ozônio”. Foi a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camada de ozônio que permitiu o surgimento da vida sobre a terra ao refletir a maior parte dos raios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ultravioletas. Sem o ozônio o mundo seria um lugar extremamente quente, praticamente inabitável. Por isso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a destruição da camada de ozônio é algo tão preocupante. Elementos como o cloro, bromo, hidrogênio e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carbono, ao atingir a camada de ozônio reagem com o oxigênio livre resultante da decomposição do ozônio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impedindo que ele reaja novamente com a molécula de oxigênio. Esses elementos atingem a camada de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ozônio na forma de moléculas como o CFC, BrFC ou outras moléculas bastante estáveis que passam pelas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camadas da atmosfera sem reagir e se acumulam na camada de ozônio onde, por ação dos raios UVB, são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enfim decompostos em seus átomos constituintes. 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Questão 10: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Eram do Genero Cooksonia, sobreviviam submerso em substrato enlameado, e tinham poucos centímetros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de altura, e a sua estrutura era simples. Não possuíam folhas, flores ou raízes.Possuíam um tronco único,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que ramificava algumas vezes. Cada ramificação terminava num esporângio, uma estrutura arredondada,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portadora de esporos.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br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Questão 11: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As Algas Verdes do Filo Viridiplantae, estão incluídas em dois grupos, sendo eles Chlorophyta e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Charophyta. Tanto plantas quanto algas verdes possuem clorofila a como pigmento responsável pela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fotossíntese, armazenam amido no interior de cloroplastos, possuem celulose em sua parede celular,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possuem células reprodutivas com flagelos, e a formação de fragmoplasto no momento de divisão celular.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Questão 12: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As plantas são divididas em briófitas (as mais simples, sem vasos condutores de seiva), pteridófitas (já têm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vasos condutores de seiva, mas não têm flor nem semente), gimnospermas (que têm sementes não revestidas,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como o pinhão, do pinheiro do Paraná), e as angiospermas (plantas com sementes revestidas em frutos e que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têm flores coloridas e perfumadas para fazer a polinização e produzir os frutos).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br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Questão 13:</w:t>
      </w:r>
      <w:r>
        <w:rPr>
          <w:rStyle w:val="PO155"/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Sem essas conquistas, seria impossível a sobrevivência de diversas espécies na Terra, inclusive a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sobrevivência humana. Para evitar a dessecação, o surgimento da cutícula foi essencial. A cutícula, que é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encontrada recobrindo a epiderme das plantas, é formada por substâncias lipofílicas e tem por função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diminuir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a transpiração. Para a realização de trocas gasosas, o aparecimento de estômatos foi de fundamental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importância. Os estômatos são constituídos por duas células-guarda e um orifício denominado ostíolo.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Algumas plantas possuem, ainda, células circundando as células-guarda denominadas de células subsidiárias.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Os estômatos são estruturas que estão relacionados à respiração, transpiração e fotossíntese. O problema da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sustentação foi resolvido com o surgimento de duas estruturas: raízes e tecidos vasculares. As raízes estão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relacionadas à fixação da planta ao substrato e à absorção de nutrientes e água do solo. Os tecidos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vasculares estão relacionados principalmente com o transporte de seiva bruta e seiva elaborada, entretanto,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as células do xilema, por apresentarem paredes lignificadas, conferem também à planta certa sustentação. O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problema da reprodução foi solucionado com o surgimento de esporos, que são considerados uma grande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adaptação ao meio terrestre. Essas estruturas reprodutivas, muito resistentes, são levadas pelo vento e pela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água. Além disso, outra adaptação relacionada à reprodução é a capacidade do zigoto de permanecer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retido por algum tempo no gametófito, o que confere proteção ao embrião.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Questão 14: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Existem duas teorias para explicar a origem das plantas terrestres. A primeira é a Teoria de Homólogos ou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de Transformação, o ciclo de vida das algas ancestrais seria diplobiônticos, com alternância degeração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isomórfica, na qual tanto o gametófito quanto o esporófito seriam multicelulares e independentes. Teria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havido a  partir daí, uma transformação levando a um ciclo heteromórfico, ou seja, com diferenças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morfológicas entre as fases de vida. Nesse caso, as briófitas não são consideradas estados intermediários. E a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segunda é a Teoria Antitética, que Bower sugeriu que asplantas terrestres teriam derivado de algas verdes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terrestre ou de água doce com ciclo haplobiôntico (dominância do gametófito), semelhantes as carófitas. A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partir daí teria surgido a oogamia, formação de um gameta feminino (óvulo) grande e imóvel, seguido da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retenção desse óvulo e posteriormente do zigoto no arquegônio do gametófito. O retardo da meiose do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zigoto e a inserção de divisões mitóticas na fase diploide (embriogênese) teria evoluído para a formação de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um esporófito multicelular associado ao gametófito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Questão 15: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Grupo das Gimnospermas, Quando um estróbilo masculino se abre e libera grande quantidade de grãos de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pólen, esses grãos se espalham no ambiente e podem ser levados pelo vento até o estróbilo feminino. Então,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um grão de pólen pode formar uma espécie de tubo, o tubo polínico, onde se origina o núcleo espermático,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que é o gameta masculino. O tubo polínico cresce até alcançar o óvulo, no qual introduz o núcleo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espermático. No interior do óvulo, o grande esporo que ele abriga se desenvolve e forma uma estrutura que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guarda a oosfera, o gameta feminino. Uma vez no interior do óvulo, o núcleo espermático fecunda a oosfera,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formando o zigoto. Este, por sua vez, se desenvolve, originando um embrião. À medida que o embrião se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forma, o óvulo se transforma em semente estrutura que contém e protege o esporófito jovem.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Questão 16: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O Fruto é uma estrutura presente em todas as Angiospermas. Na sua formação o ovário sofre uma grande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modificação, se desenvolve e agora dizemos que virou fruto. Em seu interior os óvulos viram sementes. A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função primordial dos frutos é a proteção da semente em desenvolvimento, e é a principal razão atribuída </w:t>
      </w:r>
      <w:r>
        <w:rPr>
          <w:position w:val="0"/>
          <w:sz w:val="22"/>
          <w:szCs w:val="22"/>
          <w:shd w:val="clear" w:color="000000" w:fill="FFFFFF"/>
          <w:rFonts w:ascii="Times New Roman" w:eastAsia="Times New Roman" w:hAnsi="Times New Roman" w:hint="default"/>
        </w:rPr>
        <w:t xml:space="preserve">pelos estudiosos ao fechamento dos carpelos nas primeiras Angiospermas.</w:t>
      </w:r>
    </w:p>
    <w:sectPr>
      <w:endnotePr>
        <w:numFmt w:val="decimal"/>
        <w:numRestart w:val="continuous"/>
        <w:numStart w:val="1"/>
        <w:pos w:val="docEnd"/>
      </w:endnotePr>
      <w:headerReference w:type="default" r:id="rId5"/>
      <w:pgSz w:w="11906" w:h="16838"/>
      <w:pgMar w:top="1701" w:left="1440" w:bottom="1440" w:right="926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1"/>
      <w:numPr>
        <w:ilvl w:val="0"/>
        <w:numId w:val="0"/>
      </w:numPr>
      <w:jc w:val="both"/>
      <w:spacing w:lineRule="auto" w:line="240" w:before="0" w:after="0"/>
      <w:ind w:right="0" w:firstLine="0"/>
      <w:tabs>
        <w:tab w:val="center" w:pos="4252"/>
        <w:tab w:val="right" w:pos="8504"/>
      </w:tabs>
      <w:rPr>
        <w:position w:val="0"/>
        <w:sz w:val="20"/>
        <w:szCs w:val="20"/>
        <w:rFonts w:ascii="Times New Roman" w:eastAsia="Times New Roman" w:hAnsi="Times New Roman" w:hint="default"/>
      </w:rPr>
    </w:pPr>
    <w:r>
      <w:rPr>
        <w:position w:val="0"/>
        <w:sz w:val="20"/>
        <w:szCs w:val="20"/>
        <w:rFonts w:ascii="Times New Roman" w:eastAsia="Times New Roman" w:hAnsi="Times New Roman" w:hint="default"/>
      </w:rPr>
      <w:t xml:space="preserve">Jataí, 24 de maio, de 2017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autoSpaceDE w:val="1"/>
      <w:autoSpaceDN w:val="1"/>
      <w:jc w:val="both"/>
      <w:widowControl/>
      <w:wordWrap/>
    </w:pPr>
  </w:style>
  <w:style w:styleId="PO18" w:type="character">
    <w:name w:val="Emphasis"/>
    <w:basedOn w:val="PO2"/>
    <w:qFormat/>
    <w:uiPriority w:val="18"/>
    <w:rPr>
      <w:i/>
      <w:shd w:val="clear"/>
      <w:sz w:val="20"/>
      <w:szCs w:val="20"/>
      <w:w w:val="100"/>
    </w:rPr>
  </w:style>
  <w:style w:styleId="PO20" w:type="character">
    <w:name w:val="Strong"/>
    <w:basedOn w:val="PO2"/>
    <w:qFormat/>
    <w:uiPriority w:val="20"/>
    <w:rPr>
      <w:b/>
      <w:shd w:val="clear"/>
      <w:sz w:val="20"/>
      <w:szCs w:val="20"/>
      <w:w w:val="100"/>
    </w:rPr>
  </w:style>
  <w:style w:styleId="PO151" w:type="paragraph">
    <w:name w:val="header"/>
    <w:basedOn w:val="PO1"/>
    <w:link w:val="PO152"/>
    <w:uiPriority w:val="151"/>
    <w:unhideWhenUsed/>
    <w:pPr>
      <w:autoSpaceDE w:val="1"/>
      <w:autoSpaceDN w:val="1"/>
      <w:tabs>
        <w:tab w:val="center" w:pos="4252"/>
        <w:tab w:val="right" w:pos="8504"/>
      </w:tabs>
      <w:widowControl/>
      <w:wordWrap/>
    </w:pPr>
  </w:style>
  <w:style w:customStyle="1" w:styleId="PO152" w:type="character">
    <w:name w:val="Cabeçalho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autoSpaceDE w:val="1"/>
      <w:autoSpaceDN w:val="1"/>
      <w:tabs>
        <w:tab w:val="center" w:pos="4252"/>
        <w:tab w:val="right" w:pos="8504"/>
      </w:tabs>
      <w:widowControl/>
      <w:wordWrap/>
    </w:pPr>
  </w:style>
  <w:style w:customStyle="1" w:styleId="PO154" w:type="character">
    <w:name w:val="Rodapé Char"/>
    <w:basedOn w:val="PO2"/>
    <w:link w:val="PO153"/>
    <w:uiPriority w:val="154"/>
  </w:style>
  <w:style w:customStyle="1" w:styleId="PO155" w:type="character">
    <w:name w:val="apple-converted-space"/>
    <w:basedOn w:val="PO2"/>
    <w:uiPriority w:val="155"/>
  </w:style>
  <w:style w:styleId="PO156" w:type="character">
    <w:name w:val="Hyperlink"/>
    <w:basedOn w:val="PO2"/>
    <w:uiPriority w:val="156"/>
    <w:semiHidden/>
    <w:unhideWhenUsed/>
    <w:rPr>
      <w:color w:val="0000FF"/>
      <w:shd w:val="clear"/>
      <w:sz w:val="20"/>
      <w:szCs w:val="20"/>
      <w:u w:val="single"/>
      <w:w w:val="100"/>
    </w:rPr>
  </w:style>
  <w:style w:styleId="PO157" w:type="paragraph">
    <w:name w:val="Normal (Web)"/>
    <w:basedOn w:val="PO1"/>
    <w:uiPriority w:val="157"/>
    <w:unhideWhenUsed/>
    <w:pPr>
      <w:autoSpaceDE w:val="1"/>
      <w:autoSpaceDN w:val="1"/>
      <w:widowControl/>
      <w:wordWrap/>
    </w:pPr>
    <w:rPr>
      <w:shd w:val="clear"/>
      <w:sz w:val="24"/>
      <w:szCs w:val="24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11940</Characters>
  <CharactersWithSpaces>0</CharactersWithSpaces>
  <DocSecurity>0</DocSecurity>
  <HyperlinksChanged>false</HyperlinksChanged>
  <Lines>84</Lines>
  <LinksUpToDate>false</LinksUpToDate>
  <Pages>4</Pages>
  <Paragraphs>23</Paragraphs>
  <Words>1869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</dc:creator>
  <cp:lastModifiedBy>Polaris Office</cp:lastModifiedBy>
  <dcterms:modified xsi:type="dcterms:W3CDTF">2017-05-25T14:04:00Z</dcterms:modified>
</cp:coreProperties>
</file>