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31" w:rsidRDefault="007F3631" w:rsidP="007F3631">
      <w:pPr>
        <w:pStyle w:val="Heading1"/>
      </w:pPr>
      <w:r w:rsidRPr="006E0540">
        <w:t>CS398 Report</w:t>
      </w:r>
      <w:r>
        <w:t xml:space="preserve"> A5</w:t>
      </w:r>
    </w:p>
    <w:p w:rsidR="007F3631" w:rsidRDefault="0004211B" w:rsidP="00721B0D">
      <w:pPr>
        <w:pStyle w:val="Heading2"/>
      </w:pPr>
      <w:r>
        <w:t>Analysis of CPU vs GPU usage</w:t>
      </w:r>
      <w:r w:rsidR="00721B0D">
        <w:t xml:space="preserve"> for both single stream and triple stream</w:t>
      </w:r>
    </w:p>
    <w:p w:rsidR="00257DCE" w:rsidRPr="00721B0D" w:rsidRDefault="00952BCD" w:rsidP="00721B0D">
      <w:r>
        <w:t xml:space="preserve">The below figure shows a bar graph plotting time taken for </w:t>
      </w:r>
      <w:r w:rsidR="00D0401F">
        <w:t xml:space="preserve">each matrix size </w:t>
      </w:r>
      <w:r>
        <w:t>multiplication for double precision floating point values and speedup from CPU to GPU</w:t>
      </w:r>
      <w:r w:rsidR="00D0401F">
        <w:t>, comparing GPU streams with 32 block size, 256 tile size and 3 streams</w:t>
      </w:r>
      <w:r>
        <w:t>. The data table is included as certain values are unable to be seen due to the difference in values</w:t>
      </w:r>
      <w:r w:rsidR="008136EB">
        <w:t>.</w:t>
      </w:r>
    </w:p>
    <w:p w:rsidR="00C43794" w:rsidRDefault="00386A61">
      <w:r>
        <w:rPr>
          <w:noProof/>
        </w:rPr>
        <w:drawing>
          <wp:inline distT="0" distB="0" distL="0" distR="0" wp14:anchorId="4DD2A26A" wp14:editId="33A4180A">
            <wp:extent cx="5676900" cy="3476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37BB1" w:rsidRDefault="00E37BB1" w:rsidP="00E37BB1">
      <w:pPr>
        <w:jc w:val="center"/>
      </w:pPr>
      <w:r>
        <w:t xml:space="preserve">Figure 1. Bar graph plotting time taken for matrix multiplications for </w:t>
      </w:r>
      <w:r w:rsidR="00B7790C">
        <w:t>GPU single stream, GPU triple stream and CPU</w:t>
      </w:r>
      <w:r w:rsidR="00D5295D">
        <w:t>.</w:t>
      </w:r>
    </w:p>
    <w:p w:rsidR="00183EE1" w:rsidRDefault="00F80FC4" w:rsidP="00F65CE3">
      <w:r>
        <w:t>As seen from the figure above,</w:t>
      </w:r>
      <w:r w:rsidR="009155FF">
        <w:t xml:space="preserve"> the single stream GPU version is significantly faster than the triple stream version on the GPU.</w:t>
      </w:r>
      <w:r w:rsidR="00E64BFB">
        <w:t xml:space="preserve"> Both are significantly faster than the CPU</w:t>
      </w:r>
      <w:r w:rsidR="00476BB9">
        <w:t xml:space="preserve"> version</w:t>
      </w:r>
      <w:r w:rsidR="00E64BFB">
        <w:t>.</w:t>
      </w:r>
      <w:r w:rsidR="00D5295D">
        <w:t xml:space="preserve"> However, </w:t>
      </w:r>
      <w:r w:rsidR="005A21D6">
        <w:t xml:space="preserve">the triple stream version takes significantly lesser memory than the GPU version as they are split into 3 tiles of smaller sizes. </w:t>
      </w:r>
    </w:p>
    <w:p w:rsidR="001F59E9" w:rsidRDefault="00183EE1" w:rsidP="00D109B6">
      <w:r>
        <w:t>That being said, the block sizes and tile sizes of the streamed version could have caused a performance bottleneck and to further test our theory we have to consider different combinations of the block and tile sizes.</w:t>
      </w:r>
    </w:p>
    <w:p w:rsidR="001F59E9" w:rsidRDefault="001F59E9" w:rsidP="001F59E9">
      <w:r>
        <w:br w:type="page"/>
      </w:r>
    </w:p>
    <w:p w:rsidR="001F59E9" w:rsidRDefault="005B2EC1" w:rsidP="001F59E9">
      <w:pPr>
        <w:pStyle w:val="Heading2"/>
      </w:pPr>
      <w:r>
        <w:lastRenderedPageBreak/>
        <w:t xml:space="preserve"> </w:t>
      </w:r>
      <w:r w:rsidR="001F59E9">
        <w:t xml:space="preserve">Analysis of GPU </w:t>
      </w:r>
      <w:r w:rsidR="001F59E9">
        <w:t xml:space="preserve">tile size and block size </w:t>
      </w:r>
      <w:r w:rsidR="001F59E9">
        <w:t xml:space="preserve">usage </w:t>
      </w:r>
      <w:r w:rsidR="001F59E9">
        <w:t xml:space="preserve">for </w:t>
      </w:r>
      <w:r w:rsidR="001F59E9">
        <w:t>triple stream</w:t>
      </w:r>
    </w:p>
    <w:p w:rsidR="001F59E9" w:rsidRPr="001F59E9" w:rsidRDefault="001F59E9" w:rsidP="001F59E9">
      <w:r>
        <w:t>The below table takes into account different block sizes and tile sizes for stream number of 3.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204"/>
        <w:gridCol w:w="1162"/>
        <w:gridCol w:w="1051"/>
        <w:gridCol w:w="1196"/>
        <w:gridCol w:w="1258"/>
        <w:gridCol w:w="1307"/>
        <w:gridCol w:w="1192"/>
        <w:gridCol w:w="1319"/>
      </w:tblGrid>
      <w:tr w:rsidR="001F59E9" w:rsidRPr="001F59E9" w:rsidTr="001F59E9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Block size | tile size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32|256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 256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256 |1024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1024 | 256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512 | 512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1024|1024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1000x1000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0.60395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0.27676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0.20532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0.20248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0.22401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0.20496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0.23913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2000x2000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3.44701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1.03992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0.40964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0.42592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0.39318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0.37037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0.40761</w:t>
            </w:r>
          </w:p>
        </w:tc>
      </w:tr>
      <w:tr w:rsidR="001F59E9" w:rsidRPr="001F59E9" w:rsidTr="001F59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3000x3000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F59E9">
              <w:rPr>
                <w:rFonts w:ascii="Calibri" w:eastAsia="Times New Roman" w:hAnsi="Calibri" w:cs="Calibri"/>
                <w:color w:val="000000"/>
                <w:highlight w:val="yellow"/>
              </w:rPr>
              <w:t>11.33669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2.86101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1.08854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0.95404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0.94757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0.97424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9E9" w:rsidRPr="001F59E9" w:rsidRDefault="001F59E9" w:rsidP="001F59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9E9">
              <w:rPr>
                <w:rFonts w:ascii="Calibri" w:eastAsia="Times New Roman" w:hAnsi="Calibri" w:cs="Calibri"/>
                <w:color w:val="000000"/>
              </w:rPr>
              <w:t>0.8974</w:t>
            </w:r>
          </w:p>
        </w:tc>
      </w:tr>
    </w:tbl>
    <w:p w:rsidR="004C372C" w:rsidRDefault="004C372C" w:rsidP="004C372C">
      <w:pPr>
        <w:jc w:val="center"/>
      </w:pPr>
      <w:r>
        <w:t>Table</w:t>
      </w:r>
      <w:r>
        <w:t xml:space="preserve"> 1.</w:t>
      </w:r>
      <w:r w:rsidR="009327AA">
        <w:t xml:space="preserve"> Comparison of different block sizes and tile sizes</w:t>
      </w:r>
      <w:r w:rsidR="00635BB2">
        <w:t>.</w:t>
      </w:r>
    </w:p>
    <w:p w:rsidR="00120EE1" w:rsidRDefault="001F01C1" w:rsidP="00D109B6">
      <w:r>
        <w:t>As we can see from the table above</w:t>
      </w:r>
      <w:r w:rsidR="005F1218">
        <w:t>.</w:t>
      </w:r>
      <w:r w:rsidR="00CD324B">
        <w:t xml:space="preserve"> The </w:t>
      </w:r>
      <w:r w:rsidR="00981036">
        <w:t xml:space="preserve">original </w:t>
      </w:r>
      <w:r w:rsidR="00CD324B">
        <w:t xml:space="preserve">tile size of 32 and 256 is significantly slower </w:t>
      </w:r>
      <w:r w:rsidR="00981036">
        <w:t xml:space="preserve">with a small </w:t>
      </w:r>
      <w:r w:rsidR="00CD324B">
        <w:t>block size.</w:t>
      </w:r>
      <w:r w:rsidR="00981036">
        <w:t xml:space="preserve"> It is highlighted to compare with other block sizes. We can see a trend of speed increase as the block size increases. However, as the block size becomes significantly large, the speed starts to drop. </w:t>
      </w:r>
      <w:r w:rsidR="0004288C">
        <w:t xml:space="preserve"> Based on the different tile sizes, the tile size does affect the speed a little but not to a very big extend as compared to the block size. </w:t>
      </w:r>
    </w:p>
    <w:p w:rsidR="00981036" w:rsidRDefault="0004288C" w:rsidP="00D109B6">
      <w:r>
        <w:t>The graph below show the trend.</w:t>
      </w:r>
    </w:p>
    <w:p w:rsidR="0004288C" w:rsidRDefault="0004288C" w:rsidP="008D0891">
      <w:pPr>
        <w:jc w:val="center"/>
      </w:pPr>
      <w:r>
        <w:rPr>
          <w:noProof/>
        </w:rPr>
        <w:drawing>
          <wp:inline distT="0" distB="0" distL="0" distR="0" wp14:anchorId="7CB22258" wp14:editId="214B791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D0891" w:rsidRDefault="00F40148" w:rsidP="008D0891">
      <w:pPr>
        <w:jc w:val="center"/>
      </w:pPr>
      <w:r>
        <w:t>Figure</w:t>
      </w:r>
      <w:r>
        <w:t xml:space="preserve"> </w:t>
      </w:r>
      <w:r>
        <w:t>2</w:t>
      </w:r>
      <w:r>
        <w:t xml:space="preserve">. </w:t>
      </w:r>
      <w:r w:rsidR="00D5732F">
        <w:t>Relationship</w:t>
      </w:r>
      <w:r>
        <w:t xml:space="preserve"> of different block sizes and tile sizes.</w:t>
      </w:r>
      <w:r w:rsidR="003F2683">
        <w:t xml:space="preserve"> </w:t>
      </w:r>
    </w:p>
    <w:p w:rsidR="00B0573E" w:rsidRDefault="00B0573E" w:rsidP="007822DE">
      <w:bookmarkStart w:id="0" w:name="_GoBack"/>
      <w:bookmarkEnd w:id="0"/>
    </w:p>
    <w:p w:rsidR="005B2EC1" w:rsidRDefault="00981036" w:rsidP="00D109B6">
      <w:r>
        <w:t>We can also see that it never hits the timing of the single stream GPU. This may be due to the time taken to allocate each stream buffer.</w:t>
      </w:r>
    </w:p>
    <w:p w:rsidR="00CE2CBB" w:rsidRDefault="00CE2CBB" w:rsidP="00F65CE3"/>
    <w:p w:rsidR="00346906" w:rsidRDefault="00346906" w:rsidP="00CD324B">
      <w:pPr>
        <w:pStyle w:val="Heading2"/>
      </w:pPr>
      <w:r>
        <w:t>Final notes</w:t>
      </w:r>
    </w:p>
    <w:p w:rsidR="00F80FC4" w:rsidRDefault="00F80FC4" w:rsidP="00F80FC4">
      <w:r>
        <w:t>The performance requirements were not being able to be met due to the performance throughput of using a double precision floating point value rather than a single precision floating point value. However, it is required to have a double precision floating point value to match the epsilon requirement.</w:t>
      </w:r>
    </w:p>
    <w:p w:rsidR="00E37BB1" w:rsidRDefault="00E37BB1"/>
    <w:sectPr w:rsidR="00E3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FC"/>
    <w:rsid w:val="0004211B"/>
    <w:rsid w:val="0004288C"/>
    <w:rsid w:val="00120EE1"/>
    <w:rsid w:val="00183EE1"/>
    <w:rsid w:val="001F01C1"/>
    <w:rsid w:val="001F59E9"/>
    <w:rsid w:val="002303C1"/>
    <w:rsid w:val="00257DCE"/>
    <w:rsid w:val="00257FFB"/>
    <w:rsid w:val="002E6DE1"/>
    <w:rsid w:val="00345FFC"/>
    <w:rsid w:val="00346906"/>
    <w:rsid w:val="00386A61"/>
    <w:rsid w:val="003E6D0D"/>
    <w:rsid w:val="003F2683"/>
    <w:rsid w:val="003F3669"/>
    <w:rsid w:val="00476BB9"/>
    <w:rsid w:val="004C372C"/>
    <w:rsid w:val="005A21D6"/>
    <w:rsid w:val="005B2EC1"/>
    <w:rsid w:val="005F1218"/>
    <w:rsid w:val="00635BB2"/>
    <w:rsid w:val="006B04E0"/>
    <w:rsid w:val="00721B0D"/>
    <w:rsid w:val="007822DE"/>
    <w:rsid w:val="007F3631"/>
    <w:rsid w:val="008136EB"/>
    <w:rsid w:val="008D0891"/>
    <w:rsid w:val="009155FF"/>
    <w:rsid w:val="009327AA"/>
    <w:rsid w:val="00952BCD"/>
    <w:rsid w:val="00981036"/>
    <w:rsid w:val="00AD6F3A"/>
    <w:rsid w:val="00B0573E"/>
    <w:rsid w:val="00B7790C"/>
    <w:rsid w:val="00BB561E"/>
    <w:rsid w:val="00C43794"/>
    <w:rsid w:val="00CD324B"/>
    <w:rsid w:val="00CE2CBB"/>
    <w:rsid w:val="00D0401F"/>
    <w:rsid w:val="00D109B6"/>
    <w:rsid w:val="00D5295D"/>
    <w:rsid w:val="00D5732F"/>
    <w:rsid w:val="00E37BB1"/>
    <w:rsid w:val="00E64BFB"/>
    <w:rsid w:val="00E8523D"/>
    <w:rsid w:val="00EA4E4D"/>
    <w:rsid w:val="00F40148"/>
    <w:rsid w:val="00F65CE3"/>
    <w:rsid w:val="00F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096F4-4648-42F8-B3A5-B98E39BC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g.q\Desktop\cs398\cs398\A5\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g.q\Desktop\cs398\cs398\A5\benchmar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Multiplication</a:t>
            </a:r>
            <a:r>
              <a:rPr lang="en-US" baseline="0"/>
              <a:t> for different sizes using GPU(3 streams)/CPU(3 streams)/CPU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1000x1000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1.4378200000000001</c:v>
                </c:pt>
                <c:pt idx="1">
                  <c:v>2.7089999999999999E-2</c:v>
                </c:pt>
                <c:pt idx="2">
                  <c:v>0.60394999999999999</c:v>
                </c:pt>
              </c:numCache>
            </c:numRef>
          </c:val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2000x2000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Sheet1!$B$14:$D$14</c:f>
              <c:numCache>
                <c:formatCode>General</c:formatCode>
                <c:ptCount val="3"/>
                <c:pt idx="0">
                  <c:v>29.9939</c:v>
                </c:pt>
                <c:pt idx="1">
                  <c:v>0.20530000000000001</c:v>
                </c:pt>
                <c:pt idx="2">
                  <c:v>3.4470100000000001</c:v>
                </c:pt>
              </c:numCache>
            </c:numRef>
          </c:val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3000x3000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Sheet1!$B$12:$D$12</c:f>
              <c:strCache>
                <c:ptCount val="3"/>
                <c:pt idx="0">
                  <c:v>CPU</c:v>
                </c:pt>
                <c:pt idx="1">
                  <c:v>GPU(1)</c:v>
                </c:pt>
                <c:pt idx="2">
                  <c:v>GPU(3)</c:v>
                </c:pt>
              </c:strCache>
            </c:strRef>
          </c:cat>
          <c:val>
            <c:numRef>
              <c:f>Sheet1!$B$15:$D$15</c:f>
              <c:numCache>
                <c:formatCode>General</c:formatCode>
                <c:ptCount val="3"/>
                <c:pt idx="0">
                  <c:v>164.90620000000001</c:v>
                </c:pt>
                <c:pt idx="1">
                  <c:v>0.59692000000000001</c:v>
                </c:pt>
                <c:pt idx="2">
                  <c:v>11.336690000000001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9968192"/>
        <c:axId val="539966232"/>
      </c:barChart>
      <c:catAx>
        <c:axId val="53996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966232"/>
        <c:crosses val="autoZero"/>
        <c:auto val="1"/>
        <c:lblAlgn val="ctr"/>
        <c:lblOffset val="100"/>
        <c:noMultiLvlLbl val="0"/>
      </c:catAx>
      <c:valAx>
        <c:axId val="53996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968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block and</a:t>
            </a:r>
            <a:r>
              <a:rPr lang="en-US" baseline="0"/>
              <a:t> tile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1000x1000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Sheet1!$B$29:$H$29</c:f>
              <c:numCache>
                <c:formatCode>General</c:formatCode>
                <c:ptCount val="7"/>
                <c:pt idx="0">
                  <c:v>0.60394999999999999</c:v>
                </c:pt>
                <c:pt idx="1">
                  <c:v>0.27676000000000001</c:v>
                </c:pt>
                <c:pt idx="2">
                  <c:v>0.20532</c:v>
                </c:pt>
                <c:pt idx="3">
                  <c:v>0.20247999999999999</c:v>
                </c:pt>
                <c:pt idx="4">
                  <c:v>0.22400999999999999</c:v>
                </c:pt>
                <c:pt idx="5">
                  <c:v>0.20496</c:v>
                </c:pt>
                <c:pt idx="6">
                  <c:v>0.23913000000000001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Sheet1!$A$30</c:f>
              <c:strCache>
                <c:ptCount val="1"/>
                <c:pt idx="0">
                  <c:v>2000x2000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Sheet1!$B$30:$H$30</c:f>
              <c:numCache>
                <c:formatCode>General</c:formatCode>
                <c:ptCount val="7"/>
                <c:pt idx="0">
                  <c:v>3.4470100000000001</c:v>
                </c:pt>
                <c:pt idx="1">
                  <c:v>1.03992</c:v>
                </c:pt>
                <c:pt idx="2">
                  <c:v>0.40964</c:v>
                </c:pt>
                <c:pt idx="3">
                  <c:v>0.42592000000000002</c:v>
                </c:pt>
                <c:pt idx="4">
                  <c:v>0.39317999999999997</c:v>
                </c:pt>
                <c:pt idx="5">
                  <c:v>0.37036999999999998</c:v>
                </c:pt>
                <c:pt idx="6">
                  <c:v>0.40760999999999997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Sheet1!$A$31</c:f>
              <c:strCache>
                <c:ptCount val="1"/>
                <c:pt idx="0">
                  <c:v>3000x3000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Sheet1!$B$27:$H$28</c:f>
              <c:multiLvlStrCache>
                <c:ptCount val="7"/>
                <c:lvl>
                  <c:pt idx="0">
                    <c:v>32|256</c:v>
                  </c:pt>
                  <c:pt idx="1">
                    <c:v>256 |32</c:v>
                  </c:pt>
                  <c:pt idx="2">
                    <c:v>256 | 256</c:v>
                  </c:pt>
                  <c:pt idx="3">
                    <c:v>256 |1024</c:v>
                  </c:pt>
                  <c:pt idx="4">
                    <c:v>1024 | 256</c:v>
                  </c:pt>
                  <c:pt idx="5">
                    <c:v>512 | 512</c:v>
                  </c:pt>
                  <c:pt idx="6">
                    <c:v>1024|1024</c:v>
                  </c:pt>
                </c:lvl>
                <c:lvl>
                  <c:pt idx="0">
                    <c:v>Block size | tile size</c:v>
                  </c:pt>
                </c:lvl>
              </c:multiLvlStrCache>
            </c:multiLvlStrRef>
          </c:cat>
          <c:val>
            <c:numRef>
              <c:f>Sheet1!$B$31:$H$31</c:f>
              <c:numCache>
                <c:formatCode>General</c:formatCode>
                <c:ptCount val="7"/>
                <c:pt idx="0">
                  <c:v>11.336690000000001</c:v>
                </c:pt>
                <c:pt idx="1">
                  <c:v>2.8610099999999998</c:v>
                </c:pt>
                <c:pt idx="2">
                  <c:v>1.0885400000000001</c:v>
                </c:pt>
                <c:pt idx="3">
                  <c:v>0.95404</c:v>
                </c:pt>
                <c:pt idx="4">
                  <c:v>0.94757000000000002</c:v>
                </c:pt>
                <c:pt idx="5">
                  <c:v>0.97423999999999999</c:v>
                </c:pt>
                <c:pt idx="6">
                  <c:v>0.89739999999999998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956432"/>
        <c:axId val="477054200"/>
      </c:lineChart>
      <c:catAx>
        <c:axId val="53995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54200"/>
        <c:crosses val="autoZero"/>
        <c:auto val="1"/>
        <c:lblAlgn val="ctr"/>
        <c:lblOffset val="100"/>
        <c:noMultiLvlLbl val="0"/>
      </c:catAx>
      <c:valAx>
        <c:axId val="47705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95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Quanyi Marcus YONG</dc:creator>
  <cp:keywords/>
  <dc:description/>
  <cp:lastModifiedBy>Quanyi Marcus YONG</cp:lastModifiedBy>
  <cp:revision>50</cp:revision>
  <dcterms:created xsi:type="dcterms:W3CDTF">2020-12-14T09:20:00Z</dcterms:created>
  <dcterms:modified xsi:type="dcterms:W3CDTF">2020-12-14T10:37:00Z</dcterms:modified>
</cp:coreProperties>
</file>