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E273A1" w14:textId="77777777" w:rsidR="00697477" w:rsidRDefault="00697477" w:rsidP="00697477">
      <w:pPr>
        <w:pStyle w:val="Heading1"/>
      </w:pPr>
      <w:r>
        <w:t>CS398 Assignment 1 report</w:t>
      </w:r>
    </w:p>
    <w:p w14:paraId="1C7AC5E7" w14:textId="77777777" w:rsidR="00697477" w:rsidRDefault="00697477" w:rsidP="00697477">
      <w:pPr>
        <w:pStyle w:val="Heading2"/>
      </w:pPr>
      <w:r>
        <w:t>Analysis of CPU vs GPU usage</w:t>
      </w:r>
    </w:p>
    <w:p w14:paraId="2D06DD4D" w14:textId="77777777" w:rsidR="00697477" w:rsidRDefault="00697477" w:rsidP="00697477">
      <w:pPr>
        <w:jc w:val="both"/>
      </w:pPr>
      <w:r>
        <w:t>The below figure shows a bar graph plotting time taken for 50 iterations and speedup from CPU to GPU. The data table is included as certain values are unable to be seen due to the difference in values. The speedup section is also included to be discussed later.</w:t>
      </w:r>
    </w:p>
    <w:p w14:paraId="7B649727" w14:textId="77777777" w:rsidR="00697477" w:rsidRPr="00697477" w:rsidRDefault="00697477" w:rsidP="00697477">
      <w:pPr>
        <w:jc w:val="both"/>
      </w:pPr>
    </w:p>
    <w:p w14:paraId="5D07BE9C" w14:textId="77777777" w:rsidR="00697477" w:rsidRDefault="00697477" w:rsidP="00697477">
      <w:pPr>
        <w:jc w:val="center"/>
      </w:pPr>
      <w:r>
        <w:rPr>
          <w:noProof/>
        </w:rPr>
        <w:drawing>
          <wp:inline distT="0" distB="0" distL="0" distR="0" wp14:anchorId="4E3A9699" wp14:editId="38B047D2">
            <wp:extent cx="5800725" cy="3752850"/>
            <wp:effectExtent l="0" t="0" r="952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D2841DD" w14:textId="77777777" w:rsidR="00697477" w:rsidRDefault="00697477" w:rsidP="00697477">
      <w:pPr>
        <w:jc w:val="center"/>
      </w:pPr>
      <w:r>
        <w:t>Figure 1. Bar graph plotting time taken for 50 iterations and speedup from CPU to GPU.</w:t>
      </w:r>
    </w:p>
    <w:p w14:paraId="5C7370EF" w14:textId="77777777" w:rsidR="00697477" w:rsidRDefault="00697477" w:rsidP="00697477">
      <w:pPr>
        <w:jc w:val="both"/>
      </w:pPr>
    </w:p>
    <w:p w14:paraId="53C05CC3" w14:textId="77777777" w:rsidR="00697477" w:rsidRDefault="00697477" w:rsidP="00697477">
      <w:pPr>
        <w:jc w:val="both"/>
      </w:pPr>
      <w:r>
        <w:t xml:space="preserve">As seen from the above figure, the GPU </w:t>
      </w:r>
      <w:r w:rsidR="00561A55">
        <w:t xml:space="preserve">computations </w:t>
      </w:r>
      <w:r>
        <w:t xml:space="preserve">starts having a </w:t>
      </w:r>
      <w:r w:rsidR="00561A55">
        <w:t xml:space="preserve">positive speed up of 56% after 500 elements with 50 iterations. This hence shows that the GPU usage is more beneficial at 500 elements as that is the first number of elements which the performance increases. </w:t>
      </w:r>
    </w:p>
    <w:p w14:paraId="15B379D0" w14:textId="0C8524AD" w:rsidR="00561A55" w:rsidRDefault="00561A55" w:rsidP="00697477">
      <w:pPr>
        <w:jc w:val="both"/>
      </w:pPr>
      <w:r>
        <w:t xml:space="preserve">The lowest speedup as seen from the figure is at 100 elements. This is due to the bottleneck caused by GPU processors instruction latency. As seen from the other iterations, the </w:t>
      </w:r>
      <w:r w:rsidR="00DB1A56">
        <w:t xml:space="preserve">change in </w:t>
      </w:r>
      <w:r>
        <w:t xml:space="preserve">n elements does not affect the GPU’s speed as much as it does for CPU. </w:t>
      </w:r>
      <w:r w:rsidR="00DB1A56">
        <w:t xml:space="preserve">Therefore, we can conclude that since the GPU has a minimum latency, the latency is significantly more than the time taken to </w:t>
      </w:r>
      <w:r w:rsidR="00DB1A56">
        <w:t>calculate 100 elements</w:t>
      </w:r>
      <w:r w:rsidR="00DB1A56">
        <w:t xml:space="preserve"> which causes it to have a negative speed up of 95%</w:t>
      </w:r>
      <w:r>
        <w:t>.</w:t>
      </w:r>
    </w:p>
    <w:p w14:paraId="0579F2D3" w14:textId="77777777" w:rsidR="00B641FF" w:rsidRDefault="00B641FF" w:rsidP="00697477">
      <w:pPr>
        <w:jc w:val="both"/>
      </w:pPr>
      <w:r>
        <w:t xml:space="preserve">The speed up is the highest at 30,000. However, in this scenario, the latency is not the same as 10,000 elements. This is due to the GPU hardware limitation and the algorithm must split the data to batch </w:t>
      </w:r>
      <w:r>
        <w:lastRenderedPageBreak/>
        <w:t>instead of having a full contiguous memory. However, we can still see that even though we split the data to do batching, the speed up is still very high. This is due to the latency being significantly lesser than the calculation of the huge number of elements in the array, which takes a lot of time in the CPU compared to the GPU.</w:t>
      </w:r>
    </w:p>
    <w:p w14:paraId="6DEC303F" w14:textId="77777777" w:rsidR="00B641FF" w:rsidRDefault="00B641FF" w:rsidP="00697477">
      <w:pPr>
        <w:jc w:val="both"/>
      </w:pPr>
    </w:p>
    <w:p w14:paraId="6ADCBF7C" w14:textId="0C2EC799" w:rsidR="00573532" w:rsidRDefault="00B641FF" w:rsidP="00B641FF">
      <w:pPr>
        <w:pStyle w:val="Heading2"/>
      </w:pPr>
      <w:r>
        <w:t>500 iterations using 1000, 10000 and 30000 elements</w:t>
      </w:r>
    </w:p>
    <w:p w14:paraId="79AC02C2" w14:textId="56F2C5EF" w:rsidR="00B641FF" w:rsidRDefault="00B641FF" w:rsidP="00B641FF"/>
    <w:tbl>
      <w:tblPr>
        <w:tblStyle w:val="TableGrid"/>
        <w:tblW w:w="0" w:type="auto"/>
        <w:tblLook w:val="04A0" w:firstRow="1" w:lastRow="0" w:firstColumn="1" w:lastColumn="0" w:noHBand="0" w:noVBand="1"/>
      </w:tblPr>
      <w:tblGrid>
        <w:gridCol w:w="1558"/>
        <w:gridCol w:w="1558"/>
        <w:gridCol w:w="1558"/>
        <w:gridCol w:w="1558"/>
        <w:gridCol w:w="1559"/>
        <w:gridCol w:w="1559"/>
      </w:tblGrid>
      <w:tr w:rsidR="00B641FF" w14:paraId="60B7F9DD" w14:textId="77777777" w:rsidTr="00B641FF">
        <w:tc>
          <w:tcPr>
            <w:tcW w:w="1558" w:type="dxa"/>
          </w:tcPr>
          <w:p w14:paraId="00E60AA7" w14:textId="77777777" w:rsidR="00B641FF" w:rsidRDefault="00B641FF" w:rsidP="00B641FF"/>
        </w:tc>
        <w:tc>
          <w:tcPr>
            <w:tcW w:w="1558" w:type="dxa"/>
          </w:tcPr>
          <w:p w14:paraId="14334A17" w14:textId="263D2934" w:rsidR="00B641FF" w:rsidRPr="00B641FF" w:rsidRDefault="00B641FF" w:rsidP="00B641FF">
            <w:pPr>
              <w:rPr>
                <w:rFonts w:ascii="Calibri" w:hAnsi="Calibri" w:cs="Calibri"/>
                <w:color w:val="000000"/>
              </w:rPr>
            </w:pPr>
            <w:r>
              <w:rPr>
                <w:rFonts w:ascii="Calibri" w:hAnsi="Calibri" w:cs="Calibri"/>
                <w:color w:val="000000"/>
              </w:rPr>
              <w:t>CPU</w:t>
            </w:r>
          </w:p>
        </w:tc>
        <w:tc>
          <w:tcPr>
            <w:tcW w:w="1558" w:type="dxa"/>
          </w:tcPr>
          <w:p w14:paraId="0EAE0849" w14:textId="6C6FBB05" w:rsidR="00B641FF" w:rsidRPr="00B641FF" w:rsidRDefault="00B641FF" w:rsidP="00B641FF">
            <w:pPr>
              <w:rPr>
                <w:rFonts w:ascii="Calibri" w:hAnsi="Calibri" w:cs="Calibri"/>
                <w:color w:val="000000"/>
              </w:rPr>
            </w:pPr>
            <w:r>
              <w:rPr>
                <w:rFonts w:ascii="Calibri" w:hAnsi="Calibri" w:cs="Calibri"/>
                <w:color w:val="000000"/>
              </w:rPr>
              <w:t>GPU</w:t>
            </w:r>
          </w:p>
        </w:tc>
        <w:tc>
          <w:tcPr>
            <w:tcW w:w="1558" w:type="dxa"/>
          </w:tcPr>
          <w:p w14:paraId="458092C7" w14:textId="292252A6" w:rsidR="00B641FF" w:rsidRDefault="00B641FF" w:rsidP="00B641FF">
            <w:r>
              <w:rPr>
                <w:rFonts w:ascii="Calibri" w:hAnsi="Calibri" w:cs="Calibri"/>
                <w:color w:val="000000"/>
              </w:rPr>
              <w:t>CPU Percentage</w:t>
            </w:r>
          </w:p>
        </w:tc>
        <w:tc>
          <w:tcPr>
            <w:tcW w:w="1559" w:type="dxa"/>
          </w:tcPr>
          <w:p w14:paraId="708BAB9A" w14:textId="57D82580" w:rsidR="00B641FF" w:rsidRDefault="00B641FF" w:rsidP="00B641FF">
            <w:r>
              <w:rPr>
                <w:rFonts w:ascii="Calibri" w:hAnsi="Calibri" w:cs="Calibri"/>
                <w:color w:val="000000"/>
              </w:rPr>
              <w:t>GPU percentage</w:t>
            </w:r>
          </w:p>
        </w:tc>
        <w:tc>
          <w:tcPr>
            <w:tcW w:w="1559" w:type="dxa"/>
          </w:tcPr>
          <w:p w14:paraId="39432A3B" w14:textId="72F085C3" w:rsidR="00B641FF" w:rsidRDefault="007B59B8" w:rsidP="00B641FF">
            <w:r>
              <w:t>Speedup</w:t>
            </w:r>
          </w:p>
        </w:tc>
      </w:tr>
      <w:tr w:rsidR="00BC1B17" w14:paraId="3382ED20" w14:textId="77777777" w:rsidTr="004E6BAD">
        <w:tc>
          <w:tcPr>
            <w:tcW w:w="1558" w:type="dxa"/>
          </w:tcPr>
          <w:p w14:paraId="0CF98AB9" w14:textId="133339FA" w:rsidR="00BC1B17" w:rsidRDefault="00BC1B17" w:rsidP="00BC1B17">
            <w:r>
              <w:t>1,000</w:t>
            </w:r>
          </w:p>
        </w:tc>
        <w:tc>
          <w:tcPr>
            <w:tcW w:w="1558" w:type="dxa"/>
          </w:tcPr>
          <w:p w14:paraId="5C4BA336" w14:textId="6A9AC8F3" w:rsidR="00BC1B17" w:rsidRDefault="00BC1B17" w:rsidP="00BC1B17">
            <w:r>
              <w:rPr>
                <w:rFonts w:ascii="Calibri" w:hAnsi="Calibri" w:cs="Calibri"/>
                <w:color w:val="000000"/>
              </w:rPr>
              <w:t>1.78574</w:t>
            </w:r>
          </w:p>
        </w:tc>
        <w:tc>
          <w:tcPr>
            <w:tcW w:w="1558" w:type="dxa"/>
          </w:tcPr>
          <w:p w14:paraId="5CC13DCF" w14:textId="6351151B" w:rsidR="00BC1B17" w:rsidRDefault="00BC1B17" w:rsidP="00BC1B17">
            <w:r>
              <w:rPr>
                <w:rFonts w:ascii="Calibri" w:hAnsi="Calibri" w:cs="Calibri"/>
                <w:color w:val="000000"/>
              </w:rPr>
              <w:t>0.24899</w:t>
            </w:r>
          </w:p>
        </w:tc>
        <w:tc>
          <w:tcPr>
            <w:tcW w:w="1558" w:type="dxa"/>
          </w:tcPr>
          <w:p w14:paraId="7C6D1D51" w14:textId="6A7B3307" w:rsidR="00BC1B17" w:rsidRDefault="00BC1B17" w:rsidP="00BC1B17">
            <w:r>
              <w:rPr>
                <w:rFonts w:ascii="Calibri" w:hAnsi="Calibri" w:cs="Calibri"/>
                <w:color w:val="000000"/>
              </w:rPr>
              <w:t>87.76</w:t>
            </w:r>
            <w:r w:rsidR="008F1F7B">
              <w:rPr>
                <w:rFonts w:ascii="Calibri" w:hAnsi="Calibri" w:cs="Calibri"/>
                <w:color w:val="000000"/>
              </w:rPr>
              <w:t>%</w:t>
            </w:r>
          </w:p>
        </w:tc>
        <w:tc>
          <w:tcPr>
            <w:tcW w:w="1559" w:type="dxa"/>
            <w:vAlign w:val="bottom"/>
          </w:tcPr>
          <w:p w14:paraId="010A9495" w14:textId="57CB99C3" w:rsidR="00BC1B17" w:rsidRDefault="00BC1B17" w:rsidP="00BC1B17">
            <w:r>
              <w:rPr>
                <w:rFonts w:ascii="Calibri" w:hAnsi="Calibri" w:cs="Calibri"/>
                <w:color w:val="000000"/>
              </w:rPr>
              <w:t>12.24</w:t>
            </w:r>
            <w:r w:rsidR="008F1F7B">
              <w:rPr>
                <w:rFonts w:ascii="Calibri" w:hAnsi="Calibri" w:cs="Calibri"/>
                <w:color w:val="000000"/>
              </w:rPr>
              <w:t>%</w:t>
            </w:r>
          </w:p>
        </w:tc>
        <w:tc>
          <w:tcPr>
            <w:tcW w:w="1559" w:type="dxa"/>
            <w:vAlign w:val="bottom"/>
          </w:tcPr>
          <w:p w14:paraId="0DF2B7D4" w14:textId="59DE3E3D" w:rsidR="00BC1B17" w:rsidRDefault="00BC1B17" w:rsidP="00BC1B17">
            <w:r>
              <w:rPr>
                <w:rFonts w:ascii="Calibri" w:hAnsi="Calibri" w:cs="Calibri"/>
                <w:color w:val="000000"/>
              </w:rPr>
              <w:t>717.</w:t>
            </w:r>
            <w:r w:rsidR="008F1F7B">
              <w:rPr>
                <w:rFonts w:ascii="Calibri" w:hAnsi="Calibri" w:cs="Calibri"/>
                <w:color w:val="000000"/>
              </w:rPr>
              <w:t>19%</w:t>
            </w:r>
          </w:p>
        </w:tc>
      </w:tr>
      <w:tr w:rsidR="00BC1B17" w14:paraId="473E6A61" w14:textId="77777777" w:rsidTr="004E6BAD">
        <w:tc>
          <w:tcPr>
            <w:tcW w:w="1558" w:type="dxa"/>
          </w:tcPr>
          <w:p w14:paraId="40CFB0F1" w14:textId="33C477C3" w:rsidR="00BC1B17" w:rsidRDefault="00BC1B17" w:rsidP="00BC1B17">
            <w:r>
              <w:t>10,000</w:t>
            </w:r>
          </w:p>
        </w:tc>
        <w:tc>
          <w:tcPr>
            <w:tcW w:w="1558" w:type="dxa"/>
          </w:tcPr>
          <w:p w14:paraId="7AC3D43E" w14:textId="20B56971" w:rsidR="00BC1B17" w:rsidRDefault="00BC1B17" w:rsidP="00BC1B17">
            <w:r>
              <w:rPr>
                <w:rFonts w:ascii="Calibri" w:hAnsi="Calibri" w:cs="Calibri"/>
                <w:color w:val="000000"/>
              </w:rPr>
              <w:t>138.9565</w:t>
            </w:r>
          </w:p>
        </w:tc>
        <w:tc>
          <w:tcPr>
            <w:tcW w:w="1558" w:type="dxa"/>
          </w:tcPr>
          <w:p w14:paraId="45B24A01" w14:textId="38A395F9" w:rsidR="00BC1B17" w:rsidRDefault="00BC1B17" w:rsidP="00BC1B17">
            <w:r>
              <w:rPr>
                <w:rFonts w:ascii="Calibri" w:hAnsi="Calibri" w:cs="Calibri"/>
                <w:color w:val="000000"/>
              </w:rPr>
              <w:t>6.45735</w:t>
            </w:r>
          </w:p>
        </w:tc>
        <w:tc>
          <w:tcPr>
            <w:tcW w:w="1558" w:type="dxa"/>
            <w:vAlign w:val="bottom"/>
          </w:tcPr>
          <w:p w14:paraId="63CDEF63" w14:textId="13619087" w:rsidR="00BC1B17" w:rsidRDefault="00BC1B17" w:rsidP="00BC1B17">
            <w:r>
              <w:rPr>
                <w:rFonts w:ascii="Calibri" w:hAnsi="Calibri" w:cs="Calibri"/>
                <w:color w:val="000000"/>
              </w:rPr>
              <w:t>95.56</w:t>
            </w:r>
            <w:r w:rsidR="008F1F7B">
              <w:rPr>
                <w:rFonts w:ascii="Calibri" w:hAnsi="Calibri" w:cs="Calibri"/>
                <w:color w:val="000000"/>
              </w:rPr>
              <w:t>%</w:t>
            </w:r>
          </w:p>
        </w:tc>
        <w:tc>
          <w:tcPr>
            <w:tcW w:w="1559" w:type="dxa"/>
            <w:vAlign w:val="bottom"/>
          </w:tcPr>
          <w:p w14:paraId="6E659FCC" w14:textId="1F1DDD9D" w:rsidR="00BC1B17" w:rsidRDefault="00BC1B17" w:rsidP="00BC1B17">
            <w:r>
              <w:rPr>
                <w:rFonts w:ascii="Calibri" w:hAnsi="Calibri" w:cs="Calibri"/>
                <w:color w:val="000000"/>
              </w:rPr>
              <w:t>4.44</w:t>
            </w:r>
            <w:r w:rsidR="008F1F7B">
              <w:rPr>
                <w:rFonts w:ascii="Calibri" w:hAnsi="Calibri" w:cs="Calibri"/>
                <w:color w:val="000000"/>
              </w:rPr>
              <w:t>%</w:t>
            </w:r>
          </w:p>
        </w:tc>
        <w:tc>
          <w:tcPr>
            <w:tcW w:w="1559" w:type="dxa"/>
            <w:vAlign w:val="bottom"/>
          </w:tcPr>
          <w:p w14:paraId="4BB05875" w14:textId="1BAF3DEA" w:rsidR="00BC1B17" w:rsidRDefault="00BC1B17" w:rsidP="00BC1B17">
            <w:r>
              <w:rPr>
                <w:rFonts w:ascii="Calibri" w:hAnsi="Calibri" w:cs="Calibri"/>
                <w:color w:val="000000"/>
              </w:rPr>
              <w:t>2151.91</w:t>
            </w:r>
            <w:r w:rsidR="008F1F7B">
              <w:rPr>
                <w:rFonts w:ascii="Calibri" w:hAnsi="Calibri" w:cs="Calibri"/>
                <w:color w:val="000000"/>
              </w:rPr>
              <w:t>%</w:t>
            </w:r>
          </w:p>
        </w:tc>
      </w:tr>
      <w:tr w:rsidR="00BC1B17" w14:paraId="73094C2A" w14:textId="77777777" w:rsidTr="004E6BAD">
        <w:tc>
          <w:tcPr>
            <w:tcW w:w="1558" w:type="dxa"/>
          </w:tcPr>
          <w:p w14:paraId="4083D7F7" w14:textId="4C0795B1" w:rsidR="00BC1B17" w:rsidRDefault="00BC1B17" w:rsidP="00BC1B17">
            <w:r>
              <w:t>30,000</w:t>
            </w:r>
          </w:p>
        </w:tc>
        <w:tc>
          <w:tcPr>
            <w:tcW w:w="1558" w:type="dxa"/>
          </w:tcPr>
          <w:p w14:paraId="1D00F892" w14:textId="53B9F9EA" w:rsidR="00BC1B17" w:rsidRDefault="00BC1B17" w:rsidP="00BC1B17">
            <w:r>
              <w:rPr>
                <w:rFonts w:ascii="Calibri" w:hAnsi="Calibri" w:cs="Calibri"/>
                <w:color w:val="000000"/>
              </w:rPr>
              <w:t>1204.62</w:t>
            </w:r>
          </w:p>
        </w:tc>
        <w:tc>
          <w:tcPr>
            <w:tcW w:w="1558" w:type="dxa"/>
          </w:tcPr>
          <w:p w14:paraId="494CCAB6" w14:textId="76BD357D" w:rsidR="00BC1B17" w:rsidRDefault="00BC1B17" w:rsidP="00BC1B17">
            <w:r>
              <w:rPr>
                <w:rFonts w:ascii="Calibri" w:hAnsi="Calibri" w:cs="Calibri"/>
                <w:color w:val="000000"/>
              </w:rPr>
              <w:t>56.07944</w:t>
            </w:r>
          </w:p>
        </w:tc>
        <w:tc>
          <w:tcPr>
            <w:tcW w:w="1558" w:type="dxa"/>
            <w:vAlign w:val="bottom"/>
          </w:tcPr>
          <w:p w14:paraId="22098182" w14:textId="20F23D9F" w:rsidR="00BC1B17" w:rsidRDefault="00BC1B17" w:rsidP="00BC1B17">
            <w:r>
              <w:rPr>
                <w:rFonts w:ascii="Calibri" w:hAnsi="Calibri" w:cs="Calibri"/>
                <w:color w:val="000000"/>
              </w:rPr>
              <w:t>95.55</w:t>
            </w:r>
            <w:r w:rsidR="008F1F7B">
              <w:rPr>
                <w:rFonts w:ascii="Calibri" w:hAnsi="Calibri" w:cs="Calibri"/>
                <w:color w:val="000000"/>
              </w:rPr>
              <w:t>%</w:t>
            </w:r>
          </w:p>
        </w:tc>
        <w:tc>
          <w:tcPr>
            <w:tcW w:w="1559" w:type="dxa"/>
            <w:vAlign w:val="bottom"/>
          </w:tcPr>
          <w:p w14:paraId="61BA2673" w14:textId="0832C78B" w:rsidR="00BC1B17" w:rsidRDefault="00BC1B17" w:rsidP="00BC1B17">
            <w:r>
              <w:rPr>
                <w:rFonts w:ascii="Calibri" w:hAnsi="Calibri" w:cs="Calibri"/>
                <w:color w:val="000000"/>
              </w:rPr>
              <w:t>4.45</w:t>
            </w:r>
            <w:r w:rsidR="008F1F7B">
              <w:rPr>
                <w:rFonts w:ascii="Calibri" w:hAnsi="Calibri" w:cs="Calibri"/>
                <w:color w:val="000000"/>
              </w:rPr>
              <w:t>%</w:t>
            </w:r>
          </w:p>
        </w:tc>
        <w:tc>
          <w:tcPr>
            <w:tcW w:w="1559" w:type="dxa"/>
            <w:vAlign w:val="bottom"/>
          </w:tcPr>
          <w:p w14:paraId="3D61FBE5" w14:textId="35509BC4" w:rsidR="00BC1B17" w:rsidRDefault="00BC1B17" w:rsidP="00BC1B17">
            <w:r>
              <w:rPr>
                <w:rFonts w:ascii="Calibri" w:hAnsi="Calibri" w:cs="Calibri"/>
                <w:color w:val="000000"/>
              </w:rPr>
              <w:t>2148.06</w:t>
            </w:r>
            <w:r w:rsidR="008F1F7B">
              <w:rPr>
                <w:rFonts w:ascii="Calibri" w:hAnsi="Calibri" w:cs="Calibri"/>
                <w:color w:val="000000"/>
              </w:rPr>
              <w:t>%</w:t>
            </w:r>
          </w:p>
        </w:tc>
      </w:tr>
    </w:tbl>
    <w:p w14:paraId="5E038D17" w14:textId="206C9E14" w:rsidR="00BC1B17" w:rsidRDefault="00BC1B17" w:rsidP="00BC1B17">
      <w:pPr>
        <w:jc w:val="center"/>
      </w:pPr>
      <w:r>
        <w:t>Table</w:t>
      </w:r>
      <w:r>
        <w:t xml:space="preserve"> 1. </w:t>
      </w:r>
      <w:r>
        <w:t>Table of elements for 500 iterations</w:t>
      </w:r>
    </w:p>
    <w:p w14:paraId="7B46521A" w14:textId="533C6FDB" w:rsidR="00B641FF" w:rsidRPr="00B641FF" w:rsidRDefault="00B641FF" w:rsidP="00B641FF">
      <w:r>
        <w:t>The effects of increasing the number of iterations</w:t>
      </w:r>
      <w:r w:rsidR="008F1F7B">
        <w:t xml:space="preserve"> does not scale as according to how we would assume. For example, iterating twice should speed it up by twice. It does not speed it up but in fact hovers around the same percentage as the previous 50 iterations counterpart. This is due to the inbuilt latency of sending instructions to the GPU from the CPU which is done per iteration. Therefore, more iterations means more latency, resulting in almost the same amount of speed up in comparison to 50 iterations.</w:t>
      </w:r>
    </w:p>
    <w:p w14:paraId="06280AD4" w14:textId="77777777" w:rsidR="00573532" w:rsidRDefault="00573532" w:rsidP="00697477">
      <w:pPr>
        <w:jc w:val="both"/>
      </w:pPr>
    </w:p>
    <w:p w14:paraId="2154D34B" w14:textId="77777777" w:rsidR="00561A55" w:rsidRPr="00697477" w:rsidRDefault="00561A55" w:rsidP="00697477">
      <w:pPr>
        <w:jc w:val="both"/>
      </w:pPr>
    </w:p>
    <w:sectPr w:rsidR="00561A55" w:rsidRPr="00697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477"/>
    <w:rsid w:val="00561A55"/>
    <w:rsid w:val="00573532"/>
    <w:rsid w:val="00697477"/>
    <w:rsid w:val="007B59B8"/>
    <w:rsid w:val="008F1F7B"/>
    <w:rsid w:val="00B641FF"/>
    <w:rsid w:val="00BC1B17"/>
    <w:rsid w:val="00DB1A56"/>
    <w:rsid w:val="00F72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65BAE"/>
  <w15:chartTrackingRefBased/>
  <w15:docId w15:val="{1EFA2E7F-0946-4A41-B20A-E35C8DA25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4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74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747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9747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64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84111">
      <w:bodyDiv w:val="1"/>
      <w:marLeft w:val="0"/>
      <w:marRight w:val="0"/>
      <w:marTop w:val="0"/>
      <w:marBottom w:val="0"/>
      <w:divBdr>
        <w:top w:val="none" w:sz="0" w:space="0" w:color="auto"/>
        <w:left w:val="none" w:sz="0" w:space="0" w:color="auto"/>
        <w:bottom w:val="none" w:sz="0" w:space="0" w:color="auto"/>
        <w:right w:val="none" w:sz="0" w:space="0" w:color="auto"/>
      </w:divBdr>
    </w:div>
    <w:div w:id="368267256">
      <w:bodyDiv w:val="1"/>
      <w:marLeft w:val="0"/>
      <w:marRight w:val="0"/>
      <w:marTop w:val="0"/>
      <w:marBottom w:val="0"/>
      <w:divBdr>
        <w:top w:val="none" w:sz="0" w:space="0" w:color="auto"/>
        <w:left w:val="none" w:sz="0" w:space="0" w:color="auto"/>
        <w:bottom w:val="none" w:sz="0" w:space="0" w:color="auto"/>
        <w:right w:val="none" w:sz="0" w:space="0" w:color="auto"/>
      </w:divBdr>
    </w:div>
    <w:div w:id="420571026">
      <w:bodyDiv w:val="1"/>
      <w:marLeft w:val="0"/>
      <w:marRight w:val="0"/>
      <w:marTop w:val="0"/>
      <w:marBottom w:val="0"/>
      <w:divBdr>
        <w:top w:val="none" w:sz="0" w:space="0" w:color="auto"/>
        <w:left w:val="none" w:sz="0" w:space="0" w:color="auto"/>
        <w:bottom w:val="none" w:sz="0" w:space="0" w:color="auto"/>
        <w:right w:val="none" w:sz="0" w:space="0" w:color="auto"/>
      </w:divBdr>
    </w:div>
    <w:div w:id="554857908">
      <w:bodyDiv w:val="1"/>
      <w:marLeft w:val="0"/>
      <w:marRight w:val="0"/>
      <w:marTop w:val="0"/>
      <w:marBottom w:val="0"/>
      <w:divBdr>
        <w:top w:val="none" w:sz="0" w:space="0" w:color="auto"/>
        <w:left w:val="none" w:sz="0" w:space="0" w:color="auto"/>
        <w:bottom w:val="none" w:sz="0" w:space="0" w:color="auto"/>
        <w:right w:val="none" w:sz="0" w:space="0" w:color="auto"/>
      </w:divBdr>
    </w:div>
    <w:div w:id="728915875">
      <w:bodyDiv w:val="1"/>
      <w:marLeft w:val="0"/>
      <w:marRight w:val="0"/>
      <w:marTop w:val="0"/>
      <w:marBottom w:val="0"/>
      <w:divBdr>
        <w:top w:val="none" w:sz="0" w:space="0" w:color="auto"/>
        <w:left w:val="none" w:sz="0" w:space="0" w:color="auto"/>
        <w:bottom w:val="none" w:sz="0" w:space="0" w:color="auto"/>
        <w:right w:val="none" w:sz="0" w:space="0" w:color="auto"/>
      </w:divBdr>
    </w:div>
    <w:div w:id="740981581">
      <w:bodyDiv w:val="1"/>
      <w:marLeft w:val="0"/>
      <w:marRight w:val="0"/>
      <w:marTop w:val="0"/>
      <w:marBottom w:val="0"/>
      <w:divBdr>
        <w:top w:val="none" w:sz="0" w:space="0" w:color="auto"/>
        <w:left w:val="none" w:sz="0" w:space="0" w:color="auto"/>
        <w:bottom w:val="none" w:sz="0" w:space="0" w:color="auto"/>
        <w:right w:val="none" w:sz="0" w:space="0" w:color="auto"/>
      </w:divBdr>
    </w:div>
    <w:div w:id="832182160">
      <w:bodyDiv w:val="1"/>
      <w:marLeft w:val="0"/>
      <w:marRight w:val="0"/>
      <w:marTop w:val="0"/>
      <w:marBottom w:val="0"/>
      <w:divBdr>
        <w:top w:val="none" w:sz="0" w:space="0" w:color="auto"/>
        <w:left w:val="none" w:sz="0" w:space="0" w:color="auto"/>
        <w:bottom w:val="none" w:sz="0" w:space="0" w:color="auto"/>
        <w:right w:val="none" w:sz="0" w:space="0" w:color="auto"/>
      </w:divBdr>
    </w:div>
    <w:div w:id="1059212835">
      <w:bodyDiv w:val="1"/>
      <w:marLeft w:val="0"/>
      <w:marRight w:val="0"/>
      <w:marTop w:val="0"/>
      <w:marBottom w:val="0"/>
      <w:divBdr>
        <w:top w:val="none" w:sz="0" w:space="0" w:color="auto"/>
        <w:left w:val="none" w:sz="0" w:space="0" w:color="auto"/>
        <w:bottom w:val="none" w:sz="0" w:space="0" w:color="auto"/>
        <w:right w:val="none" w:sz="0" w:space="0" w:color="auto"/>
      </w:divBdr>
    </w:div>
    <w:div w:id="1477067744">
      <w:bodyDiv w:val="1"/>
      <w:marLeft w:val="0"/>
      <w:marRight w:val="0"/>
      <w:marTop w:val="0"/>
      <w:marBottom w:val="0"/>
      <w:divBdr>
        <w:top w:val="none" w:sz="0" w:space="0" w:color="auto"/>
        <w:left w:val="none" w:sz="0" w:space="0" w:color="auto"/>
        <w:bottom w:val="none" w:sz="0" w:space="0" w:color="auto"/>
        <w:right w:val="none" w:sz="0" w:space="0" w:color="auto"/>
      </w:divBdr>
    </w:div>
    <w:div w:id="1629506605">
      <w:bodyDiv w:val="1"/>
      <w:marLeft w:val="0"/>
      <w:marRight w:val="0"/>
      <w:marTop w:val="0"/>
      <w:marBottom w:val="0"/>
      <w:divBdr>
        <w:top w:val="none" w:sz="0" w:space="0" w:color="auto"/>
        <w:left w:val="none" w:sz="0" w:space="0" w:color="auto"/>
        <w:bottom w:val="none" w:sz="0" w:space="0" w:color="auto"/>
        <w:right w:val="none" w:sz="0" w:space="0" w:color="auto"/>
      </w:divBdr>
    </w:div>
    <w:div w:id="1732657144">
      <w:bodyDiv w:val="1"/>
      <w:marLeft w:val="0"/>
      <w:marRight w:val="0"/>
      <w:marTop w:val="0"/>
      <w:marBottom w:val="0"/>
      <w:divBdr>
        <w:top w:val="none" w:sz="0" w:space="0" w:color="auto"/>
        <w:left w:val="none" w:sz="0" w:space="0" w:color="auto"/>
        <w:bottom w:val="none" w:sz="0" w:space="0" w:color="auto"/>
        <w:right w:val="none" w:sz="0" w:space="0" w:color="auto"/>
      </w:divBdr>
    </w:div>
    <w:div w:id="1855805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ong.q\Desktop\cs398\cs398\benchmark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50 Iterations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1914260717410323E-2"/>
          <c:y val="0.15782407407407409"/>
          <c:w val="0.87753018372703417"/>
          <c:h val="0.61498432487605714"/>
        </c:manualLayout>
      </c:layout>
      <c:barChart>
        <c:barDir val="col"/>
        <c:grouping val="clustered"/>
        <c:varyColors val="0"/>
        <c:ser>
          <c:idx val="0"/>
          <c:order val="0"/>
          <c:tx>
            <c:strRef>
              <c:f>Sheet1!$B$1</c:f>
              <c:strCache>
                <c:ptCount val="1"/>
                <c:pt idx="0">
                  <c:v>CPU</c:v>
                </c:pt>
              </c:strCache>
            </c:strRef>
          </c:tx>
          <c:spPr>
            <a:solidFill>
              <a:schemeClr val="accent1"/>
            </a:solidFill>
            <a:ln>
              <a:noFill/>
            </a:ln>
            <a:effectLst/>
          </c:spPr>
          <c:invertIfNegative val="0"/>
          <c:cat>
            <c:strRef>
              <c:f>Sheet1!$A$2:$A$6</c:f>
              <c:strCache>
                <c:ptCount val="5"/>
                <c:pt idx="0">
                  <c:v>100/50</c:v>
                </c:pt>
                <c:pt idx="1">
                  <c:v>500/50</c:v>
                </c:pt>
                <c:pt idx="2">
                  <c:v>1000/50</c:v>
                </c:pt>
                <c:pt idx="3">
                  <c:v>10000/50</c:v>
                </c:pt>
                <c:pt idx="4">
                  <c:v>30000/50</c:v>
                </c:pt>
              </c:strCache>
            </c:strRef>
          </c:cat>
          <c:val>
            <c:numRef>
              <c:f>Sheet1!$B$2:$B$6</c:f>
              <c:numCache>
                <c:formatCode>General</c:formatCode>
                <c:ptCount val="5"/>
                <c:pt idx="0">
                  <c:v>1.09E-3</c:v>
                </c:pt>
                <c:pt idx="1">
                  <c:v>2.9420000000000002E-2</c:v>
                </c:pt>
                <c:pt idx="2">
                  <c:v>0.11419</c:v>
                </c:pt>
                <c:pt idx="3">
                  <c:v>13.158110000000001</c:v>
                </c:pt>
                <c:pt idx="4">
                  <c:v>117.89205</c:v>
                </c:pt>
              </c:numCache>
            </c:numRef>
          </c:val>
          <c:extLst>
            <c:ext xmlns:c16="http://schemas.microsoft.com/office/drawing/2014/chart" uri="{C3380CC4-5D6E-409C-BE32-E72D297353CC}">
              <c16:uniqueId val="{00000000-15B2-4AD4-B1AC-105E8041D15F}"/>
            </c:ext>
          </c:extLst>
        </c:ser>
        <c:ser>
          <c:idx val="1"/>
          <c:order val="1"/>
          <c:tx>
            <c:strRef>
              <c:f>Sheet1!$C$1</c:f>
              <c:strCache>
                <c:ptCount val="1"/>
                <c:pt idx="0">
                  <c:v>GPU</c:v>
                </c:pt>
              </c:strCache>
            </c:strRef>
          </c:tx>
          <c:spPr>
            <a:solidFill>
              <a:schemeClr val="accent2"/>
            </a:solidFill>
            <a:ln>
              <a:noFill/>
            </a:ln>
            <a:effectLst/>
          </c:spPr>
          <c:invertIfNegative val="0"/>
          <c:cat>
            <c:strRef>
              <c:f>Sheet1!$A$2:$A$6</c:f>
              <c:strCache>
                <c:ptCount val="5"/>
                <c:pt idx="0">
                  <c:v>100/50</c:v>
                </c:pt>
                <c:pt idx="1">
                  <c:v>500/50</c:v>
                </c:pt>
                <c:pt idx="2">
                  <c:v>1000/50</c:v>
                </c:pt>
                <c:pt idx="3">
                  <c:v>10000/50</c:v>
                </c:pt>
                <c:pt idx="4">
                  <c:v>30000/50</c:v>
                </c:pt>
              </c:strCache>
            </c:strRef>
          </c:cat>
          <c:val>
            <c:numRef>
              <c:f>Sheet1!$C$2:$C$6</c:f>
              <c:numCache>
                <c:formatCode>General</c:formatCode>
                <c:ptCount val="5"/>
                <c:pt idx="0">
                  <c:v>1.9220000000000001E-2</c:v>
                </c:pt>
                <c:pt idx="1">
                  <c:v>1.8849999999999999E-2</c:v>
                </c:pt>
                <c:pt idx="2">
                  <c:v>2.5850000000000001E-2</c:v>
                </c:pt>
                <c:pt idx="3">
                  <c:v>0.70870999999999995</c:v>
                </c:pt>
                <c:pt idx="4">
                  <c:v>6.0787699999999996</c:v>
                </c:pt>
              </c:numCache>
            </c:numRef>
          </c:val>
          <c:extLst>
            <c:ext xmlns:c16="http://schemas.microsoft.com/office/drawing/2014/chart" uri="{C3380CC4-5D6E-409C-BE32-E72D297353CC}">
              <c16:uniqueId val="{00000001-15B2-4AD4-B1AC-105E8041D15F}"/>
            </c:ext>
          </c:extLst>
        </c:ser>
        <c:ser>
          <c:idx val="2"/>
          <c:order val="2"/>
          <c:tx>
            <c:strRef>
              <c:f>Sheet1!$F$1</c:f>
              <c:strCache>
                <c:ptCount val="1"/>
                <c:pt idx="0">
                  <c:v>Speedup</c:v>
                </c:pt>
              </c:strCache>
            </c:strRef>
          </c:tx>
          <c:spPr>
            <a:solidFill>
              <a:schemeClr val="accent3"/>
            </a:solidFill>
            <a:ln>
              <a:noFill/>
            </a:ln>
            <a:effectLst/>
          </c:spPr>
          <c:invertIfNegative val="0"/>
          <c:cat>
            <c:strRef>
              <c:f>Sheet1!$A$2:$A$6</c:f>
              <c:strCache>
                <c:ptCount val="5"/>
                <c:pt idx="0">
                  <c:v>100/50</c:v>
                </c:pt>
                <c:pt idx="1">
                  <c:v>500/50</c:v>
                </c:pt>
                <c:pt idx="2">
                  <c:v>1000/50</c:v>
                </c:pt>
                <c:pt idx="3">
                  <c:v>10000/50</c:v>
                </c:pt>
                <c:pt idx="4">
                  <c:v>30000/50</c:v>
                </c:pt>
              </c:strCache>
            </c:strRef>
          </c:cat>
          <c:val>
            <c:numRef>
              <c:f>Sheet1!$F$2:$F$6</c:f>
              <c:numCache>
                <c:formatCode>General</c:formatCode>
                <c:ptCount val="5"/>
                <c:pt idx="0">
                  <c:v>5.6711758584807486</c:v>
                </c:pt>
                <c:pt idx="1">
                  <c:v>156.07427055702919</c:v>
                </c:pt>
                <c:pt idx="2">
                  <c:v>441.74081237911025</c:v>
                </c:pt>
                <c:pt idx="3">
                  <c:v>1856.6282400417663</c:v>
                </c:pt>
                <c:pt idx="4">
                  <c:v>1939.406327266865</c:v>
                </c:pt>
              </c:numCache>
            </c:numRef>
          </c:val>
          <c:extLst>
            <c:ext xmlns:c16="http://schemas.microsoft.com/office/drawing/2014/chart" uri="{C3380CC4-5D6E-409C-BE32-E72D297353CC}">
              <c16:uniqueId val="{00000002-15B2-4AD4-B1AC-105E8041D15F}"/>
            </c:ext>
          </c:extLst>
        </c:ser>
        <c:dLbls>
          <c:showLegendKey val="0"/>
          <c:showVal val="0"/>
          <c:showCatName val="0"/>
          <c:showSerName val="0"/>
          <c:showPercent val="0"/>
          <c:showBubbleSize val="0"/>
        </c:dLbls>
        <c:gapWidth val="219"/>
        <c:overlap val="-27"/>
        <c:axId val="554486112"/>
        <c:axId val="554486504"/>
      </c:barChart>
      <c:catAx>
        <c:axId val="554486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486504"/>
        <c:crosses val="autoZero"/>
        <c:auto val="1"/>
        <c:lblAlgn val="ctr"/>
        <c:lblOffset val="100"/>
        <c:noMultiLvlLbl val="0"/>
      </c:catAx>
      <c:valAx>
        <c:axId val="554486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48611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layout>
        <c:manualLayout>
          <c:xMode val="edge"/>
          <c:yMode val="edge"/>
          <c:x val="0.34489996807271134"/>
          <c:y val="8.0848315013254929E-2"/>
          <c:w val="0.31001574803149606"/>
          <c:h val="7.812554680664916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47448-BF77-40A5-87C8-BD0E8F1D1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DigiPen Institute of Technology Singapore</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Quanyi Marcus YONG</dc:creator>
  <cp:keywords/>
  <dc:description/>
  <cp:lastModifiedBy>Quanyi Marcus YONG</cp:lastModifiedBy>
  <cp:revision>7</cp:revision>
  <dcterms:created xsi:type="dcterms:W3CDTF">2020-09-22T04:38:00Z</dcterms:created>
  <dcterms:modified xsi:type="dcterms:W3CDTF">2020-09-22T08:14:00Z</dcterms:modified>
</cp:coreProperties>
</file>