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434343"/>
  <w:body>
    <w:p w:rsidR="00000000" w:rsidDel="00000000" w:rsidP="00000000" w:rsidRDefault="00000000" w:rsidRPr="00000000" w14:paraId="00000001">
      <w:pPr>
        <w:jc w:val="both"/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32"/>
          <w:szCs w:val="32"/>
          <w:rtl w:val="0"/>
        </w:rPr>
        <w:t xml:space="preserve">REGISTRO DE PROMPTS Y VALIDACIÓN DE HALLAZGOS</w:t>
      </w: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color w:val="ffffff"/>
          <w:sz w:val="34"/>
          <w:szCs w:val="34"/>
        </w:rPr>
      </w:pPr>
      <w:bookmarkStart w:colFirst="0" w:colLast="0" w:name="_2yxtvpkfho95" w:id="0"/>
      <w:bookmarkEnd w:id="0"/>
      <w:r w:rsidDel="00000000" w:rsidR="00000000" w:rsidRPr="00000000">
        <w:rPr>
          <w:b w:val="1"/>
          <w:bCs w:val="1"/>
          <w:color w:val="ffffff"/>
          <w:sz w:val="34"/>
          <w:szCs w:val="34"/>
          <w:rtl w:val="0"/>
        </w:rPr>
        <w:t xml:space="preserve">PROMPT 1 – Análisis de conclusiones / Abogado del Diablo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b w:val="1"/>
          <w:bCs w:val="1"/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“Actuá como un analista de negocios sumamente crítico. Voy a presentarte tres conclusiones obtenidas de mi Dashboard de ventas: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La categoría Muebles lidera las ventas, con aproximadamente $29,3 millones.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El margen neto representa aproximadamente el 28,3 % de las ventas totales.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Diciembre presenta el mayor nivel de ventas del año.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b w:val="1"/>
          <w:bCs w:val="1"/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Buscá posibles sesgos, errores de interpretación o explicaciones alternativas que debería considerar antes de presentar estas conclusiones como definitivas.”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color w:val="ffffff"/>
          <w:sz w:val="34"/>
          <w:szCs w:val="34"/>
        </w:rPr>
      </w:pPr>
      <w:bookmarkStart w:colFirst="0" w:colLast="0" w:name="_pj0hpwq0nqzp" w:id="1"/>
      <w:bookmarkEnd w:id="1"/>
      <w:r w:rsidDel="00000000" w:rsidR="00000000" w:rsidRPr="00000000">
        <w:rPr>
          <w:b w:val="1"/>
          <w:bCs w:val="1"/>
          <w:color w:val="ffffff"/>
          <w:sz w:val="34"/>
          <w:szCs w:val="34"/>
          <w:rtl w:val="0"/>
        </w:rPr>
        <w:t xml:space="preserve">RESPUESTA DE LA IA – Resumen de auditoría crítica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Conclusión 1: Mayor facturación no significa necesariamente mayor rentabilidad. Deben considerarse también costos, cantidades vendidas y márgenes.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Conclusión 2: El margen del 28,3 % es correcto según el modelo, pero su interpretación depende de qué costos fueron incluidos en el cálculo.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Conclusión 3: Que diciembre sea el mes de mayores ventas no demuestra por sí solo una tendencia permanente; podría existir estacionalidad.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color w:val="ffffff"/>
          <w:sz w:val="34"/>
          <w:szCs w:val="34"/>
        </w:rPr>
      </w:pPr>
      <w:bookmarkStart w:colFirst="0" w:colLast="0" w:name="_8gbfwyg1iuex" w:id="2"/>
      <w:bookmarkEnd w:id="2"/>
      <w:r w:rsidDel="00000000" w:rsidR="00000000" w:rsidRPr="00000000">
        <w:rPr>
          <w:b w:val="1"/>
          <w:bCs w:val="1"/>
          <w:color w:val="ffffff"/>
          <w:sz w:val="34"/>
          <w:szCs w:val="34"/>
          <w:rtl w:val="0"/>
        </w:rPr>
        <w:t xml:space="preserve">MÉTODO DE REFINAMIENTO DEL DASHBOARD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b w:val="1"/>
          <w:bCs w:val="1"/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A partir de la revisión con IA: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Se evitó afirmar que Muebles es automáticamente la categoría más rentable.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Se incorporó un gráfico de cascada para mostrar la relación entre Ventas, Costos y Margen Neto.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color w:val="ffffff"/>
        </w:rPr>
      </w:pPr>
      <w:r w:rsidDel="00000000" w:rsidR="00000000" w:rsidRPr="00000000">
        <w:rPr>
          <w:b w:val="1"/>
          <w:bCs w:val="1"/>
          <w:color w:val="ffffff"/>
          <w:rtl w:val="0"/>
        </w:rPr>
        <w:t xml:space="preserve">Se utilizó un título narrativo prudente para la evolución mensual: “Las ventas alcanzan su pico hacia fin de año”, evitando afirmar una tendencia estructural con datos de un solo año.</w:t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