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40"/>
        <w:jc w:val="center"/>
      </w:pPr>
      <w:r>
        <w:rPr>
          <w:rFonts w:ascii="Arial" w:cs="Arial" w:eastAsia="Arial" w:hAnsi="Arial"/>
          <w:b/>
          <w:bCs/>
          <w:color w:val="1F4E79"/>
          <w:sz w:val="64"/>
          <w:szCs w:val="64"/>
        </w:rPr>
        <w:t xml:space="preserve">Survey Bot Detection</w:t>
      </w:r>
    </w:p>
    <w:p>
      <w:pPr>
        <w:spacing w:after="200"/>
        <w:jc w:val="center"/>
      </w:pPr>
      <w:r>
        <w:rPr>
          <w:rFonts w:ascii="Arial" w:cs="Arial" w:eastAsia="Arial" w:hAnsi="Arial"/>
          <w:color w:val="2E75B6"/>
          <w:sz w:val="36"/>
          <w:szCs w:val="36"/>
        </w:rPr>
        <w:t xml:space="preserve">Literature Review &amp; Algorithm Analysis</w:t>
      </w:r>
    </w:p>
    <w:p>
      <w:pPr>
        <w:spacing w:after="120"/>
        <w:jc w:val="center"/>
      </w:pPr>
      <w:r>
        <w:rPr>
          <w:rFonts w:ascii="Arial" w:cs="Arial" w:eastAsia="Arial" w:hAnsi="Arial"/>
          <w:color w:val="595959"/>
          <w:sz w:val="24"/>
          <w:szCs w:val="24"/>
        </w:rPr>
        <w:t xml:space="preserve">Oishi Lab  |  University of Chicago</w:t>
      </w:r>
    </w:p>
    <w:p>
      <w:pPr>
        <w:spacing w:after="80"/>
        <w:jc w:val="center"/>
      </w:pPr>
      <w:r>
        <w:rPr>
          <w:rFonts w:ascii="Arial" w:cs="Arial" w:eastAsia="Arial" w:hAnsi="Arial"/>
          <w:color w:val="595959"/>
          <w:sz w:val="22"/>
          <w:szCs w:val="22"/>
        </w:rPr>
        <w:t xml:space="preserve">Prepared by: Marcus Gao</w:t>
      </w:r>
    </w:p>
    <w:p>
      <w:pPr>
        <w:spacing w:after="1200"/>
        <w:jc w:val="center"/>
      </w:pPr>
      <w:r>
        <w:rPr>
          <w:rFonts w:ascii="Arial" w:cs="Arial" w:eastAsia="Arial" w:hAnsi="Arial"/>
          <w:color w:val="595959"/>
          <w:sz w:val="22"/>
          <w:szCs w:val="22"/>
        </w:rPr>
        <w:t xml:space="preserve">April 2026  |  Version 1.0</w:t>
      </w:r>
    </w:p>
    <w:p>
      <w:pPr>
        <w:pBdr>
          <w:bottom w:val="single" w:color="2E75B6" w:sz="6" w:space="1"/>
        </w:pBdr>
        <w:spacing w:after="160" w:before="160"/>
      </w:pPr>
      <w:r>
        <w:t xml:space="preserve"/>
      </w:r>
    </w:p>
    <w:p>
      <w:pPr>
        <w:spacing w:after="300"/>
      </w:pPr>
      <w:r>
        <w:t xml:space="preserve"/>
      </w:r>
    </w:p>
    <w:p>
      <w:pPr>
        <w:pStyle w:val="Heading1"/>
      </w:pPr>
      <w:r>
        <w:t xml:space="preserve">1. Overview &amp; Purpose</w:t>
      </w:r>
    </w:p>
    <w:p>
      <w:pPr>
        <w:spacing w:after="160"/>
      </w:pPr>
      <w:r>
        <w:rPr>
          <w:rFonts w:ascii="Arial" w:cs="Arial" w:eastAsia="Arial" w:hAnsi="Arial"/>
          <w:color w:val="000000"/>
          <w:sz w:val="22"/>
          <w:szCs w:val="22"/>
        </w:rPr>
        <w:t xml:space="preserve">This document summarizes a structured review of the peer-reviewed literature on unsupervised survey bot detection, conducted to inform the scientific grounding of the Survey Bot Detector tool developed for the Oishi Lab. The review identifies the leading validated algorithm in the field, documents its statistical foundations, and provides citation information for use in lab documentation, manuscripts, and presentations.</w:t>
      </w:r>
    </w:p>
    <w:p>
      <w:pPr>
        <w:spacing w:after="160"/>
      </w:pPr>
      <w:r>
        <w:rPr>
          <w:rFonts w:ascii="Arial" w:cs="Arial" w:eastAsia="Arial" w:hAnsi="Arial"/>
          <w:color w:val="000000"/>
          <w:sz w:val="22"/>
          <w:szCs w:val="22"/>
        </w:rPr>
        <w:t xml:space="preserve">The review covers three papers by Ilagan and Falk (McGill University), who have published the most rigorously validated unsupervised algorithm for detecting bot responses in Likert-type survey data. Their work has been published in two of the highest-impact quantitative methods journals in psychology.</w:t>
      </w:r>
    </w:p>
    <w:p>
      <w:pPr>
        <w:spacing w:after="80"/>
      </w:pPr>
      <w:r>
        <w:t xml:space="preserve"/>
      </w:r>
    </w:p>
    <w:p>
      <w:pPr>
        <w:shd w:fill="D6E4F0" w:val="clear"/>
        <w:spacing w:after="80" w:before="80"/>
        <w:ind w:left="360" w:right="360"/>
      </w:pPr>
      <w:r>
        <w:rPr>
          <w:rFonts w:ascii="Arial" w:cs="Arial" w:eastAsia="Arial" w:hAnsi="Arial"/>
          <w:color w:val="1F4E79"/>
          <w:sz w:val="22"/>
          <w:szCs w:val="22"/>
        </w:rPr>
        <w:t xml:space="preserve">Key conclusion: The L1P1 algorithm (Ilagan &amp; Falk, 2024) is the recommended scientific foundation for bot detection in the Oishi Lab Survey Bot Detector tool. It is model-agnostic, unsupervised, and has demonstrated 95% sensitivity across diverse real-world datasets.</w:t>
      </w:r>
    </w:p>
    <w:p>
      <w:pPr>
        <w:spacing w:after="200"/>
      </w:pPr>
      <w:r>
        <w:t xml:space="preserve"/>
      </w:r>
    </w:p>
    <w:p>
      <w:pPr>
        <w:pStyle w:val="Heading1"/>
      </w:pPr>
      <w:r>
        <w:t xml:space="preserve">2. Papers Reviewed</w:t>
      </w:r>
    </w:p>
    <w:p>
      <w:pPr>
        <w:spacing w:after="160"/>
      </w:pPr>
      <w:r>
        <w:rPr>
          <w:rFonts w:ascii="Arial" w:cs="Arial" w:eastAsia="Arial" w:hAnsi="Arial"/>
          <w:color w:val="000000"/>
          <w:sz w:val="22"/>
          <w:szCs w:val="22"/>
        </w:rPr>
        <w:t xml:space="preserve">Three papers were reviewed, all by the same research group at McGill University. Together they represent the foundational work, the large-scale validation study, and an extension of the algorithm to surveys with mixed response scales.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560"/>
        <w:gridCol w:w="2200"/>
        <w:gridCol w:w="1700"/>
        <w:gridCol w:w="1500"/>
      </w:tblGrid>
      <w:tr>
        <w:tc>
          <w:tcPr>
            <w:tcW w:type="dxa" w:w="4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3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Title</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Authors</w:t>
            </w:r>
          </w:p>
        </w:tc>
        <w:tc>
          <w:tcPr>
            <w:tcW w:type="dxa" w:w="17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Journal</w:t>
            </w:r>
          </w:p>
        </w:tc>
        <w:tc>
          <w:tcPr>
            <w:tcW w:type="dxa" w:w="1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Year</w:t>
            </w:r>
          </w:p>
        </w:tc>
      </w:tr>
      <w:tr>
        <w:tc>
          <w:tcPr>
            <w:tcW w:type="dxa" w:w="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i w:val="false"/>
                <w:iCs w:val="false"/>
                <w:color w:val="000000"/>
                <w:sz w:val="20"/>
                <w:szCs w:val="20"/>
              </w:rPr>
              <w:t xml:space="preserve">P1</w:t>
            </w:r>
          </w:p>
        </w:tc>
        <w:tc>
          <w:tcPr>
            <w:tcW w:type="dxa" w:w="3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Model-agnostic unsupervised detection of bots in a Likert-type questionnaire</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Ilagan &amp; Falk</w:t>
            </w:r>
          </w:p>
        </w:tc>
        <w:tc>
          <w:tcPr>
            <w:tcW w:type="dxa" w:w="17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iCs/>
                <w:color w:val="000000"/>
                <w:sz w:val="20"/>
                <w:szCs w:val="20"/>
              </w:rPr>
              <w:t xml:space="preserve">Behavior Research Methods</w:t>
            </w:r>
          </w:p>
        </w:tc>
        <w:tc>
          <w:tcPr>
            <w:tcW w:type="dxa" w:w="1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2024</w:t>
            </w:r>
          </w:p>
        </w:tc>
      </w:tr>
      <w:tr>
        <w:tc>
          <w:tcPr>
            <w:tcW w:type="dxa" w:w="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i w:val="false"/>
                <w:iCs w:val="false"/>
                <w:color w:val="000000"/>
                <w:sz w:val="20"/>
                <w:szCs w:val="20"/>
              </w:rPr>
              <w:t xml:space="preserve">P2</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Unsupervised [randomly responding] survey bot detection: In search of high classification accuracy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Falk, Huang &amp; Ilagan</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iCs/>
                <w:color w:val="000000"/>
                <w:sz w:val="20"/>
                <w:szCs w:val="20"/>
              </w:rPr>
              <w:t xml:space="preserve">Psychological Methods</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2025</w:t>
            </w:r>
          </w:p>
        </w:tc>
      </w:tr>
      <w:tr>
        <w:tc>
          <w:tcPr>
            <w:tcW w:type="dxa" w:w="4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i w:val="false"/>
                <w:iCs w:val="false"/>
                <w:color w:val="000000"/>
                <w:sz w:val="20"/>
                <w:szCs w:val="20"/>
              </w:rPr>
              <w:t xml:space="preserve">P3</w:t>
            </w:r>
          </w:p>
        </w:tc>
        <w:tc>
          <w:tcPr>
            <w:tcW w:type="dxa" w:w="3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Unsupervised detection of random responding for Likert-type inventories with varying numbers of response categories</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Ilagan &amp; Falk</w:t>
            </w:r>
          </w:p>
        </w:tc>
        <w:tc>
          <w:tcPr>
            <w:tcW w:type="dxa" w:w="17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iCs/>
                <w:color w:val="000000"/>
                <w:sz w:val="20"/>
                <w:szCs w:val="20"/>
              </w:rPr>
              <w:t xml:space="preserve">IMPS 2024 Proceedings</w:t>
            </w:r>
          </w:p>
        </w:tc>
        <w:tc>
          <w:tcPr>
            <w:tcW w:type="dxa" w:w="15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2024</w:t>
            </w:r>
          </w:p>
        </w:tc>
      </w:tr>
    </w:tbl>
    <w:p>
      <w:pPr>
        <w:spacing w:after="200"/>
      </w:pPr>
      <w:r>
        <w:t xml:space="preserve"/>
      </w:r>
    </w:p>
    <w:p>
      <w:pPr>
        <w:pStyle w:val="Heading1"/>
      </w:pPr>
      <w:r>
        <w:t xml:space="preserve">3. Full Citations</w:t>
      </w:r>
    </w:p>
    <w:p>
      <w:pPr>
        <w:pStyle w:val="Heading2"/>
      </w:pPr>
      <w:r>
        <w:t xml:space="preserve">Paper P1 — Core Algorithm Paper</w:t>
      </w:r>
    </w:p>
    <w:p>
      <w:pPr>
        <w:spacing w:after="80"/>
        <w:ind w:left="720" w:hanging="720"/>
      </w:pPr>
      <w:r>
        <w:rPr>
          <w:rFonts w:ascii="Arial" w:cs="Arial" w:eastAsia="Arial" w:hAnsi="Arial"/>
          <w:color w:val="000000"/>
          <w:sz w:val="22"/>
          <w:szCs w:val="22"/>
        </w:rPr>
        <w:t xml:space="preserve">Ilagan, M. J., &amp; Falk, C. F. (2024). Model-agnostic unsupervised detection of bots in a Likert-type questionnaire. </w:t>
      </w:r>
      <w:r>
        <w:rPr>
          <w:rFonts w:ascii="Arial" w:cs="Arial" w:eastAsia="Arial" w:hAnsi="Arial"/>
          <w:i/>
          <w:iCs/>
          <w:color w:val="000000"/>
          <w:sz w:val="22"/>
          <w:szCs w:val="22"/>
        </w:rPr>
        <w:t xml:space="preserve">Behavior Research Methods, 56</w:t>
      </w:r>
      <w:r>
        <w:rPr>
          <w:rFonts w:ascii="Arial" w:cs="Arial" w:eastAsia="Arial" w:hAnsi="Arial"/>
          <w:color w:val="000000"/>
          <w:sz w:val="22"/>
          <w:szCs w:val="22"/>
        </w:rPr>
        <w:t xml:space="preserve">(5), 5068-5085. https://doi.org/10.3758/s13428-023-02246-7</w:t>
      </w:r>
    </w:p>
    <w:p>
      <w:pPr>
        <w:spacing w:after="160"/>
      </w:pPr>
      <w:r>
        <w:rPr>
          <w:rFonts w:ascii="Arial" w:cs="Arial" w:eastAsia="Arial" w:hAnsi="Arial"/>
          <w:b w:val="false"/>
          <w:bCs w:val="false"/>
          <w:color w:val="000000"/>
          <w:sz w:val="22"/>
          <w:szCs w:val="22"/>
        </w:rPr>
        <w:t xml:space="preserve">Impact Factor: ~7  |  Publisher: Psychonomic Society  |  Open Access: OSF repository at </w:t>
      </w:r>
      <w:r>
        <w:rPr>
          <w:rFonts w:ascii="Arial" w:cs="Arial" w:eastAsia="Arial" w:hAnsi="Arial"/>
          <w:b/>
          <w:bCs/>
          <w:color w:val="000000"/>
          <w:sz w:val="22"/>
          <w:szCs w:val="22"/>
        </w:rPr>
        <w:t xml:space="preserve">osf.io/e5v3s</w:t>
      </w:r>
      <w:r>
        <w:rPr>
          <w:rFonts w:ascii="Arial" w:cs="Arial" w:eastAsia="Arial" w:hAnsi="Arial"/>
          <w:b w:val="false"/>
          <w:bCs w:val="false"/>
          <w:color w:val="000000"/>
          <w:sz w:val="22"/>
          <w:szCs w:val="22"/>
        </w:rPr>
        <w:t xml:space="preserve">  |  R package: </w:t>
      </w:r>
      <w:r>
        <w:rPr>
          <w:rFonts w:ascii="Arial" w:cs="Arial" w:eastAsia="Arial" w:hAnsi="Arial"/>
          <w:b/>
          <w:bCs/>
          <w:i/>
          <w:iCs/>
          <w:color w:val="000000"/>
          <w:sz w:val="22"/>
          <w:szCs w:val="22"/>
        </w:rPr>
        <w:t xml:space="preserve">detranli</w:t>
      </w:r>
      <w:r>
        <w:rPr>
          <w:rFonts w:ascii="Arial" w:cs="Arial" w:eastAsia="Arial" w:hAnsi="Arial"/>
          <w:b w:val="false"/>
          <w:bCs w:val="false"/>
          <w:color w:val="000000"/>
          <w:sz w:val="22"/>
          <w:szCs w:val="22"/>
        </w:rPr>
        <w:t xml:space="preserve"> (github.com/michaeljohnilagan/detranli)</w:t>
      </w:r>
    </w:p>
    <w:p>
      <w:pPr>
        <w:spacing w:after="120"/>
      </w:pPr>
      <w:r>
        <w:t xml:space="preserve"/>
      </w:r>
    </w:p>
    <w:p>
      <w:pPr>
        <w:pStyle w:val="Heading2"/>
      </w:pPr>
      <w:r>
        <w:t xml:space="preserve">Paper P2 — Large-Scale Validation Study</w:t>
      </w:r>
    </w:p>
    <w:p>
      <w:pPr>
        <w:spacing w:after="80"/>
        <w:ind w:left="720" w:hanging="720"/>
      </w:pPr>
      <w:r>
        <w:rPr>
          <w:rFonts w:ascii="Arial" w:cs="Arial" w:eastAsia="Arial" w:hAnsi="Arial"/>
          <w:color w:val="000000"/>
          <w:sz w:val="22"/>
          <w:szCs w:val="22"/>
        </w:rPr>
        <w:t xml:space="preserve">Falk, C. F., Huang, A., &amp; Ilagan, M. J. (2025). Unsupervised [randomly responding] survey bot detection: In search of high classification accuracy. </w:t>
      </w:r>
      <w:r>
        <w:rPr>
          <w:rFonts w:ascii="Arial" w:cs="Arial" w:eastAsia="Arial" w:hAnsi="Arial"/>
          <w:i/>
          <w:iCs/>
          <w:color w:val="000000"/>
          <w:sz w:val="22"/>
          <w:szCs w:val="22"/>
        </w:rPr>
        <w:t xml:space="preserve">Psychological Methods</w:t>
      </w:r>
      <w:r>
        <w:rPr>
          <w:rFonts w:ascii="Arial" w:cs="Arial" w:eastAsia="Arial" w:hAnsi="Arial"/>
          <w:color w:val="000000"/>
          <w:sz w:val="22"/>
          <w:szCs w:val="22"/>
        </w:rPr>
        <w:t xml:space="preserve">. Advance online publication. https://doi.org/10.1037/met0000746</w:t>
      </w:r>
    </w:p>
    <w:p>
      <w:pPr>
        <w:spacing w:after="160"/>
      </w:pPr>
      <w:r>
        <w:rPr>
          <w:rFonts w:ascii="Arial" w:cs="Arial" w:eastAsia="Arial" w:hAnsi="Arial"/>
          <w:b w:val="false"/>
          <w:bCs w:val="false"/>
          <w:color w:val="000000"/>
          <w:sz w:val="22"/>
          <w:szCs w:val="22"/>
        </w:rPr>
        <w:t xml:space="preserve">Impact Factor: ~10  |  Publisher: American Psychological Association  |  Supplementary code: </w:t>
      </w:r>
      <w:r>
        <w:rPr>
          <w:rFonts w:ascii="Arial" w:cs="Arial" w:eastAsia="Arial" w:hAnsi="Arial"/>
          <w:b/>
          <w:bCs/>
          <w:color w:val="000000"/>
          <w:sz w:val="22"/>
          <w:szCs w:val="22"/>
        </w:rPr>
        <w:t xml:space="preserve">osf.io/d9682</w:t>
      </w:r>
    </w:p>
    <w:p>
      <w:pPr>
        <w:spacing w:after="120"/>
      </w:pPr>
      <w:r>
        <w:t xml:space="preserve"/>
      </w:r>
    </w:p>
    <w:p>
      <w:pPr>
        <w:pStyle w:val="Heading2"/>
      </w:pPr>
      <w:r>
        <w:t xml:space="preserve">Paper P3 — Extension to Mixed Scales</w:t>
      </w:r>
    </w:p>
    <w:p>
      <w:pPr>
        <w:spacing w:after="80"/>
        <w:ind w:left="720" w:hanging="720"/>
      </w:pPr>
      <w:r>
        <w:rPr>
          <w:rFonts w:ascii="Arial" w:cs="Arial" w:eastAsia="Arial" w:hAnsi="Arial"/>
          <w:color w:val="000000"/>
          <w:sz w:val="22"/>
          <w:szCs w:val="22"/>
        </w:rPr>
        <w:t xml:space="preserve">Ilagan, M. J., &amp; Falk, C. F. (2024). Unsupervised detection of random responding for Likert-type inventories with varying numbers of response categories. </w:t>
      </w:r>
      <w:r>
        <w:rPr>
          <w:rFonts w:ascii="Arial" w:cs="Arial" w:eastAsia="Arial" w:hAnsi="Arial"/>
          <w:i/>
          <w:iCs/>
          <w:color w:val="000000"/>
          <w:sz w:val="22"/>
          <w:szCs w:val="22"/>
        </w:rPr>
        <w:t xml:space="preserve">Proceedings of the 89th Annual International Meeting of the Psychometric Society</w:t>
      </w:r>
      <w:r>
        <w:rPr>
          <w:rFonts w:ascii="Arial" w:cs="Arial" w:eastAsia="Arial" w:hAnsi="Arial"/>
          <w:color w:val="000000"/>
          <w:sz w:val="22"/>
          <w:szCs w:val="22"/>
        </w:rPr>
        <w:t xml:space="preserve">, Prague, Czech Republic.</w:t>
      </w:r>
    </w:p>
    <w:p>
      <w:pPr>
        <w:spacing w:after="160"/>
      </w:pPr>
      <w:r>
        <w:rPr>
          <w:rFonts w:ascii="Arial" w:cs="Arial" w:eastAsia="Arial" w:hAnsi="Arial"/>
          <w:color w:val="000000"/>
          <w:sz w:val="22"/>
          <w:szCs w:val="22"/>
        </w:rPr>
        <w:t xml:space="preserve">Publisher: Psychometric Society  |  Venue: IMPS 2024 (peer-reviewed conference proceedings)</w:t>
      </w:r>
    </w:p>
    <w:p>
      <w:pPr>
        <w:spacing w:after="200"/>
      </w:pPr>
      <w:r>
        <w:t xml:space="preserve"/>
      </w:r>
    </w:p>
    <w:p>
      <w:pPr>
        <w:pStyle w:val="Heading1"/>
      </w:pPr>
      <w:r>
        <w:t xml:space="preserve">4. The L1P1 Algorithm — Summary</w:t>
      </w:r>
    </w:p>
    <w:p>
      <w:pPr>
        <w:spacing w:after="160"/>
      </w:pPr>
      <w:r>
        <w:rPr>
          <w:rFonts w:ascii="Arial" w:cs="Arial" w:eastAsia="Arial" w:hAnsi="Arial"/>
          <w:color w:val="000000"/>
          <w:sz w:val="22"/>
          <w:szCs w:val="22"/>
        </w:rPr>
        <w:t xml:space="preserve">L1P1 is an unsupervised, model-agnostic algorithm for detecting bot responses in Likert-type survey data. It was proposed in Paper P1 and validated at scale in Paper P2. The name reflects its two key design choices: Leave-one-out anchor computation (L1) and Permutation-based synthetic bot generation (P1).</w:t>
      </w:r>
    </w:p>
    <w:p>
      <w:pPr>
        <w:spacing w:after="80"/>
      </w:pPr>
      <w:r>
        <w:t xml:space="preserve"/>
      </w:r>
    </w:p>
    <w:p>
      <w:pPr>
        <w:pStyle w:val="Heading2"/>
      </w:pPr>
      <w:r>
        <w:t xml:space="preserve">4.1 The Core Problem It Solves</w:t>
      </w:r>
    </w:p>
    <w:p>
      <w:pPr>
        <w:spacing w:after="160"/>
      </w:pPr>
      <w:r>
        <w:rPr>
          <w:rFonts w:ascii="Arial" w:cs="Arial" w:eastAsia="Arial" w:hAnsi="Arial"/>
          <w:color w:val="000000"/>
          <w:sz w:val="22"/>
          <w:szCs w:val="22"/>
        </w:rPr>
        <w:t xml:space="preserve">When researchers collect survey data online, bots can infiltrate the sample and submit fake responses. Standard approaches to flagging suspicious responses require either: (a) labeled training data with known humans and bots, or (b) a pre-specified psychometric measurement model. In most real research situations, neither is available.</w:t>
      </w:r>
    </w:p>
    <w:p>
      <w:pPr>
        <w:spacing w:after="160"/>
      </w:pPr>
      <w:r>
        <w:rPr>
          <w:rFonts w:ascii="Arial" w:cs="Arial" w:eastAsia="Arial" w:hAnsi="Arial"/>
          <w:color w:val="000000"/>
          <w:sz w:val="22"/>
          <w:szCs w:val="22"/>
        </w:rPr>
        <w:t xml:space="preserve">L1P1 solves this by requiring neither. It is entirely unsupervised — it works on any CSV of Likert-type responses with no prior information about who is a bot or how bots generate responses.</w:t>
      </w:r>
    </w:p>
    <w:p>
      <w:pPr>
        <w:spacing w:after="80"/>
      </w:pPr>
      <w:r>
        <w:t xml:space="preserve"/>
      </w:r>
    </w:p>
    <w:p>
      <w:pPr>
        <w:pStyle w:val="Heading2"/>
      </w:pPr>
      <w:r>
        <w:t xml:space="preserve">4.2 How It Works — Step by Step</w:t>
      </w:r>
    </w:p>
    <w:p>
      <w:pPr>
        <w:spacing w:after="160"/>
      </w:pPr>
      <w:r>
        <w:rPr>
          <w:rFonts w:ascii="Arial" w:cs="Arial" w:eastAsia="Arial" w:hAnsi="Arial"/>
          <w:color w:val="000000"/>
          <w:sz w:val="22"/>
          <w:szCs w:val="22"/>
        </w:rPr>
        <w:t xml:space="preserve">The algorithm runs a separate permutation test for each participant. The logic is based on a key asymmetry: human responses are structured (they respond to item content), while bot responses are exchangeable (the order of responses is meaningless to a bot that does not read the questions).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Step</w:t>
            </w:r>
          </w:p>
        </w:tc>
        <w:tc>
          <w:tcPr>
            <w:tcW w:type="dxa" w:w="85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Happens</w:t>
            </w:r>
          </w:p>
        </w:tc>
      </w:tr>
      <w:tr>
        <w:tc>
          <w:tcPr>
            <w:tcW w:type="dxa" w:w="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i w:val="false"/>
                <w:iCs w:val="false"/>
                <w:color w:val="000000"/>
                <w:sz w:val="20"/>
                <w:szCs w:val="20"/>
              </w:rPr>
              <w:t xml:space="preserve">1</w:t>
            </w:r>
          </w:p>
        </w:tc>
        <w:tc>
          <w:tcPr>
            <w:tcW w:type="dxa" w:w="8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Generate synthetic bots via permutation. For participant i, randomly shuffle their Likert responses B=200 times. Each shuffle is a plausible bot response, because bots respond randomly regardless of item content — so any ordering of the same values is equally likely for a bot.</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i w:val="false"/>
                <w:iCs w:val="false"/>
                <w:color w:val="000000"/>
                <w:sz w:val="20"/>
                <w:szCs w:val="20"/>
              </w:rPr>
              <w:t xml:space="preserve">2</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Compute leave-one-out anchor parameters. For participant i, compute item means and covariance matrix using all other N-1 participants. This prevents participant i from influencing their own reference distribution, ensuring the test is fair.</w:t>
            </w:r>
          </w:p>
        </w:tc>
      </w:tr>
      <w:tr>
        <w:tc>
          <w:tcPr>
            <w:tcW w:type="dxa" w:w="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i w:val="false"/>
                <w:iCs w:val="false"/>
                <w:color w:val="000000"/>
                <w:sz w:val="20"/>
                <w:szCs w:val="20"/>
              </w:rPr>
              <w:t xml:space="preserve">3</w:t>
            </w:r>
          </w:p>
        </w:tc>
        <w:tc>
          <w:tcPr>
            <w:tcW w:type="dxa" w:w="8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Compute nonresponsivity indices (NRIs). For participant i and each of their 200 synthetic bots, compute two outlier statistics using the LOO anchor parameters: (a) Mahalanobis distance — how far the response vector is from the group centroid; (b) Person-total correlation — how much the participant's responses align with item means.</w:t>
            </w:r>
          </w:p>
        </w:tc>
      </w:tr>
      <w:tr>
        <w:tc>
          <w:tcPr>
            <w:tcW w:type="dxa" w:w="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i w:val="false"/>
                <w:iCs w:val="false"/>
                <w:color w:val="000000"/>
                <w:sz w:val="20"/>
                <w:szCs w:val="20"/>
              </w:rPr>
              <w:t xml:space="preserve">4</w:t>
            </w:r>
          </w:p>
        </w:tc>
        <w:tc>
          <w:tcPr>
            <w:tcW w:type="dxa" w:w="8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Compute distance from ideal point. Collapse the two NRIs into a single suspiciousness score by computing the Mahalanobis-like distance from the ideal point (MD=0, person-total correlation=+1). Higher distance = more suspicious.</w:t>
            </w:r>
          </w:p>
        </w:tc>
      </w:tr>
      <w:tr>
        <w:tc>
          <w:tcPr>
            <w:tcW w:type="dxa" w:w="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bCs/>
                <w:i w:val="false"/>
                <w:iCs w:val="false"/>
                <w:color w:val="000000"/>
                <w:sz w:val="20"/>
                <w:szCs w:val="20"/>
              </w:rPr>
              <w:t xml:space="preserve">5</w:t>
            </w:r>
          </w:p>
        </w:tc>
        <w:tc>
          <w:tcPr>
            <w:tcW w:type="dxa" w:w="85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Compute p-value and classify. The p-value is the proportion of synthetic bots that are less suspicious than the real participant. If p &gt;= alpha (e.g., 0.05), the participant is flagged as a likely bot. This guarantees 95% sensitivity: 95% of true bots will be flagged at alpha=0.05.</w:t>
            </w:r>
          </w:p>
        </w:tc>
      </w:tr>
    </w:tbl>
    <w:p>
      <w:pPr>
        <w:spacing w:after="120"/>
      </w:pPr>
      <w:r>
        <w:t xml:space="preserve"/>
      </w:r>
    </w:p>
    <w:p>
      <w:pPr>
        <w:shd w:fill="E2EFDA" w:val="clear"/>
        <w:spacing w:after="80" w:before="80"/>
        <w:ind w:left="360" w:right="360"/>
      </w:pPr>
      <w:r>
        <w:rPr>
          <w:rFonts w:ascii="Arial" w:cs="Arial" w:eastAsia="Arial" w:hAnsi="Arial"/>
          <w:color w:val="1A4731"/>
          <w:sz w:val="22"/>
          <w:szCs w:val="22"/>
        </w:rPr>
        <w:t xml:space="preserve">Key statistical guarantee: If a participant truly responds randomly (is a bot), their responses are exchangeable with their permutations. The p-value from the permutation test is then uniformly distributed, meaning alpha=0.05 guarantees exactly 95% sensitivity regardless of sample size, contamination rate, or bot distribution.</w:t>
      </w:r>
    </w:p>
    <w:p>
      <w:pPr>
        <w:spacing w:after="200"/>
      </w:pPr>
      <w:r>
        <w:t xml:space="preserve"/>
      </w:r>
    </w:p>
    <w:p>
      <w:pPr>
        <w:pStyle w:val="Heading2"/>
      </w:pPr>
      <w:r>
        <w:t xml:space="preserve">4.3 Why Leave-One-Out Matters</w:t>
      </w:r>
    </w:p>
    <w:p>
      <w:pPr>
        <w:spacing w:after="160"/>
      </w:pPr>
      <w:r>
        <w:rPr>
          <w:rFonts w:ascii="Arial" w:cs="Arial" w:eastAsia="Arial" w:hAnsi="Arial"/>
          <w:color w:val="000000"/>
          <w:sz w:val="22"/>
          <w:szCs w:val="22"/>
        </w:rPr>
        <w:t xml:space="preserve">A critical technical subtlety: if participant i is included in the sample used to compute means and covariances (anchor parameters), then i will look artificially less suspicious compared to their synthetic bots. This is called anchor privilege and causes sensitivity to fall below the nominal rate.</w:t>
      </w:r>
    </w:p>
    <w:p>
      <w:pPr>
        <w:spacing w:after="160"/>
      </w:pPr>
      <w:r>
        <w:rPr>
          <w:rFonts w:ascii="Arial" w:cs="Arial" w:eastAsia="Arial" w:hAnsi="Arial"/>
          <w:color w:val="000000"/>
          <w:sz w:val="22"/>
          <w:szCs w:val="22"/>
        </w:rPr>
        <w:t xml:space="preserve">The LOO strategy removes i from the anchor computation for each hypothesis test, eliminating this bias. The paper demonstrates that failing to use LOO (the L0 alternative) results in systematic under-flagging of bots, regardless of how synthetic bots are generated.</w:t>
      </w:r>
    </w:p>
    <w:p>
      <w:pPr>
        <w:spacing w:after="200"/>
      </w:pPr>
      <w:r>
        <w:t xml:space="preserve"/>
      </w:r>
    </w:p>
    <w:p>
      <w:pPr>
        <w:pStyle w:val="Heading2"/>
      </w:pPr>
      <w:r>
        <w:t xml:space="preserve">4.4 Why Permutations Matter</w:t>
      </w:r>
    </w:p>
    <w:p>
      <w:pPr>
        <w:spacing w:after="160"/>
      </w:pPr>
      <w:r>
        <w:rPr>
          <w:rFonts w:ascii="Arial" w:cs="Arial" w:eastAsia="Arial" w:hAnsi="Arial"/>
          <w:color w:val="000000"/>
          <w:sz w:val="22"/>
          <w:szCs w:val="22"/>
        </w:rPr>
        <w:t xml:space="preserve">Alternative approaches generate synthetic bots by drawing random responses from an assumed distribution (e.g., uniform or binomial). If real bots do not follow that distribution, sensitivity fails. Permutations avoid this problem entirely — they make no assumption about how bots generate responses. The only assumption is exchangeability: that a bot's response to any item is independent of item content.</w:t>
      </w:r>
    </w:p>
    <w:p>
      <w:pPr>
        <w:spacing w:after="160"/>
      </w:pPr>
      <w:r>
        <w:rPr>
          <w:rFonts w:ascii="Arial" w:cs="Arial" w:eastAsia="Arial" w:hAnsi="Arial"/>
          <w:color w:val="000000"/>
          <w:sz w:val="22"/>
          <w:szCs w:val="22"/>
        </w:rPr>
        <w:t xml:space="preserve">The paper demonstrates that non-permutation approaches (the P0 alternatives) fail when the assumed bot distribution is misspecified, while L1P1 maintains 95% sensitivity across all bot distributions tested.</w:t>
      </w:r>
    </w:p>
    <w:p>
      <w:pPr>
        <w:spacing w:after="200"/>
      </w:pPr>
      <w:r>
        <w:t xml:space="preserve"/>
      </w:r>
    </w:p>
    <w:p>
      <w:pPr>
        <w:pStyle w:val="Heading1"/>
      </w:pPr>
      <w:r>
        <w:t xml:space="preserve">5. Validation Evidence (Paper P2)</w:t>
      </w:r>
    </w:p>
    <w:p>
      <w:pPr>
        <w:spacing w:after="160"/>
      </w:pPr>
      <w:r>
        <w:rPr>
          <w:rFonts w:ascii="Arial" w:cs="Arial" w:eastAsia="Arial" w:hAnsi="Arial"/>
          <w:color w:val="000000"/>
          <w:sz w:val="22"/>
          <w:szCs w:val="22"/>
        </w:rPr>
        <w:t xml:space="preserve">Paper P2 (Falk, Huang &amp; Ilagan, 2025) conducted the most comprehensive validation of L1P1 to date, using both simulation studies and 35 real publicly available survey datasets from openpsychometrics.org. Key findings are summarized below.</w:t>
      </w:r>
    </w:p>
    <w:p>
      <w:pPr>
        <w:spacing w:after="80"/>
      </w:pPr>
      <w:r>
        <w:t xml:space="preserve"/>
      </w:r>
    </w:p>
    <w:p>
      <w:pPr>
        <w:pStyle w:val="Heading2"/>
      </w:pPr>
      <w:r>
        <w:t xml:space="preserve">5.1 Sensitivity Calibration</w:t>
      </w:r>
    </w:p>
    <w:p>
      <w:pPr>
        <w:spacing w:after="160"/>
      </w:pPr>
      <w:r>
        <w:rPr>
          <w:rFonts w:ascii="Arial" w:cs="Arial" w:eastAsia="Arial" w:hAnsi="Arial"/>
          <w:color w:val="000000"/>
          <w:sz w:val="22"/>
          <w:szCs w:val="22"/>
        </w:rPr>
        <w:t xml:space="preserve">Across all simulation conditions — varying sample size (100, 300, 900), contamination rate (5%-95%), number of items (6-32), number of factors (1-3), and bot distribution (uniform and binomial) — L1P1 maintained 95% sensitivity within 1.8 percentage points of the nominal rate. This is the core statistical guarantee of the algorithm.</w:t>
      </w:r>
    </w:p>
    <w:p>
      <w:pPr>
        <w:spacing w:after="80"/>
      </w:pPr>
      <w:r>
        <w:t xml:space="preserve"/>
      </w:r>
    </w:p>
    <w:p>
      <w:pPr>
        <w:pStyle w:val="Heading2"/>
      </w:pPr>
      <w:r>
        <w:t xml:space="preserve">5.2 Classification Accuracy Across Real Datasets</w:t>
      </w:r>
    </w:p>
    <w:p>
      <w:pPr>
        <w:spacing w:after="160"/>
      </w:pPr>
      <w:r>
        <w:rPr>
          <w:rFonts w:ascii="Arial" w:cs="Arial" w:eastAsia="Arial" w:hAnsi="Arial"/>
          <w:color w:val="000000"/>
          <w:sz w:val="22"/>
          <w:szCs w:val="22"/>
        </w:rPr>
        <w:t xml:space="preserve">Study 2 used human response data from 35 real measurement instruments to simulate bot contamination. Key findings:</w:t>
      </w:r>
    </w:p>
    <w:p>
      <w:pPr>
        <w:spacing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Condition</w:t>
            </w:r>
          </w:p>
        </w:tc>
        <w:tc>
          <w:tcPr>
            <w:tcW w:type="dxa" w:w="31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Typical Accuracy</w:t>
            </w:r>
          </w:p>
        </w:tc>
        <w:tc>
          <w:tcPr>
            <w:tcW w:type="dxa" w:w="31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5-category items, 50+ items</w:t>
            </w:r>
          </w:p>
        </w:tc>
        <w:tc>
          <w:tcPr>
            <w:tcW w:type="dxa" w:w="31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b/>
                <w:bCs/>
                <w:i w:val="false"/>
                <w:iCs w:val="false"/>
                <w:color w:val="000000"/>
                <w:sz w:val="20"/>
                <w:szCs w:val="20"/>
              </w:rPr>
              <w:t xml:space="preserve">90-95%+</w:t>
            </w:r>
          </w:p>
        </w:tc>
        <w:tc>
          <w:tcPr>
            <w:tcW w:type="dxa" w:w="31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Consistently high accuracy</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5-category items, 25-50 items</w:t>
            </w:r>
          </w:p>
        </w:tc>
        <w:tc>
          <w:tcPr>
            <w:tcW w:type="dxa" w:w="31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80-90%</w:t>
            </w:r>
          </w:p>
        </w:tc>
        <w:tc>
          <w:tcPr>
            <w:tcW w:type="dxa" w:w="31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Good accuracy for most instruments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5-category items, 15-25 items</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70-85%</w:t>
            </w:r>
          </w:p>
        </w:tc>
        <w:tc>
          <w:tcPr>
            <w:tcW w:type="dxa" w:w="31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Moderate; depends on item properties</w:t>
            </w:r>
          </w:p>
        </w:tc>
      </w:tr>
      <w:tr>
        <w:tc>
          <w:tcPr>
            <w:tcW w:type="dxa" w:w="300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2-category items (binary)</w:t>
            </w:r>
          </w:p>
        </w:tc>
        <w:tc>
          <w:tcPr>
            <w:tcW w:type="dxa" w:w="318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Below 90% even at 50 items</w:t>
            </w:r>
          </w:p>
        </w:tc>
        <w:tc>
          <w:tcPr>
            <w:tcW w:type="dxa" w:w="318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Fewer categories = harder to detect</w:t>
            </w:r>
          </w:p>
        </w:tc>
      </w:tr>
      <w:tr>
        <w:tc>
          <w:tcPr>
            <w:tcW w:type="dxa" w:w="30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7-9 category items</w:t>
            </w:r>
          </w:p>
        </w:tc>
        <w:tc>
          <w:tcPr>
            <w:tcW w:type="dxa" w:w="31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b/>
                <w:bCs/>
                <w:i w:val="false"/>
                <w:iCs w:val="false"/>
                <w:color w:val="000000"/>
                <w:sz w:val="20"/>
                <w:szCs w:val="20"/>
              </w:rPr>
              <w:t xml:space="preserve">Near 95% with 20+ items</w:t>
            </w:r>
          </w:p>
        </w:tc>
        <w:tc>
          <w:tcPr>
            <w:tcW w:type="dxa" w:w="31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More categories improves accuracy</w:t>
            </w:r>
          </w:p>
        </w:tc>
      </w:tr>
    </w:tbl>
    <w:p>
      <w:pPr>
        <w:spacing w:after="120"/>
      </w:pPr>
      <w:r>
        <w:t xml:space="preserve"/>
      </w:r>
    </w:p>
    <w:p>
      <w:pPr>
        <w:pStyle w:val="Heading2"/>
      </w:pPr>
      <w:r>
        <w:t xml:space="preserve">5.3 Factors That Improve Accuracy</w:t>
      </w:r>
    </w:p>
    <w:p>
      <w:pPr>
        <w:spacing w:after="160"/>
      </w:pPr>
      <w:r>
        <w:rPr>
          <w:rFonts w:ascii="Arial" w:cs="Arial" w:eastAsia="Arial" w:hAnsi="Arial"/>
          <w:color w:val="000000"/>
          <w:sz w:val="22"/>
          <w:szCs w:val="22"/>
        </w:rPr>
        <w:t xml:space="preserve">The paper identifies the following survey design features as most important for high classification accuracy:</w:t>
      </w:r>
    </w:p>
    <w:p>
      <w:pPr>
        <w:spacing w:after="40"/>
      </w:pPr>
      <w:r>
        <w:t xml:space="preserve"/>
      </w:r>
    </w:p>
    <w:p>
      <w:pPr>
        <w:pStyle w:val="ListParagraph"/>
        <w:numPr>
          <w:ilvl w:val="0"/>
          <w:numId w:val="2"/>
        </w:numPr>
        <w:spacing w:after="100"/>
      </w:pPr>
      <w:r>
        <w:rPr>
          <w:rFonts w:ascii="Arial" w:cs="Arial" w:eastAsia="Arial" w:hAnsi="Arial"/>
          <w:b/>
          <w:bCs/>
          <w:color w:val="000000"/>
          <w:sz w:val="22"/>
          <w:szCs w:val="22"/>
        </w:rPr>
        <w:t xml:space="preserve">More Likert items — the single most important factor. Accuracy stabilizes above 90% around 50 items for 5-category scales. High accuracy is achievable with 15-18 items under ideal conditions.</w:t>
      </w:r>
    </w:p>
    <w:p>
      <w:pPr>
        <w:pStyle w:val="ListParagraph"/>
        <w:numPr>
          <w:ilvl w:val="0"/>
          <w:numId w:val="2"/>
        </w:numPr>
        <w:spacing w:after="100"/>
      </w:pPr>
      <w:r>
        <w:rPr>
          <w:rFonts w:ascii="Arial" w:cs="Arial" w:eastAsia="Arial" w:hAnsi="Arial"/>
          <w:b/>
          <w:bCs/>
          <w:color w:val="000000"/>
          <w:sz w:val="22"/>
          <w:szCs w:val="22"/>
        </w:rPr>
        <w:t xml:space="preserve">More response categories per item — 5-7 categories strongly outperform 2-4 categories. Each additional category provides more information to distinguish human structure from random noise.</w:t>
      </w:r>
    </w:p>
    <w:p>
      <w:pPr>
        <w:pStyle w:val="ListParagraph"/>
        <w:numPr>
          <w:ilvl w:val="0"/>
          <w:numId w:val="2"/>
        </w:numPr>
        <w:spacing w:after="100"/>
      </w:pPr>
      <w:r>
        <w:rPr>
          <w:rFonts w:ascii="Arial" w:cs="Arial" w:eastAsia="Arial" w:hAnsi="Arial"/>
          <w:b/>
          <w:bCs/>
          <w:color w:val="000000"/>
          <w:sz w:val="22"/>
          <w:szCs w:val="22"/>
        </w:rPr>
        <w:t xml:space="preserve">Variety in item means (difficulty spread) — items with diverse means create a more distinctive human response structure, making bots easier to identify. Items with similar means are nearly exchangeable even for humans.</w:t>
      </w:r>
    </w:p>
    <w:p>
      <w:pPr>
        <w:pStyle w:val="ListParagraph"/>
        <w:numPr>
          <w:ilvl w:val="0"/>
          <w:numId w:val="2"/>
        </w:numPr>
        <w:spacing w:after="100"/>
      </w:pPr>
      <w:r>
        <w:rPr>
          <w:rFonts w:ascii="Arial" w:cs="Arial" w:eastAsia="Arial" w:hAnsi="Arial"/>
          <w:b/>
          <w:bCs/>
          <w:color w:val="000000"/>
          <w:sz w:val="22"/>
          <w:szCs w:val="22"/>
        </w:rPr>
        <w:t xml:space="preserve">Larger sample size — helps but cannot compensate for poor measurement design.</w:t>
      </w:r>
    </w:p>
    <w:p>
      <w:pPr>
        <w:spacing w:after="200"/>
      </w:pPr>
      <w:r>
        <w:t xml:space="preserve"/>
      </w:r>
    </w:p>
    <w:p>
      <w:pPr>
        <w:pStyle w:val="Heading1"/>
      </w:pPr>
      <w:r>
        <w:t xml:space="preserve">6. Practical Recommendations for Oishi Lab</w:t>
      </w:r>
    </w:p>
    <w:p>
      <w:pPr>
        <w:spacing w:after="160"/>
      </w:pPr>
      <w:r>
        <w:rPr>
          <w:rFonts w:ascii="Arial" w:cs="Arial" w:eastAsia="Arial" w:hAnsi="Arial"/>
          <w:color w:val="000000"/>
          <w:sz w:val="22"/>
          <w:szCs w:val="22"/>
        </w:rPr>
        <w:t xml:space="preserve">Based on the validation evidence, the following recommendations apply to Oishi Lab surveys using the bot detection tool: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Survey Characteristic</w:t>
            </w:r>
          </w:p>
        </w:tc>
        <w:tc>
          <w:tcPr>
            <w:tcW w:type="dxa" w:w="32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Expected Tool Performance</w:t>
            </w:r>
          </w:p>
        </w:tc>
        <w:tc>
          <w:tcPr>
            <w:tcW w:type="dxa" w:w="32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Recommendation</w:t>
            </w:r>
          </w:p>
        </w:tc>
      </w:tr>
      <w:tr>
        <w:tc>
          <w:tcPr>
            <w:tcW w:type="dxa" w:w="280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20+ Likert items, 1-7 scale</w:t>
            </w:r>
          </w:p>
        </w:tc>
        <w:tc>
          <w:tcPr>
            <w:tcW w:type="dxa" w:w="32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High accuracy (85-95%+)</w:t>
            </w:r>
          </w:p>
        </w:tc>
        <w:tc>
          <w:tcPr>
            <w:tcW w:type="dxa" w:w="3280"/>
            <w:tcBorders>
              <w:top w:val="single" w:color="CCCCCC" w:sz="1"/>
              <w:left w:val="single" w:color="CCCCCC" w:sz="1"/>
              <w:bottom w:val="single" w:color="CCCCCC" w:sz="1"/>
              <w:right w:val="single" w:color="CCCCCC" w:sz="1"/>
            </w:tcBorders>
            <w:shd w:fill="E2EFDA"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Use tool with confidence. Default alpha=0.05 appropriate.</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10-20 Likert items, 1-7 scale</w:t>
            </w:r>
          </w:p>
        </w:tc>
        <w:tc>
          <w:tcPr>
            <w:tcW w:type="dxa" w:w="32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Moderate accuracy (70-85%)</w:t>
            </w:r>
          </w:p>
        </w:tc>
        <w:tc>
          <w:tcPr>
            <w:tcW w:type="dxa" w:w="32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Use tool with manual review of borderline cases. Consider lowering alpha to 0.10.</w:t>
            </w:r>
          </w:p>
        </w:tc>
      </w:tr>
      <w:tr>
        <w:tc>
          <w:tcPr>
            <w:tcW w:type="dxa" w:w="280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Fewer than 10 Likert items</w:t>
            </w:r>
          </w:p>
        </w:tc>
        <w:tc>
          <w:tcPr>
            <w:tcW w:type="dxa" w:w="328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Lower accuracy; some false positives possible</w:t>
            </w:r>
          </w:p>
        </w:tc>
        <w:tc>
          <w:tcPr>
            <w:tcW w:type="dxa" w:w="3280"/>
            <w:tcBorders>
              <w:top w:val="single" w:color="CCCCCC" w:sz="1"/>
              <w:left w:val="single" w:color="CCCCCC" w:sz="1"/>
              <w:bottom w:val="single" w:color="CCCCCC" w:sz="1"/>
              <w:right w:val="single" w:color="CCCCCC" w:sz="1"/>
            </w:tcBorders>
            <w:shd w:fill="FFF2CC"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Supplement with qualitative review. Do not exclude solely based on bot score.</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1-5 scale (5 categories)</w:t>
            </w:r>
          </w:p>
        </w:tc>
        <w:tc>
          <w:tcPr>
            <w:tcW w:type="dxa" w:w="32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Good — consistent with validated datasets</w:t>
            </w:r>
          </w:p>
        </w:tc>
        <w:tc>
          <w:tcPr>
            <w:tcW w:type="dxa" w:w="32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Standard use. Most Oishi Lab instruments likely in this range.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Mixed scale lengths in same survey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Depends on number of items per scale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Algorithm handles this via LOO — still valid, but accuracy may vary.</w:t>
            </w:r>
          </w:p>
        </w:tc>
      </w:tr>
    </w:tbl>
    <w:p>
      <w:pPr>
        <w:spacing w:after="120"/>
      </w:pPr>
      <w:r>
        <w:t xml:space="preserve"/>
      </w:r>
    </w:p>
    <w:p>
      <w:pPr>
        <w:shd w:fill="FFF2CC" w:val="clear"/>
        <w:spacing w:after="80" w:before="80"/>
        <w:ind w:left="360" w:right="360"/>
      </w:pPr>
      <w:r>
        <w:rPr>
          <w:rFonts w:ascii="Arial" w:cs="Arial" w:eastAsia="Arial" w:hAnsi="Arial"/>
          <w:color w:val="7D4E00"/>
          <w:sz w:val="22"/>
          <w:szCs w:val="22"/>
        </w:rPr>
        <w:t xml:space="preserve">Important note from the authors: The algorithm is best viewed as one component of a broader data quality strategy. The authors recommend using it alongside other checks (attention items, response time screening, open-ended text review) rather than as a sole criterion for exclusion.</w:t>
      </w:r>
    </w:p>
    <w:p>
      <w:pPr>
        <w:spacing w:after="200"/>
      </w:pPr>
      <w:r>
        <w:t xml:space="preserve"/>
      </w:r>
    </w:p>
    <w:p>
      <w:pPr>
        <w:pStyle w:val="Heading1"/>
      </w:pPr>
      <w:r>
        <w:t xml:space="preserve">7. How L1P1 Compares to Other Approaches</w:t>
      </w:r>
    </w:p>
    <w:p>
      <w:pPr>
        <w:spacing w:after="160"/>
      </w:pPr>
      <w:r>
        <w:rPr>
          <w:rFonts w:ascii="Arial" w:cs="Arial" w:eastAsia="Arial" w:hAnsi="Arial"/>
          <w:color w:val="000000"/>
          <w:sz w:val="22"/>
          <w:szCs w:val="22"/>
        </w:rPr>
        <w:t xml:space="preserve">The papers situate L1P1 within a broader landscape of bot detection methods. The table below summarizes key alternatives and their limitations relative to L1P1.</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Approach</w:t>
            </w:r>
          </w:p>
        </w:tc>
        <w:tc>
          <w:tcPr>
            <w:tcW w:type="dxa" w:w="22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Examples</w:t>
            </w:r>
          </w:p>
        </w:tc>
        <w:tc>
          <w:tcPr>
            <w:tcW w:type="dxa" w:w="24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Limitation</w:t>
            </w:r>
          </w:p>
        </w:tc>
        <w:tc>
          <w:tcPr>
            <w:tcW w:type="dxa" w:w="24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L1P1 Advantage</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Fixed NRI cutoffs</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Mahalanobis distance &gt; 3SD, person-total r &lt; 0</w:t>
            </w:r>
          </w:p>
        </w:tc>
        <w:tc>
          <w:tcPr>
            <w:tcW w:type="dxa" w:w="24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Cutoffs do not generalize across samples or contamination rates</w:t>
            </w:r>
          </w:p>
        </w:tc>
        <w:tc>
          <w:tcPr>
            <w:tcW w:type="dxa" w:w="24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P-value calibrated per-sample; no fixed cutoff needed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Supervised classification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Logistic regression, gradient boosting on labeled data</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Requires known examples of humans and bots — rarely available</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Fully unsupervised; no labeled data required</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Measurement model approaches</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Mixture IRT, robust CFA</w:t>
            </w:r>
          </w:p>
        </w:tc>
        <w:tc>
          <w:tcPr>
            <w:tcW w:type="dxa" w:w="24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Requires a well-fitting measurement model; fails under high contamination</w:t>
            </w:r>
          </w:p>
        </w:tc>
        <w:tc>
          <w:tcPr>
            <w:tcW w:type="dxa" w:w="24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Model-agnostic; works even without a fitting measurement model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Naive permutation (L0P1)</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Permutations without LOO anchors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Anchor privilege causes systematic under-flagging of bots</w:t>
            </w:r>
          </w:p>
        </w:tc>
        <w:tc>
          <w:tcPr>
            <w:tcW w:type="dxa" w:w="24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LOO eliminates anchor privilege; maintains calibrated sensitivity</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Attention checks / bogus items</w:t>
            </w:r>
          </w:p>
        </w:tc>
        <w:tc>
          <w:tcPr>
            <w:tcW w:type="dxa" w:w="22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Instructed response items, catch trials</w:t>
            </w:r>
          </w:p>
        </w:tc>
        <w:tc>
          <w:tcPr>
            <w:tcW w:type="dxa" w:w="24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Bots can pass attention checks; must be embedded at collection time</w:t>
            </w:r>
          </w:p>
        </w:tc>
        <w:tc>
          <w:tcPr>
            <w:tcW w:type="dxa" w:w="24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Post-hoc; works on existing data without design modifications</w:t>
            </w:r>
          </w:p>
        </w:tc>
      </w:tr>
    </w:tbl>
    <w:p>
      <w:pPr>
        <w:spacing w:after="200"/>
      </w:pPr>
      <w:r>
        <w:t xml:space="preserve"/>
      </w:r>
    </w:p>
    <w:p>
      <w:pPr>
        <w:pStyle w:val="Heading1"/>
      </w:pPr>
      <w:r>
        <w:t xml:space="preserve">8. Implementation Notes for Survey Bot Detector</w:t>
      </w:r>
    </w:p>
    <w:p>
      <w:pPr>
        <w:spacing w:after="160"/>
      </w:pPr>
      <w:r>
        <w:rPr>
          <w:rFonts w:ascii="Arial" w:cs="Arial" w:eastAsia="Arial" w:hAnsi="Arial"/>
          <w:color w:val="000000"/>
          <w:sz w:val="22"/>
          <w:szCs w:val="22"/>
        </w:rPr>
        <w:t xml:space="preserve">The Survey Bot Detector tool implements the L1P1 algorithm in Python, translated from the original R code available at osf.io/e5v3s and the detranli R package. The following design decisions reflect the paper's recommendations: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Design Decision</w:t>
            </w:r>
          </w:p>
        </w:tc>
        <w:tc>
          <w:tcPr>
            <w:tcW w:type="dxa" w:w="32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c>
          <w:tcPr>
            <w:tcW w:type="dxa" w:w="32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Justification from Papers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Number of permutations (B)</w:t>
            </w:r>
          </w:p>
        </w:tc>
        <w:tc>
          <w:tcPr>
            <w:tcW w:type="dxa" w:w="32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200 per participant</w:t>
            </w:r>
          </w:p>
        </w:tc>
        <w:tc>
          <w:tcPr>
            <w:tcW w:type="dxa" w:w="32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P1 and P2 both use B=200. Authors note 1,000 gives more replicable p-values but does not change overall performance.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Default sensitivity (alpha)</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0.05 (95% sensitivity)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Standard setting used throughout P1 and P2. Corresponds to flagging 95% of true bots.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NRIs used</w:t>
            </w:r>
          </w:p>
        </w:tc>
        <w:tc>
          <w:tcPr>
            <w:tcW w:type="dxa" w:w="32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Mahalanobis distance + person-total correlation</w:t>
            </w:r>
          </w:p>
        </w:tc>
        <w:tc>
          <w:tcPr>
            <w:tcW w:type="dxa" w:w="32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The two NRIs used in both P1 and P2. Model-agnostic, no expert knowledge required.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Anchor computation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Leave-one-out (LOO)</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L1 strategy proven necessary for sensitivity calibration. Test-set-for-all (L0) fails.</w:t>
            </w:r>
          </w:p>
        </w:tc>
      </w:tr>
      <w:tr>
        <w:tc>
          <w:tcPr>
            <w:tcW w:type="dxa" w:w="28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Hard flags retained</w:t>
            </w:r>
          </w:p>
        </w:tc>
        <w:tc>
          <w:tcPr>
            <w:tcW w:type="dxa" w:w="32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Exact duplicate, longstring absolute (&gt;90% same)</w:t>
            </w:r>
          </w:p>
        </w:tc>
        <w:tc>
          <w:tcPr>
            <w:tcW w:type="dxa" w:w="328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Obvious cases bypassed to L1P1 composite for efficiency. Not from the papers but consistent with the spirit of the algorithm.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Missing value handling</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Median imputation before LOO computation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P1 uses median imputation for missing Likert values before NRI calculation.</w:t>
            </w:r>
          </w:p>
        </w:tc>
      </w:tr>
    </w:tbl>
    <w:p>
      <w:pPr>
        <w:spacing w:after="200"/>
      </w:pPr>
      <w:r>
        <w:t xml:space="preserve"/>
      </w:r>
    </w:p>
    <w:p>
      <w:pPr>
        <w:pStyle w:val="Heading1"/>
      </w:pPr>
      <w:r>
        <w:t xml:space="preserve">9. Known Limitations of the Algorithm</w:t>
      </w:r>
    </w:p>
    <w:p>
      <w:pPr>
        <w:spacing w:after="160"/>
      </w:pPr>
      <w:r>
        <w:rPr>
          <w:rFonts w:ascii="Arial" w:cs="Arial" w:eastAsia="Arial" w:hAnsi="Arial"/>
          <w:color w:val="000000"/>
          <w:sz w:val="22"/>
          <w:szCs w:val="22"/>
        </w:rPr>
        <w:t xml:space="preserve">The papers are transparent about the algorithm's limitations. These should be understood by lab members using the tool:</w:t>
      </w:r>
    </w:p>
    <w:p>
      <w:pPr>
        <w:spacing w:after="80"/>
      </w:pPr>
      <w:r>
        <w:t xml:space="preserve"/>
      </w:r>
    </w:p>
    <w:p>
      <w:pPr>
        <w:pStyle w:val="ListParagraph"/>
        <w:numPr>
          <w:ilvl w:val="0"/>
          <w:numId w:val="2"/>
        </w:numPr>
        <w:spacing w:after="100"/>
      </w:pPr>
      <w:r>
        <w:rPr>
          <w:rFonts w:ascii="Arial" w:cs="Arial" w:eastAsia="Arial" w:hAnsi="Arial"/>
          <w:b/>
          <w:bCs/>
          <w:color w:val="000000"/>
          <w:sz w:val="22"/>
          <w:szCs w:val="22"/>
        </w:rPr>
        <w:t xml:space="preserve">Partial careless responding: The algorithm flags participants who respond randomly to ALL items. Participants who are careless on only a subset of items may not be flagged. This is a fundamental limitation of the exchangeability assumption.</w:t>
      </w:r>
    </w:p>
    <w:p>
      <w:pPr>
        <w:spacing w:after="40"/>
      </w:pPr>
      <w:r>
        <w:t xml:space="preserve"/>
      </w:r>
    </w:p>
    <w:p>
      <w:pPr>
        <w:pStyle w:val="ListParagraph"/>
        <w:numPr>
          <w:ilvl w:val="0"/>
          <w:numId w:val="2"/>
        </w:numPr>
        <w:spacing w:after="100"/>
      </w:pPr>
      <w:r>
        <w:rPr>
          <w:rFonts w:ascii="Arial" w:cs="Arial" w:eastAsia="Arial" w:hAnsi="Arial"/>
          <w:b/>
          <w:bCs/>
          <w:color w:val="000000"/>
          <w:sz w:val="22"/>
          <w:szCs w:val="22"/>
        </w:rPr>
        <w:t xml:space="preserve">Performance with few items: Accuracy drops substantially below 10-15 Likert items. The p-value itself remains valid (sensitivity is still calibrated), but specificity decreases — meaning more humans may be incorrectly flagged.</w:t>
      </w:r>
    </w:p>
    <w:p>
      <w:pPr>
        <w:spacing w:after="40"/>
      </w:pPr>
      <w:r>
        <w:t xml:space="preserve"/>
      </w:r>
    </w:p>
    <w:p>
      <w:pPr>
        <w:pStyle w:val="ListParagraph"/>
        <w:numPr>
          <w:ilvl w:val="0"/>
          <w:numId w:val="2"/>
        </w:numPr>
        <w:spacing w:after="100"/>
      </w:pPr>
      <w:r>
        <w:rPr>
          <w:rFonts w:ascii="Arial" w:cs="Arial" w:eastAsia="Arial" w:hAnsi="Arial"/>
          <w:b/>
          <w:bCs/>
          <w:color w:val="000000"/>
          <w:sz w:val="22"/>
          <w:szCs w:val="22"/>
        </w:rPr>
        <w:t xml:space="preserve">All items must have the same number of response categories for base L1P1. Paper P3 extends this to mixed scales, but this extension is not yet implemented in the tool.</w:t>
      </w:r>
    </w:p>
    <w:p>
      <w:pPr>
        <w:spacing w:after="40"/>
      </w:pPr>
      <w:r>
        <w:t xml:space="preserve"/>
      </w:r>
    </w:p>
    <w:p>
      <w:pPr>
        <w:pStyle w:val="ListParagraph"/>
        <w:numPr>
          <w:ilvl w:val="0"/>
          <w:numId w:val="2"/>
        </w:numPr>
        <w:spacing w:after="100"/>
      </w:pPr>
      <w:r>
        <w:rPr>
          <w:rFonts w:ascii="Arial" w:cs="Arial" w:eastAsia="Arial" w:hAnsi="Arial"/>
          <w:b/>
          <w:bCs/>
          <w:color w:val="000000"/>
          <w:sz w:val="22"/>
          <w:szCs w:val="22"/>
        </w:rPr>
        <w:t xml:space="preserve">LLM-powered bots: The authors note that if bots begin using large language models to generate content-responsive Likert responses, the exchangeability assumption may no longer hold. This is an emerging threat to all current detection methods.</w:t>
      </w:r>
    </w:p>
    <w:p>
      <w:pPr>
        <w:spacing w:after="40"/>
      </w:pPr>
      <w:r>
        <w:t xml:space="preserve"/>
      </w:r>
    </w:p>
    <w:p>
      <w:pPr>
        <w:pStyle w:val="ListParagraph"/>
        <w:numPr>
          <w:ilvl w:val="0"/>
          <w:numId w:val="2"/>
        </w:numPr>
        <w:spacing w:after="100"/>
      </w:pPr>
      <w:r>
        <w:rPr>
          <w:rFonts w:ascii="Arial" w:cs="Arial" w:eastAsia="Arial" w:hAnsi="Arial"/>
          <w:b/>
          <w:bCs/>
          <w:color w:val="000000"/>
          <w:sz w:val="22"/>
          <w:szCs w:val="22"/>
        </w:rPr>
        <w:t xml:space="preserve">The algorithm should be used as one component of a broader data quality strategy, not as a sole criterion for exclusion. The authors recommend transparent reporting of results with and without excluded cases.</w:t>
      </w:r>
    </w:p>
    <w:p>
      <w:pPr>
        <w:spacing w:after="200"/>
      </w:pPr>
      <w:r>
        <w:t xml:space="preserve"/>
      </w:r>
    </w:p>
    <w:p>
      <w:pPr>
        <w:pStyle w:val="Heading1"/>
      </w:pPr>
      <w:r>
        <w:t xml:space="preserve">10. How to Cite This Work</w:t>
      </w:r>
    </w:p>
    <w:p>
      <w:pPr>
        <w:spacing w:after="160"/>
      </w:pPr>
      <w:r>
        <w:rPr>
          <w:rFonts w:ascii="Arial" w:cs="Arial" w:eastAsia="Arial" w:hAnsi="Arial"/>
          <w:color w:val="000000"/>
          <w:sz w:val="22"/>
          <w:szCs w:val="22"/>
        </w:rPr>
        <w:t xml:space="preserve">When reporting bot detection methods in manuscripts or presentations that used the Survey Bot Detector tool, cite the following:</w:t>
      </w:r>
    </w:p>
    <w:p>
      <w:pPr>
        <w:spacing w:after="80"/>
      </w:pPr>
      <w:r>
        <w:t xml:space="preserve"/>
      </w:r>
    </w:p>
    <w:p>
      <w:pPr>
        <w:pStyle w:val="Heading2"/>
      </w:pPr>
      <w:r>
        <w:t xml:space="preserve">Primary citation — for the algorithm itself</w:t>
      </w:r>
    </w:p>
    <w:p>
      <w:pPr>
        <w:shd w:fill="D6E4F0" w:val="clear"/>
        <w:spacing w:after="160"/>
        <w:ind w:left="360" w:right="360"/>
      </w:pPr>
      <w:r>
        <w:rPr>
          <w:rFonts w:ascii="Arial" w:cs="Arial" w:eastAsia="Arial" w:hAnsi="Arial"/>
          <w:color w:val="000000"/>
          <w:sz w:val="22"/>
          <w:szCs w:val="22"/>
        </w:rPr>
        <w:t xml:space="preserve">Ilagan, M. J., &amp; Falk, C. F. (2024). Model-agnostic unsupervised detection of bots in a Likert-type questionnaire. </w:t>
      </w:r>
      <w:r>
        <w:rPr>
          <w:rFonts w:ascii="Arial" w:cs="Arial" w:eastAsia="Arial" w:hAnsi="Arial"/>
          <w:i/>
          <w:iCs/>
          <w:color w:val="000000"/>
          <w:sz w:val="22"/>
          <w:szCs w:val="22"/>
        </w:rPr>
        <w:t xml:space="preserve">Behavior Research Methods, 56</w:t>
      </w:r>
      <w:r>
        <w:rPr>
          <w:rFonts w:ascii="Arial" w:cs="Arial" w:eastAsia="Arial" w:hAnsi="Arial"/>
          <w:color w:val="000000"/>
          <w:sz w:val="22"/>
          <w:szCs w:val="22"/>
        </w:rPr>
        <w:t xml:space="preserve">(5), 5068-5085. https://doi.org/10.3758/s13428-023-02246-7</w:t>
      </w:r>
    </w:p>
    <w:p>
      <w:pPr>
        <w:spacing w:after="80"/>
      </w:pPr>
      <w:r>
        <w:t xml:space="preserve"/>
      </w:r>
    </w:p>
    <w:p>
      <w:pPr>
        <w:pStyle w:val="Heading2"/>
      </w:pPr>
      <w:r>
        <w:t xml:space="preserve">Secondary citation — for validation evidence and practical recommendations</w:t>
      </w:r>
    </w:p>
    <w:p>
      <w:pPr>
        <w:shd w:fill="D6E4F0" w:val="clear"/>
        <w:spacing w:after="160"/>
        <w:ind w:left="360" w:right="360"/>
      </w:pPr>
      <w:r>
        <w:rPr>
          <w:rFonts w:ascii="Arial" w:cs="Arial" w:eastAsia="Arial" w:hAnsi="Arial"/>
          <w:color w:val="000000"/>
          <w:sz w:val="22"/>
          <w:szCs w:val="22"/>
        </w:rPr>
        <w:t xml:space="preserve">Falk, C. F., Huang, A., &amp; Ilagan, M. J. (2025). Unsupervised [randomly responding] survey bot detection: In search of high classification accuracy. </w:t>
      </w:r>
      <w:r>
        <w:rPr>
          <w:rFonts w:ascii="Arial" w:cs="Arial" w:eastAsia="Arial" w:hAnsi="Arial"/>
          <w:i/>
          <w:iCs/>
          <w:color w:val="000000"/>
          <w:sz w:val="22"/>
          <w:szCs w:val="22"/>
        </w:rPr>
        <w:t xml:space="preserve">Psychological Methods</w:t>
      </w:r>
      <w:r>
        <w:rPr>
          <w:rFonts w:ascii="Arial" w:cs="Arial" w:eastAsia="Arial" w:hAnsi="Arial"/>
          <w:color w:val="000000"/>
          <w:sz w:val="22"/>
          <w:szCs w:val="22"/>
        </w:rPr>
        <w:t xml:space="preserve">. Advance online publication. https://doi.org/10.1037/met0000746</w:t>
      </w:r>
    </w:p>
    <w:p>
      <w:pPr>
        <w:spacing w:after="80"/>
      </w:pPr>
      <w:r>
        <w:t xml:space="preserve"/>
      </w:r>
    </w:p>
    <w:p>
      <w:pPr>
        <w:pStyle w:val="Heading2"/>
      </w:pPr>
      <w:r>
        <w:t xml:space="preserve">Example methods section language</w:t>
      </w:r>
    </w:p>
    <w:p>
      <w:pPr>
        <w:shd w:fill="FFF2CC" w:val="clear"/>
        <w:spacing w:after="160"/>
        <w:ind w:left="360" w:right="360"/>
      </w:pPr>
      <w:r>
        <w:rPr>
          <w:rFonts w:ascii="Arial" w:cs="Arial" w:eastAsia="Arial" w:hAnsi="Arial"/>
          <w:i/>
          <w:iCs/>
          <w:color w:val="7D4E00"/>
          <w:sz w:val="22"/>
          <w:szCs w:val="22"/>
        </w:rPr>
        <w:t xml:space="preserve">"Bot responses were detected using the L1P1 permutation test algorithm (Ilagan &amp; Falk, 2024), an unsupervised model-agnostic approach that computes a p-value for each respondent under the null hypothesis that their Likert responses are exchangeable (i.e., bot-like). Participants with p &gt;= .05 were flagged as likely bots and excluded from analyses (sensitivity = 95%). The algorithm was implemented using the Survey Bot Detector tool (Gao, 2026) with 200 permutations per respondent and leave-one-out anchor computation. [N] participants were excluded on this basis ([X]% of the sample)."</w:t>
      </w:r>
    </w:p>
    <w:p>
      <w:pPr>
        <w:spacing w:after="200"/>
      </w:pPr>
      <w:r>
        <w:t xml:space="preserve"/>
      </w:r>
    </w:p>
    <w:p>
      <w:pPr>
        <w:pStyle w:val="Heading1"/>
      </w:pPr>
      <w:r>
        <w:t xml:space="preserve">11. Open Access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Resource</w:t>
            </w:r>
          </w:p>
        </w:tc>
        <w:tc>
          <w:tcPr>
            <w:tcW w:type="dxa" w:w="63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r>
              <w:rPr>
                <w:rFonts w:ascii="Arial" w:cs="Arial" w:eastAsia="Arial" w:hAnsi="Arial"/>
                <w:b/>
                <w:bCs/>
                <w:color w:val="FFFFFF"/>
                <w:sz w:val="20"/>
                <w:szCs w:val="20"/>
              </w:rPr>
              <w:t xml:space="preserve">Location</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P1 full paper (preprint)</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osf.io/e5v3s (includes R code for the algorithm)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P2 full paper (preprint)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https://doi.org/10.31234/osf.io/4nmxh</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P2 simulation code</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osf.io/d9682</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detranli R package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github.com/michaeljohnilagan/detranli</w:t>
            </w:r>
          </w:p>
        </w:tc>
      </w:tr>
      <w:tr>
        <w:tc>
          <w:tcPr>
            <w:tcW w:type="dxa" w:w="300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CPA 2024 workshop materials</w:t>
            </w:r>
          </w:p>
        </w:tc>
        <w:tc>
          <w:tcPr>
            <w:tcW w:type="dxa" w:w="6360"/>
            <w:tcBorders>
              <w:top w:val="single" w:color="CCCCCC" w:sz="1"/>
              <w:left w:val="single" w:color="CCCCCC" w:sz="1"/>
              <w:bottom w:val="single" w:color="CCCCCC" w:sz="1"/>
              <w:right w:val="single" w:color="CCCCCC" w:sz="1"/>
            </w:tcBorders>
            <w:shd w:fill="D6E4F0"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osf.io/vnuew (introductory walkthrough of the algorithm)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Interactive Shiny Apps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i w:val="false"/>
                <w:iCs w:val="false"/>
                <w:color w:val="000000"/>
                <w:sz w:val="20"/>
                <w:szCs w:val="20"/>
              </w:rPr>
              <w:t xml:space="preserve">falkcarl.shinyapps.io/BotApp1/ and falkcarl.shinyapps.io/BotApp2/</w:t>
            </w:r>
          </w:p>
        </w:tc>
      </w:tr>
    </w:tbl>
    <w:p>
      <w:pPr>
        <w:spacing w:after="200"/>
      </w:pPr>
      <w:r>
        <w:t xml:space="preserve"/>
      </w:r>
    </w:p>
    <w:p>
      <w:pPr>
        <w:pBdr>
          <w:bottom w:val="single" w:color="2E75B6" w:sz="6" w:space="1"/>
        </w:pBdr>
        <w:spacing w:after="160" w:before="160"/>
      </w:pPr>
      <w:r>
        <w:t xml:space="preserve"/>
      </w:r>
    </w:p>
    <w:p>
      <w:pPr>
        <w:spacing w:after="160"/>
      </w:pPr>
      <w:r>
        <w:rPr>
          <w:rFonts w:ascii="Arial" w:cs="Arial" w:eastAsia="Arial" w:hAnsi="Arial"/>
          <w:color w:val="595959"/>
          <w:sz w:val="22"/>
          <w:szCs w:val="22"/>
        </w:rPr>
        <w:t xml:space="preserve">This document was prepared for internal Oishi Lab use. It summarizes published academic work and is intended to support proper citation practices and methodological transparency in lab manuscripts. For questions about the Survey Bot Detector tool, contact Marcus Gao.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00"/>
    </w:pPr>
    <w:r>
      <w:rPr>
        <w:rFonts w:ascii="Arial" w:cs="Arial" w:eastAsia="Arial" w:hAnsi="Arial"/>
        <w:color w:val="595959"/>
        <w:sz w:val="18"/>
        <w:szCs w:val="18"/>
      </w:rPr>
      <w:t xml:space="preserve">Oishi Lab  |  Internal Documentation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100"/>
    </w:pPr>
    <w:r>
      <w:rPr>
        <w:rFonts w:ascii="Arial" w:cs="Arial" w:eastAsia="Arial" w:hAnsi="Arial"/>
        <w:color w:val="595959"/>
        <w:sz w:val="18"/>
        <w:szCs w:val="18"/>
      </w:rPr>
      <w:t xml:space="preserve">Survey Bot Detection  |  Literature Review &amp; Algorithm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2026-04-08T03:58:33.032Z</dcterms:created>
  <dcterms:modified xsi:type="dcterms:W3CDTF">2026-04-08T03:58:33.033Z</dcterms:modified>
</cp:coreProperties>
</file>

<file path=docProps/custom.xml><?xml version="1.0" encoding="utf-8"?>
<Properties xmlns="http://schemas.openxmlformats.org/officeDocument/2006/custom-properties" xmlns:vt="http://schemas.openxmlformats.org/officeDocument/2006/docPropsVTypes"/>
</file>